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rPr>
      </w:pPr>
      <w:bookmarkStart w:id="0" w:name="_Toc15396597"/>
      <w:bookmarkStart w:id="1" w:name="_Toc15377193"/>
      <w:bookmarkStart w:id="2" w:name="_Toc15396475"/>
      <w:bookmarkStart w:id="3" w:name="_Toc15377425"/>
      <w:bookmarkStart w:id="4" w:name="_Toc15378441"/>
      <w:bookmarkStart w:id="5" w:name="_Toc15306267"/>
    </w:p>
    <w:p>
      <w:pPr>
        <w:pStyle w:val="2"/>
        <w:spacing w:before="93"/>
        <w:jc w:val="center"/>
        <w:rPr>
          <w:rFonts w:hint="default" w:ascii="Times New Roman" w:hAnsi="Times New Roman" w:eastAsia="方正小标宋简体" w:cs="Times New Roman"/>
          <w:kern w:val="2"/>
          <w:sz w:val="44"/>
          <w:szCs w:val="44"/>
        </w:rPr>
      </w:pPr>
    </w:p>
    <w:p>
      <w:pPr>
        <w:pStyle w:val="2"/>
        <w:spacing w:before="93"/>
        <w:jc w:val="center"/>
        <w:rPr>
          <w:rFonts w:hint="default" w:ascii="Times New Roman" w:hAnsi="Times New Roman" w:eastAsia="方正小标宋简体" w:cs="Times New Roman"/>
          <w:kern w:val="2"/>
          <w:sz w:val="44"/>
          <w:szCs w:val="44"/>
        </w:rPr>
      </w:pPr>
    </w:p>
    <w:p>
      <w:pPr>
        <w:pStyle w:val="2"/>
        <w:spacing w:before="93"/>
        <w:jc w:val="center"/>
        <w:rPr>
          <w:rFonts w:hint="default" w:ascii="Times New Roman" w:hAnsi="Times New Roman" w:eastAsia="方正小标宋简体" w:cs="Times New Roman"/>
          <w:kern w:val="2"/>
          <w:sz w:val="44"/>
          <w:szCs w:val="44"/>
        </w:rPr>
      </w:pPr>
    </w:p>
    <w:p>
      <w:pPr>
        <w:pStyle w:val="2"/>
        <w:spacing w:before="93"/>
        <w:jc w:val="center"/>
        <w:rPr>
          <w:rFonts w:hint="default" w:ascii="Times New Roman" w:hAnsi="Times New Roman" w:eastAsia="方正小标宋简体" w:cs="Times New Roman"/>
          <w:kern w:val="2"/>
          <w:sz w:val="44"/>
          <w:szCs w:val="44"/>
        </w:rPr>
      </w:pPr>
    </w:p>
    <w:bookmarkEnd w:id="0"/>
    <w:bookmarkEnd w:id="1"/>
    <w:bookmarkEnd w:id="2"/>
    <w:bookmarkEnd w:id="3"/>
    <w:bookmarkEnd w:id="4"/>
    <w:p>
      <w:pPr>
        <w:pStyle w:val="2"/>
        <w:spacing w:before="93"/>
        <w:jc w:val="center"/>
        <w:rPr>
          <w:rFonts w:hint="default" w:ascii="Times New Roman" w:hAnsi="Times New Roman" w:eastAsia="方正小标宋简体" w:cs="Times New Roman"/>
          <w:kern w:val="2"/>
          <w:sz w:val="44"/>
          <w:szCs w:val="44"/>
          <w:lang w:val="en-US" w:eastAsia="zh-CN"/>
        </w:rPr>
      </w:pPr>
      <w:bookmarkStart w:id="6" w:name="_Toc15378442"/>
      <w:bookmarkStart w:id="7" w:name="_Toc15396476"/>
      <w:bookmarkStart w:id="8" w:name="_Toc15396598"/>
      <w:bookmarkStart w:id="9" w:name="_Toc15377194"/>
      <w:bookmarkStart w:id="10" w:name="_Toc15377426"/>
      <w:r>
        <w:rPr>
          <w:rFonts w:hint="default" w:ascii="Times New Roman" w:hAnsi="Times New Roman" w:eastAsia="方正小标宋简体" w:cs="Times New Roman"/>
          <w:kern w:val="2"/>
          <w:sz w:val="44"/>
          <w:szCs w:val="44"/>
        </w:rPr>
        <w:t>攀枝花市</w:t>
      </w:r>
      <w:bookmarkEnd w:id="5"/>
      <w:bookmarkStart w:id="11" w:name="_Toc15306268"/>
      <w:r>
        <w:rPr>
          <w:rFonts w:hint="default" w:ascii="Times New Roman" w:hAnsi="Times New Roman" w:eastAsia="方正小标宋简体" w:cs="Times New Roman"/>
          <w:kern w:val="2"/>
          <w:sz w:val="44"/>
          <w:szCs w:val="44"/>
          <w:lang w:val="en-US" w:eastAsia="zh-CN"/>
        </w:rPr>
        <w:t>人事考试中心</w:t>
      </w:r>
    </w:p>
    <w:p>
      <w:pPr>
        <w:pStyle w:val="2"/>
        <w:spacing w:before="93"/>
        <w:jc w:val="center"/>
        <w:rPr>
          <w:rFonts w:hint="eastAsia" w:ascii="Times New Roman" w:hAnsi="Times New Roman" w:eastAsia="方正小标宋简体" w:cs="Times New Roman"/>
          <w:kern w:val="2"/>
          <w:sz w:val="44"/>
          <w:szCs w:val="44"/>
          <w:lang w:eastAsia="zh-CN"/>
        </w:rPr>
      </w:pPr>
      <w:r>
        <w:rPr>
          <w:rFonts w:hint="default" w:ascii="Times New Roman" w:hAnsi="Times New Roman" w:eastAsia="方正小标宋简体" w:cs="Times New Roman"/>
          <w:kern w:val="2"/>
          <w:sz w:val="44"/>
          <w:szCs w:val="44"/>
        </w:rPr>
        <w:t>2025年度</w:t>
      </w:r>
      <w:r>
        <w:rPr>
          <w:rFonts w:hint="default" w:ascii="Times New Roman" w:hAnsi="Times New Roman" w:eastAsia="方正小标宋简体" w:cs="Times New Roman"/>
          <w:kern w:val="2"/>
          <w:sz w:val="44"/>
          <w:szCs w:val="44"/>
          <w:lang w:val="en-US" w:eastAsia="zh-CN"/>
        </w:rPr>
        <w:t>单位</w:t>
      </w:r>
      <w:r>
        <w:rPr>
          <w:rFonts w:hint="default" w:ascii="Times New Roman" w:hAnsi="Times New Roman" w:eastAsia="方正小标宋简体" w:cs="Times New Roman"/>
          <w:kern w:val="2"/>
          <w:sz w:val="44"/>
          <w:szCs w:val="44"/>
        </w:rPr>
        <w:t>决算</w:t>
      </w:r>
      <w:bookmarkEnd w:id="6"/>
      <w:bookmarkEnd w:id="7"/>
      <w:bookmarkEnd w:id="8"/>
      <w:bookmarkEnd w:id="9"/>
      <w:bookmarkEnd w:id="10"/>
      <w:bookmarkEnd w:id="11"/>
      <w:r>
        <w:rPr>
          <w:rFonts w:hint="eastAsia" w:ascii="Times New Roman" w:eastAsia="方正小标宋简体" w:cs="Times New Roman"/>
          <w:kern w:val="2"/>
          <w:sz w:val="44"/>
          <w:szCs w:val="44"/>
          <w:lang w:eastAsia="zh-CN"/>
        </w:rPr>
        <w:t>公开编制说明</w:t>
      </w:r>
    </w:p>
    <w:p>
      <w:pPr>
        <w:widowControl/>
        <w:jc w:val="center"/>
        <w:rPr>
          <w:rFonts w:hint="default" w:ascii="Times New Roman" w:hAnsi="Times New Roman" w:eastAsia="黑体" w:cs="Times New Roman"/>
          <w:sz w:val="48"/>
          <w:szCs w:val="48"/>
        </w:rPr>
      </w:pPr>
    </w:p>
    <w:p>
      <w:pPr>
        <w:widowControl/>
        <w:jc w:val="center"/>
        <w:rPr>
          <w:rFonts w:hint="default" w:ascii="Times New Roman" w:hAnsi="Times New Roman" w:eastAsia="黑体" w:cs="Times New Roman"/>
          <w:sz w:val="48"/>
          <w:szCs w:val="48"/>
        </w:rPr>
      </w:pPr>
    </w:p>
    <w:p>
      <w:pPr>
        <w:widowControl/>
        <w:jc w:val="center"/>
        <w:rPr>
          <w:rFonts w:hint="default" w:ascii="Times New Roman" w:hAnsi="Times New Roman" w:eastAsia="黑体" w:cs="Times New Roman"/>
          <w:sz w:val="48"/>
          <w:szCs w:val="48"/>
        </w:rPr>
      </w:pPr>
    </w:p>
    <w:p>
      <w:pPr>
        <w:widowControl/>
        <w:jc w:val="center"/>
        <w:rPr>
          <w:rFonts w:hint="default" w:ascii="Times New Roman" w:hAnsi="Times New Roman" w:eastAsia="黑体" w:cs="Times New Roman"/>
          <w:sz w:val="48"/>
          <w:szCs w:val="48"/>
        </w:rPr>
      </w:pPr>
    </w:p>
    <w:p>
      <w:pPr>
        <w:widowControl/>
        <w:jc w:val="center"/>
        <w:rPr>
          <w:rFonts w:hint="default" w:ascii="Times New Roman" w:hAnsi="Times New Roman" w:eastAsia="黑体" w:cs="Times New Roman"/>
          <w:sz w:val="48"/>
          <w:szCs w:val="48"/>
        </w:rPr>
      </w:pPr>
    </w:p>
    <w:p>
      <w:pPr>
        <w:widowControl/>
        <w:jc w:val="center"/>
        <w:rPr>
          <w:rFonts w:hint="default" w:ascii="Times New Roman" w:hAnsi="Times New Roman" w:eastAsia="黑体" w:cs="Times New Roman"/>
          <w:sz w:val="48"/>
          <w:szCs w:val="48"/>
        </w:rPr>
      </w:pPr>
      <w:bookmarkStart w:id="71" w:name="_GoBack"/>
      <w:bookmarkEnd w:id="71"/>
    </w:p>
    <w:p>
      <w:pPr>
        <w:widowControl/>
        <w:jc w:val="center"/>
        <w:rPr>
          <w:rFonts w:hint="default" w:ascii="Times New Roman" w:hAnsi="Times New Roman" w:eastAsia="黑体" w:cs="Times New Roman"/>
          <w:sz w:val="48"/>
          <w:szCs w:val="48"/>
        </w:rPr>
      </w:pPr>
    </w:p>
    <w:p>
      <w:pPr>
        <w:widowControl/>
        <w:jc w:val="center"/>
        <w:rPr>
          <w:rFonts w:hint="default" w:ascii="Times New Roman" w:hAnsi="Times New Roman" w:eastAsia="黑体" w:cs="Times New Roman"/>
          <w:sz w:val="48"/>
          <w:szCs w:val="48"/>
        </w:rPr>
      </w:pPr>
    </w:p>
    <w:p>
      <w:pPr>
        <w:widowControl/>
        <w:jc w:val="center"/>
        <w:rPr>
          <w:rFonts w:hint="default" w:ascii="Times New Roman" w:hAnsi="Times New Roman" w:eastAsia="黑体" w:cs="Times New Roman"/>
          <w:sz w:val="48"/>
          <w:szCs w:val="48"/>
        </w:rPr>
      </w:pPr>
    </w:p>
    <w:p>
      <w:pPr>
        <w:widowControl/>
        <w:jc w:val="center"/>
        <w:rPr>
          <w:rFonts w:hint="default" w:ascii="Times New Roman" w:hAnsi="Times New Roman" w:eastAsia="黑体" w:cs="Times New Roman"/>
          <w:sz w:val="48"/>
          <w:szCs w:val="48"/>
          <w:lang w:val="en-US" w:eastAsia="zh-CN"/>
        </w:rPr>
      </w:pPr>
      <w:r>
        <w:rPr>
          <w:rFonts w:hint="default" w:ascii="Times New Roman" w:hAnsi="Times New Roman" w:eastAsia="黑体" w:cs="Times New Roman"/>
          <w:sz w:val="48"/>
          <w:szCs w:val="48"/>
          <w:lang w:val="en-US" w:eastAsia="zh-CN"/>
        </w:rPr>
        <w:t xml:space="preserve">  </w:t>
      </w:r>
    </w:p>
    <w:p>
      <w:pPr>
        <w:widowControl/>
        <w:jc w:val="center"/>
        <w:rPr>
          <w:rFonts w:hint="default" w:ascii="Times New Roman" w:hAnsi="Times New Roman" w:eastAsia="黑体" w:cs="Times New Roman"/>
          <w:sz w:val="48"/>
          <w:szCs w:val="48"/>
        </w:rPr>
      </w:pPr>
    </w:p>
    <w:p>
      <w:pPr>
        <w:widowControl/>
        <w:jc w:val="both"/>
        <w:rPr>
          <w:rFonts w:hint="default" w:ascii="Times New Roman" w:hAnsi="Times New Roman" w:eastAsia="黑体" w:cs="Times New Roman"/>
          <w:sz w:val="48"/>
          <w:szCs w:val="48"/>
        </w:rPr>
      </w:pPr>
    </w:p>
    <w:p>
      <w:pPr>
        <w:widowControl/>
        <w:jc w:val="center"/>
        <w:rPr>
          <w:rFonts w:hint="default" w:ascii="Times New Roman" w:hAnsi="Times New Roman" w:eastAsia="黑体" w:cs="Times New Roman"/>
          <w:sz w:val="48"/>
          <w:szCs w:val="48"/>
        </w:rPr>
      </w:pPr>
    </w:p>
    <w:p>
      <w:pPr>
        <w:widowControl/>
        <w:jc w:val="center"/>
        <w:rPr>
          <w:rFonts w:hint="default" w:ascii="Times New Roman" w:hAnsi="Times New Roman" w:eastAsia="黑体" w:cs="Times New Roman"/>
          <w:sz w:val="48"/>
          <w:szCs w:val="48"/>
        </w:rPr>
      </w:pPr>
      <w:r>
        <w:rPr>
          <w:rFonts w:hint="default" w:ascii="Times New Roman" w:hAnsi="Times New Roman" w:eastAsia="黑体" w:cs="Times New Roman"/>
          <w:sz w:val="48"/>
          <w:szCs w:val="48"/>
        </w:rPr>
        <w:t>目录</w:t>
      </w:r>
    </w:p>
    <w:p>
      <w:pPr>
        <w:widowControl/>
        <w:jc w:val="center"/>
        <w:rPr>
          <w:rFonts w:hint="default" w:ascii="Times New Roman" w:hAnsi="Times New Roman" w:eastAsia="黑体" w:cs="Times New Roman"/>
          <w:sz w:val="28"/>
          <w:szCs w:val="28"/>
        </w:rPr>
      </w:pPr>
    </w:p>
    <w:p>
      <w:pPr>
        <w:pStyle w:val="1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公开时间：2026年</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日</w:t>
      </w:r>
    </w:p>
    <w:p>
      <w:pPr>
        <w:rPr>
          <w:rFonts w:hint="default" w:ascii="Times New Roman" w:hAnsi="Times New Roman" w:cs="Times New Roman"/>
        </w:rPr>
      </w:pPr>
    </w:p>
    <w:p>
      <w:pPr>
        <w:pStyle w:val="12"/>
        <w:adjustRightInd w:val="0"/>
        <w:snapToGrid w:val="0"/>
        <w:spacing w:before="0" w:line="560" w:lineRule="exact"/>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 xml:space="preserve">第一部分 </w:t>
      </w:r>
      <w:r>
        <w:rPr>
          <w:rFonts w:hint="eastAsia" w:ascii="Times New Roman" w:hAnsi="Times New Roman" w:eastAsia="黑体" w:cs="Times New Roman"/>
          <w:sz w:val="32"/>
          <w:szCs w:val="32"/>
          <w:lang w:val="en-US" w:eastAsia="zh-CN"/>
        </w:rPr>
        <w:t>单位</w:t>
      </w:r>
      <w:r>
        <w:rPr>
          <w:rFonts w:hint="default" w:ascii="Times New Roman" w:hAnsi="Times New Roman" w:eastAsia="黑体" w:cs="Times New Roman"/>
          <w:sz w:val="32"/>
          <w:szCs w:val="32"/>
        </w:rPr>
        <w:t>概况</w:t>
      </w:r>
      <w:r>
        <w:rPr>
          <w:rFonts w:hint="eastAsia" w:ascii="Times New Roman" w:hAnsi="Times New Roman" w:eastAsia="黑体" w:cs="Times New Roman"/>
          <w:sz w:val="32"/>
          <w:szCs w:val="32"/>
          <w:lang w:val="en-US" w:eastAsia="zh-CN"/>
        </w:rPr>
        <w:t>...................................................................1</w:t>
      </w:r>
    </w:p>
    <w:p>
      <w:pPr>
        <w:pStyle w:val="12"/>
        <w:adjustRightInd w:val="0"/>
        <w:snapToGrid w:val="0"/>
        <w:spacing w:before="0" w:line="560" w:lineRule="exact"/>
        <w:ind w:firstLine="640" w:firstLineChars="200"/>
        <w:jc w:val="left"/>
        <w:rPr>
          <w:rFonts w:hint="default" w:ascii="Times New Roman" w:hAnsi="Times New Roman" w:eastAsia="黑体" w:cs="Times New Roman"/>
          <w:sz w:val="32"/>
          <w:szCs w:val="32"/>
          <w:lang w:val="en-US" w:eastAsia="zh-CN"/>
        </w:rPr>
      </w:pPr>
      <w:r>
        <w:rPr>
          <w:rFonts w:hint="default" w:ascii="Times New Roman" w:hAnsi="Times New Roman" w:eastAsia="仿宋_GB2312" w:cs="Times New Roman"/>
          <w:sz w:val="32"/>
          <w:szCs w:val="32"/>
        </w:rPr>
        <w:t>一、</w:t>
      </w:r>
      <w:r>
        <w:rPr>
          <w:rFonts w:hint="eastAsia" w:ascii="Times New Roman" w:hAnsi="Times New Roman" w:eastAsia="仿宋_GB2312" w:cs="Times New Roman"/>
          <w:sz w:val="32"/>
          <w:szCs w:val="32"/>
          <w:lang w:val="en-US" w:eastAsia="zh-CN"/>
        </w:rPr>
        <w:t>单位</w:t>
      </w:r>
      <w:r>
        <w:rPr>
          <w:rFonts w:hint="default" w:ascii="Times New Roman" w:hAnsi="Times New Roman" w:eastAsia="仿宋_GB2312" w:cs="Times New Roman"/>
          <w:sz w:val="32"/>
          <w:szCs w:val="32"/>
        </w:rPr>
        <w:t>职责</w:t>
      </w:r>
      <w:r>
        <w:rPr>
          <w:rFonts w:hint="eastAsia" w:ascii="Times New Roman" w:hAnsi="Times New Roman" w:eastAsia="黑体" w:cs="Times New Roman"/>
          <w:sz w:val="32"/>
          <w:szCs w:val="32"/>
          <w:lang w:val="en-US" w:eastAsia="zh-CN"/>
        </w:rPr>
        <w:t>.......................................................................1</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二、机构设置</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w:t>
      </w:r>
    </w:p>
    <w:p>
      <w:pPr>
        <w:pStyle w:val="12"/>
        <w:adjustRightInd w:val="0"/>
        <w:snapToGrid w:val="0"/>
        <w:spacing w:before="0" w:line="560" w:lineRule="exact"/>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第二部分 2025年度部门决算情况说明</w:t>
      </w:r>
    </w:p>
    <w:p>
      <w:pPr>
        <w:pStyle w:val="14"/>
        <w:adjustRightInd w:val="0"/>
        <w:snapToGrid w:val="0"/>
        <w:spacing w:line="560" w:lineRule="exact"/>
        <w:ind w:left="0" w:leftChars="0" w:firstLine="640" w:firstLineChars="200"/>
        <w:jc w:val="left"/>
        <w:rPr>
          <w:rFonts w:hint="default"/>
          <w:lang w:val="en-US" w:eastAsia="zh-CN"/>
        </w:rPr>
      </w:pPr>
      <w:r>
        <w:rPr>
          <w:rFonts w:hint="default" w:ascii="Times New Roman" w:hAnsi="Times New Roman" w:eastAsia="仿宋_GB2312" w:cs="Times New Roman"/>
          <w:sz w:val="32"/>
          <w:szCs w:val="32"/>
        </w:rPr>
        <w:t>一、收入支出决算总体情况说明</w:t>
      </w:r>
      <w:r>
        <w:rPr>
          <w:rFonts w:hint="eastAsia" w:ascii="Times New Roman" w:hAnsi="Times New Roman" w:eastAsia="仿宋_GB2312" w:cs="Times New Roman"/>
          <w:sz w:val="32"/>
          <w:szCs w:val="32"/>
          <w:lang w:val="en-US" w:eastAsia="zh-CN"/>
        </w:rPr>
        <w:t>.......................................2</w:t>
      </w:r>
    </w:p>
    <w:p>
      <w:pPr>
        <w:pStyle w:val="14"/>
        <w:adjustRightInd w:val="0"/>
        <w:snapToGrid w:val="0"/>
        <w:spacing w:line="560" w:lineRule="exact"/>
        <w:ind w:left="0" w:leftChars="0" w:firstLine="640" w:firstLineChars="200"/>
        <w:jc w:val="left"/>
        <w:rPr>
          <w:rFonts w:hint="default"/>
          <w:lang w:val="en-US" w:eastAsia="zh-CN"/>
        </w:rPr>
      </w:pPr>
      <w:r>
        <w:rPr>
          <w:rFonts w:hint="default" w:ascii="Times New Roman" w:hAnsi="Times New Roman" w:eastAsia="仿宋_GB2312" w:cs="Times New Roman"/>
          <w:sz w:val="32"/>
          <w:szCs w:val="32"/>
        </w:rPr>
        <w:t>二、收入决算情况说明</w:t>
      </w:r>
      <w:r>
        <w:rPr>
          <w:rFonts w:hint="eastAsia"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..2</w:t>
      </w:r>
    </w:p>
    <w:p>
      <w:pPr>
        <w:pStyle w:val="14"/>
        <w:adjustRightInd w:val="0"/>
        <w:snapToGrid w:val="0"/>
        <w:spacing w:line="560" w:lineRule="exact"/>
        <w:ind w:left="0" w:leftChars="0" w:firstLine="640" w:firstLineChars="200"/>
        <w:jc w:val="left"/>
        <w:rPr>
          <w:rFonts w:hint="default"/>
          <w:lang w:val="en-US" w:eastAsia="zh-CN"/>
        </w:rPr>
      </w:pPr>
      <w:r>
        <w:rPr>
          <w:rFonts w:hint="default" w:ascii="Times New Roman" w:hAnsi="Times New Roman" w:eastAsia="仿宋_GB2312" w:cs="Times New Roman"/>
          <w:sz w:val="32"/>
          <w:szCs w:val="32"/>
        </w:rPr>
        <w:t>三、支出决算情况说明</w:t>
      </w:r>
      <w:r>
        <w:rPr>
          <w:rFonts w:hint="eastAsia"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3</w:t>
      </w:r>
    </w:p>
    <w:p>
      <w:pPr>
        <w:pStyle w:val="14"/>
        <w:adjustRightInd w:val="0"/>
        <w:snapToGrid w:val="0"/>
        <w:spacing w:line="560" w:lineRule="exact"/>
        <w:ind w:left="0" w:leftChars="0" w:firstLine="640" w:firstLineChars="200"/>
        <w:jc w:val="left"/>
        <w:rPr>
          <w:rFonts w:hint="default"/>
          <w:lang w:val="en-US" w:eastAsia="zh-CN"/>
        </w:rPr>
      </w:pPr>
      <w:r>
        <w:rPr>
          <w:rFonts w:hint="default" w:ascii="Times New Roman" w:hAnsi="Times New Roman" w:eastAsia="仿宋_GB2312" w:cs="Times New Roman"/>
          <w:sz w:val="32"/>
          <w:szCs w:val="32"/>
        </w:rPr>
        <w:t>四、财政拨款收入支出决算总体情况说明</w:t>
      </w:r>
      <w:r>
        <w:rPr>
          <w:rFonts w:hint="eastAsia"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3</w:t>
      </w:r>
    </w:p>
    <w:p>
      <w:pPr>
        <w:pStyle w:val="14"/>
        <w:adjustRightInd w:val="0"/>
        <w:snapToGrid w:val="0"/>
        <w:spacing w:line="560" w:lineRule="exact"/>
        <w:ind w:left="0" w:leftChars="0" w:firstLine="640" w:firstLineChars="200"/>
        <w:jc w:val="left"/>
        <w:rPr>
          <w:rFonts w:hint="default"/>
          <w:lang w:val="en-US" w:eastAsia="zh-CN"/>
        </w:rPr>
      </w:pPr>
      <w:r>
        <w:rPr>
          <w:rFonts w:hint="default" w:ascii="Times New Roman" w:hAnsi="Times New Roman" w:eastAsia="仿宋_GB2312" w:cs="Times New Roman"/>
          <w:sz w:val="32"/>
          <w:szCs w:val="32"/>
        </w:rPr>
        <w:t>五、一般公共预算财政拨款支出决算情况说明</w:t>
      </w:r>
      <w:r>
        <w:rPr>
          <w:rFonts w:hint="eastAsia"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4</w:t>
      </w:r>
    </w:p>
    <w:p>
      <w:pPr>
        <w:pStyle w:val="14"/>
        <w:adjustRightInd w:val="0"/>
        <w:snapToGrid w:val="0"/>
        <w:spacing w:line="560" w:lineRule="exact"/>
        <w:ind w:left="0" w:leftChars="0" w:firstLine="640" w:firstLineChars="200"/>
        <w:jc w:val="left"/>
        <w:rPr>
          <w:rFonts w:hint="default"/>
          <w:lang w:val="en-US" w:eastAsia="zh-CN"/>
        </w:rPr>
      </w:pPr>
      <w:r>
        <w:rPr>
          <w:rFonts w:hint="default" w:ascii="Times New Roman" w:hAnsi="Times New Roman" w:eastAsia="仿宋_GB2312" w:cs="Times New Roman"/>
          <w:sz w:val="32"/>
          <w:szCs w:val="32"/>
        </w:rPr>
        <w:t>六、一般公共预算财政拨款基本支出决算情况说明</w:t>
      </w:r>
      <w:r>
        <w:rPr>
          <w:rFonts w:hint="eastAsia"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6</w:t>
      </w:r>
    </w:p>
    <w:p>
      <w:pPr>
        <w:pStyle w:val="14"/>
        <w:adjustRightInd w:val="0"/>
        <w:snapToGrid w:val="0"/>
        <w:spacing w:line="560" w:lineRule="exact"/>
        <w:ind w:left="0" w:leftChars="0" w:firstLine="640" w:firstLineChars="200"/>
        <w:jc w:val="left"/>
        <w:rPr>
          <w:rFonts w:hint="default"/>
          <w:lang w:val="en-US" w:eastAsia="zh-CN"/>
        </w:rPr>
      </w:pPr>
      <w:r>
        <w:rPr>
          <w:rFonts w:hint="default" w:ascii="Times New Roman" w:hAnsi="Times New Roman" w:eastAsia="仿宋_GB2312" w:cs="Times New Roman"/>
          <w:sz w:val="32"/>
          <w:szCs w:val="32"/>
        </w:rPr>
        <w:t>七、财政拨款“三公”经费支出决算情况说明</w:t>
      </w:r>
      <w:r>
        <w:rPr>
          <w:rFonts w:hint="eastAsia"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7</w:t>
      </w:r>
    </w:p>
    <w:p>
      <w:pPr>
        <w:pStyle w:val="14"/>
        <w:adjustRightInd w:val="0"/>
        <w:snapToGrid w:val="0"/>
        <w:spacing w:line="560" w:lineRule="exact"/>
        <w:ind w:left="0" w:leftChars="0" w:firstLine="640" w:firstLineChars="200"/>
        <w:jc w:val="left"/>
        <w:rPr>
          <w:rFonts w:hint="default"/>
          <w:lang w:val="en-US" w:eastAsia="zh-CN"/>
        </w:rPr>
      </w:pPr>
      <w:r>
        <w:rPr>
          <w:rFonts w:hint="default" w:ascii="Times New Roman" w:hAnsi="Times New Roman" w:eastAsia="仿宋_GB2312" w:cs="Times New Roman"/>
          <w:sz w:val="32"/>
          <w:szCs w:val="32"/>
        </w:rPr>
        <w:t>八、政府性基金预算支出决算情况说明</w:t>
      </w:r>
      <w:r>
        <w:rPr>
          <w:rFonts w:hint="eastAsia"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...9</w:t>
      </w:r>
    </w:p>
    <w:p>
      <w:pPr>
        <w:pStyle w:val="14"/>
        <w:adjustRightInd w:val="0"/>
        <w:snapToGrid w:val="0"/>
        <w:spacing w:line="560" w:lineRule="exact"/>
        <w:ind w:left="0" w:leftChars="0" w:firstLine="640" w:firstLineChars="200"/>
        <w:jc w:val="left"/>
        <w:rPr>
          <w:rFonts w:hint="default"/>
          <w:lang w:val="en-US" w:eastAsia="zh-CN"/>
        </w:rPr>
      </w:pPr>
      <w:r>
        <w:rPr>
          <w:rFonts w:hint="default" w:ascii="Times New Roman" w:hAnsi="Times New Roman" w:eastAsia="仿宋_GB2312" w:cs="Times New Roman"/>
          <w:sz w:val="32"/>
          <w:szCs w:val="32"/>
        </w:rPr>
        <w:t>九、国有资本经营预算支出决算情况说明</w:t>
      </w:r>
      <w:r>
        <w:rPr>
          <w:rFonts w:hint="eastAsia"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9</w:t>
      </w:r>
    </w:p>
    <w:p>
      <w:pPr>
        <w:pStyle w:val="14"/>
        <w:adjustRightInd w:val="0"/>
        <w:snapToGrid w:val="0"/>
        <w:spacing w:line="560" w:lineRule="exact"/>
        <w:ind w:left="0" w:leftChars="0" w:firstLine="640" w:firstLineChars="200"/>
        <w:jc w:val="left"/>
        <w:rPr>
          <w:rFonts w:hint="default"/>
          <w:lang w:val="en-US" w:eastAsia="zh-CN"/>
        </w:rPr>
      </w:pPr>
      <w:r>
        <w:rPr>
          <w:rFonts w:hint="default" w:ascii="Times New Roman" w:hAnsi="Times New Roman" w:eastAsia="仿宋_GB2312" w:cs="Times New Roman"/>
          <w:sz w:val="32"/>
          <w:szCs w:val="32"/>
        </w:rPr>
        <w:t>十、其他重要事项的情况说明</w:t>
      </w:r>
      <w:r>
        <w:rPr>
          <w:rFonts w:hint="eastAsia"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....................9</w:t>
      </w:r>
    </w:p>
    <w:p>
      <w:pPr>
        <w:pStyle w:val="12"/>
        <w:adjustRightInd w:val="0"/>
        <w:snapToGrid w:val="0"/>
        <w:spacing w:before="0" w:line="560" w:lineRule="exact"/>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第三部分 名词解释</w:t>
      </w:r>
      <w:r>
        <w:rPr>
          <w:rFonts w:hint="eastAsia" w:ascii="Times New Roman" w:hAnsi="Times New Roman" w:eastAsia="黑体" w:cs="Times New Roman"/>
          <w:sz w:val="32"/>
          <w:szCs w:val="32"/>
          <w:lang w:val="en-US" w:eastAsia="zh-CN"/>
        </w:rPr>
        <w:t>.................................................................11</w:t>
      </w:r>
    </w:p>
    <w:p>
      <w:pPr>
        <w:pStyle w:val="12"/>
        <w:adjustRightInd w:val="0"/>
        <w:snapToGrid w:val="0"/>
        <w:spacing w:before="0" w:line="560" w:lineRule="exact"/>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第四部分 附件</w:t>
      </w:r>
      <w:r>
        <w:rPr>
          <w:rFonts w:hint="eastAsia" w:ascii="Times New Roman" w:hAnsi="Times New Roman" w:eastAsia="黑体" w:cs="Times New Roman"/>
          <w:sz w:val="32"/>
          <w:szCs w:val="32"/>
          <w:lang w:val="en-US" w:eastAsia="zh-CN"/>
        </w:rPr>
        <w:t>.........................................................................13</w:t>
      </w:r>
    </w:p>
    <w:p>
      <w:pPr>
        <w:pStyle w:val="12"/>
        <w:adjustRightInd w:val="0"/>
        <w:snapToGrid w:val="0"/>
        <w:spacing w:before="0" w:line="560" w:lineRule="exact"/>
        <w:jc w:val="left"/>
        <w:rPr>
          <w:rFonts w:hint="default" w:ascii="Times New Roman" w:hAnsi="Times New Roman" w:eastAsia="黑体" w:cs="Times New Roman"/>
          <w:sz w:val="32"/>
          <w:szCs w:val="32"/>
          <w:lang w:val="en-US"/>
        </w:rPr>
      </w:pPr>
      <w:r>
        <w:rPr>
          <w:rFonts w:hint="default" w:ascii="Times New Roman" w:hAnsi="Times New Roman" w:eastAsia="黑体" w:cs="Times New Roman"/>
          <w:sz w:val="32"/>
          <w:szCs w:val="32"/>
        </w:rPr>
        <w:t>第五部分 附表</w:t>
      </w:r>
      <w:r>
        <w:rPr>
          <w:rFonts w:hint="eastAsia" w:ascii="Times New Roman" w:hAnsi="Times New Roman" w:eastAsia="黑体" w:cs="Times New Roman"/>
          <w:sz w:val="32"/>
          <w:szCs w:val="32"/>
          <w:lang w:val="en-US" w:eastAsia="zh-CN"/>
        </w:rPr>
        <w:t>.........................................................................14</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一、收入支出决算总表</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................14</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二、收入决算表</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14</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三、支出决算表</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..14</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四、财政拨款收入支出决算总表</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..14</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五、财政拨款支出决算明细表</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.14</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六、一般公共预算财政拨款支出决算表</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..14</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七、一般公共预算财政拨款支出决算明细表</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.14</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八、一般公共预算财政拨款基本支出决算明细表</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.14</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九、一般公共预算财政拨款项目支出决算表</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.14</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十、政府性基金预算财政拨款收入支出决算表</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.14</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十一、国有资本经营预算财政拨款收入支出决算表</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14</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十二、国有资本经营预算财政拨款支出决算表</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.14</w:t>
      </w:r>
    </w:p>
    <w:p>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十三、财政拨款“三公”经费支出决算表</w:t>
      </w:r>
      <w:bookmarkStart w:id="12" w:name="_Toc15396599"/>
      <w:bookmarkStart w:id="13" w:name="_Toc15377196"/>
      <w:r>
        <w:rPr>
          <w:rFonts w:hint="eastAsia"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.14</w:t>
      </w:r>
    </w:p>
    <w:p>
      <w:pPr>
        <w:pStyle w:val="3"/>
        <w:jc w:val="center"/>
        <w:rPr>
          <w:rFonts w:hint="default" w:ascii="Times New Roman" w:hAnsi="Times New Roman" w:eastAsia="方正小标宋简体" w:cs="Times New Roman"/>
          <w:b w:val="0"/>
        </w:rPr>
        <w:sectPr>
          <w:footerReference r:id="rId5" w:type="first"/>
          <w:headerReference r:id="rId3" w:type="default"/>
          <w:footerReference r:id="rId4" w:type="default"/>
          <w:pgSz w:w="11906" w:h="16838"/>
          <w:pgMar w:top="1440" w:right="1800" w:bottom="1440" w:left="1800" w:header="851" w:footer="992" w:gutter="0"/>
          <w:pgNumType w:start="1"/>
          <w:cols w:space="425" w:num="1"/>
          <w:docGrid w:type="lines" w:linePitch="312" w:charSpace="0"/>
        </w:sectPr>
      </w:pPr>
    </w:p>
    <w:p>
      <w:pPr>
        <w:pStyle w:val="3"/>
        <w:jc w:val="center"/>
        <w:rPr>
          <w:rStyle w:val="28"/>
          <w:rFonts w:hint="default" w:ascii="Times New Roman" w:hAnsi="Times New Roman" w:eastAsia="方正小标宋简体" w:cs="Times New Roman"/>
          <w:b/>
          <w:bCs w:val="0"/>
        </w:rPr>
      </w:pPr>
      <w:r>
        <w:rPr>
          <w:rFonts w:hint="default" w:ascii="Times New Roman" w:hAnsi="Times New Roman" w:eastAsia="方正小标宋简体" w:cs="Times New Roman"/>
          <w:b w:val="0"/>
        </w:rPr>
        <w:t xml:space="preserve">第一部分  </w:t>
      </w:r>
      <w:r>
        <w:rPr>
          <w:rFonts w:hint="eastAsia" w:ascii="Times New Roman" w:hAnsi="Times New Roman" w:eastAsia="方正小标宋简体" w:cs="Times New Roman"/>
          <w:b w:val="0"/>
          <w:lang w:val="en-US" w:eastAsia="zh-CN"/>
        </w:rPr>
        <w:t>单位</w:t>
      </w:r>
      <w:r>
        <w:rPr>
          <w:rStyle w:val="28"/>
          <w:rFonts w:hint="default" w:ascii="Times New Roman" w:hAnsi="Times New Roman" w:eastAsia="方正小标宋简体" w:cs="Times New Roman"/>
          <w:b w:val="0"/>
          <w:bCs w:val="0"/>
        </w:rPr>
        <w:t>概况</w:t>
      </w:r>
      <w:bookmarkEnd w:id="12"/>
      <w:bookmarkEnd w:id="13"/>
    </w:p>
    <w:p>
      <w:pPr>
        <w:widowControl/>
        <w:jc w:val="left"/>
        <w:rPr>
          <w:rFonts w:hint="default" w:ascii="Times New Roman" w:hAnsi="Times New Roman" w:eastAsia="黑体" w:cs="Times New Roman"/>
          <w:sz w:val="32"/>
          <w:szCs w:val="32"/>
        </w:rPr>
      </w:pPr>
    </w:p>
    <w:p>
      <w:pPr>
        <w:pStyle w:val="4"/>
        <w:numPr>
          <w:ilvl w:val="0"/>
          <w:numId w:val="1"/>
        </w:numPr>
        <w:ind w:left="840" w:leftChars="0"/>
        <w:rPr>
          <w:rFonts w:hint="default" w:ascii="Times New Roman" w:hAnsi="Times New Roman" w:eastAsia="黑体" w:cs="Times New Roman"/>
          <w:b w:val="0"/>
        </w:rPr>
      </w:pPr>
      <w:r>
        <w:rPr>
          <w:rFonts w:hint="eastAsia" w:ascii="Times New Roman" w:hAnsi="Times New Roman" w:eastAsia="黑体" w:cs="Times New Roman"/>
          <w:b w:val="0"/>
          <w:lang w:val="en-US" w:eastAsia="zh-CN"/>
        </w:rPr>
        <w:t>单位</w:t>
      </w:r>
      <w:r>
        <w:rPr>
          <w:rFonts w:hint="default" w:ascii="Times New Roman" w:hAnsi="Times New Roman" w:eastAsia="黑体" w:cs="Times New Roman"/>
          <w:b w:val="0"/>
        </w:rPr>
        <w:t>职责</w:t>
      </w:r>
    </w:p>
    <w:p>
      <w:pPr>
        <w:ind w:firstLine="800" w:firstLineChars="25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我单位主要</w:t>
      </w:r>
      <w:r>
        <w:rPr>
          <w:rFonts w:hint="default" w:ascii="Times New Roman" w:hAnsi="Times New Roman" w:eastAsia="仿宋_GB2312" w:cs="Times New Roman"/>
          <w:color w:val="auto"/>
          <w:sz w:val="32"/>
          <w:szCs w:val="32"/>
          <w:highlight w:val="none"/>
          <w:lang w:val="en-US" w:eastAsia="zh-CN"/>
        </w:rPr>
        <w:t>负责组织、管理和实施专业技术人员职称考试、国家公务员和机关工作人员录用考试、事业单位专业技术人员和管理人员招聘考试、选拔考试以及其它受委托举行的资质认证考试和各类人员的测评、测试。</w:t>
      </w:r>
    </w:p>
    <w:p>
      <w:pPr>
        <w:pStyle w:val="4"/>
        <w:ind w:left="420" w:leftChars="0" w:firstLine="420" w:firstLineChars="0"/>
        <w:rPr>
          <w:rStyle w:val="29"/>
          <w:rFonts w:hint="default" w:ascii="Times New Roman" w:hAnsi="Times New Roman" w:cs="Times New Roman"/>
          <w:b w:val="0"/>
          <w:bCs w:val="0"/>
        </w:rPr>
      </w:pPr>
      <w:bookmarkStart w:id="14" w:name="_Toc15396601"/>
      <w:bookmarkStart w:id="15" w:name="_Toc15377200"/>
      <w:r>
        <w:rPr>
          <w:rFonts w:hint="default" w:ascii="Times New Roman" w:hAnsi="Times New Roman" w:eastAsia="黑体" w:cs="Times New Roman"/>
          <w:b w:val="0"/>
        </w:rPr>
        <w:t>二、机</w:t>
      </w:r>
      <w:r>
        <w:rPr>
          <w:rStyle w:val="29"/>
          <w:rFonts w:hint="default" w:ascii="Times New Roman" w:hAnsi="Times New Roman" w:eastAsia="黑体" w:cs="Times New Roman"/>
          <w:b w:val="0"/>
          <w:bCs w:val="0"/>
        </w:rPr>
        <w:t>构设置</w:t>
      </w:r>
      <w:bookmarkEnd w:id="14"/>
      <w:bookmarkEnd w:id="15"/>
    </w:p>
    <w:p>
      <w:pPr>
        <w:ind w:firstLine="800" w:firstLineChars="250"/>
        <w:rPr>
          <w:rFonts w:hint="default" w:ascii="Times New Roman" w:hAnsi="Times New Roman" w:eastAsia="仿宋_GB2312" w:cs="Times New Roman"/>
          <w:color w:val="auto"/>
          <w:sz w:val="32"/>
          <w:szCs w:val="32"/>
          <w:highlight w:val="none"/>
          <w:lang w:val="en-US" w:eastAsia="zh-CN"/>
        </w:rPr>
      </w:pPr>
      <w:bookmarkStart w:id="16" w:name="_Toc15378448"/>
      <w:bookmarkStart w:id="17" w:name="_Toc15377201"/>
      <w:bookmarkStart w:id="18" w:name="_Toc15306275"/>
      <w:bookmarkStart w:id="19" w:name="_Toc15377432"/>
      <w:r>
        <w:rPr>
          <w:rFonts w:hint="default" w:ascii="Times New Roman" w:hAnsi="Times New Roman" w:eastAsia="仿宋_GB2312" w:cs="Times New Roman"/>
          <w:color w:val="auto"/>
          <w:sz w:val="32"/>
          <w:szCs w:val="32"/>
          <w:highlight w:val="none"/>
          <w:lang w:eastAsia="zh-CN"/>
        </w:rPr>
        <w:t>我单位为攀枝花市人力资源和社会保障局下属事业单位，单位内设综合部和考务部两个部门。</w:t>
      </w:r>
    </w:p>
    <w:bookmarkEnd w:id="16"/>
    <w:bookmarkEnd w:id="17"/>
    <w:bookmarkEnd w:id="18"/>
    <w:bookmarkEnd w:id="19"/>
    <w:p>
      <w:pPr>
        <w:widowControl/>
        <w:jc w:val="left"/>
        <w:rPr>
          <w:rFonts w:hint="default" w:ascii="Times New Roman" w:hAnsi="Times New Roman" w:eastAsia="仿宋" w:cs="Times New Roman"/>
          <w:kern w:val="0"/>
          <w:sz w:val="32"/>
          <w:szCs w:val="32"/>
        </w:rPr>
      </w:pPr>
    </w:p>
    <w:p>
      <w:pPr>
        <w:pStyle w:val="2"/>
        <w:rPr>
          <w:rFonts w:hint="default" w:ascii="Times New Roman" w:hAnsi="Times New Roman" w:eastAsia="仿宋" w:cs="Times New Roman"/>
          <w:kern w:val="0"/>
          <w:sz w:val="32"/>
          <w:szCs w:val="32"/>
        </w:rPr>
      </w:pPr>
    </w:p>
    <w:p>
      <w:pPr>
        <w:pStyle w:val="2"/>
        <w:rPr>
          <w:rFonts w:hint="default" w:ascii="Times New Roman" w:hAnsi="Times New Roman" w:eastAsia="仿宋" w:cs="Times New Roman"/>
          <w:kern w:val="0"/>
          <w:sz w:val="32"/>
          <w:szCs w:val="32"/>
        </w:rPr>
      </w:pPr>
    </w:p>
    <w:p>
      <w:pPr>
        <w:pStyle w:val="2"/>
        <w:rPr>
          <w:rFonts w:hint="default" w:ascii="Times New Roman" w:hAnsi="Times New Roman" w:eastAsia="仿宋" w:cs="Times New Roman"/>
          <w:kern w:val="0"/>
          <w:sz w:val="32"/>
          <w:szCs w:val="32"/>
        </w:rPr>
      </w:pPr>
    </w:p>
    <w:p>
      <w:pPr>
        <w:pStyle w:val="2"/>
        <w:rPr>
          <w:rFonts w:hint="default" w:ascii="Times New Roman" w:hAnsi="Times New Roman" w:eastAsia="仿宋" w:cs="Times New Roman"/>
          <w:kern w:val="0"/>
          <w:sz w:val="32"/>
          <w:szCs w:val="32"/>
        </w:rPr>
      </w:pPr>
    </w:p>
    <w:p>
      <w:pPr>
        <w:pStyle w:val="2"/>
        <w:rPr>
          <w:rFonts w:hint="default" w:ascii="Times New Roman" w:hAnsi="Times New Roman" w:eastAsia="仿宋" w:cs="Times New Roman"/>
          <w:kern w:val="0"/>
          <w:sz w:val="32"/>
          <w:szCs w:val="32"/>
        </w:rPr>
      </w:pPr>
    </w:p>
    <w:p>
      <w:pPr>
        <w:pStyle w:val="2"/>
        <w:rPr>
          <w:rFonts w:hint="default" w:ascii="Times New Roman" w:hAnsi="Times New Roman" w:eastAsia="仿宋" w:cs="Times New Roman"/>
          <w:kern w:val="0"/>
          <w:sz w:val="32"/>
          <w:szCs w:val="32"/>
        </w:rPr>
      </w:pPr>
    </w:p>
    <w:p>
      <w:pPr>
        <w:pStyle w:val="3"/>
        <w:jc w:val="center"/>
        <w:rPr>
          <w:rFonts w:hint="default" w:ascii="Times New Roman" w:hAnsi="Times New Roman" w:eastAsia="方正小标宋简体" w:cs="Times New Roman"/>
          <w:b w:val="0"/>
        </w:rPr>
      </w:pPr>
      <w:bookmarkStart w:id="20" w:name="_Toc15377204"/>
      <w:bookmarkStart w:id="21" w:name="_Toc15396602"/>
      <w:r>
        <w:rPr>
          <w:rFonts w:hint="default" w:ascii="Times New Roman" w:hAnsi="Times New Roman" w:eastAsia="方正小标宋简体" w:cs="Times New Roman"/>
          <w:b w:val="0"/>
        </w:rPr>
        <w:t>第二部分  2025年度部门决算情况说明</w:t>
      </w:r>
      <w:bookmarkEnd w:id="20"/>
      <w:bookmarkEnd w:id="21"/>
    </w:p>
    <w:p>
      <w:pPr>
        <w:rPr>
          <w:rFonts w:hint="default" w:ascii="Times New Roman" w:hAnsi="Times New Roman" w:cs="Times New Roman"/>
        </w:rPr>
      </w:pPr>
    </w:p>
    <w:p>
      <w:pPr>
        <w:pStyle w:val="27"/>
        <w:spacing w:line="600" w:lineRule="exact"/>
        <w:ind w:firstLine="640"/>
        <w:outlineLvl w:val="1"/>
        <w:rPr>
          <w:rStyle w:val="29"/>
          <w:rFonts w:hint="default" w:ascii="Times New Roman" w:hAnsi="Times New Roman" w:eastAsia="黑体" w:cs="Times New Roman"/>
          <w:b w:val="0"/>
        </w:rPr>
      </w:pPr>
      <w:bookmarkStart w:id="22" w:name="_Toc15377205"/>
      <w:bookmarkStart w:id="23" w:name="_Toc15396603"/>
      <w:r>
        <w:rPr>
          <w:rFonts w:hint="default" w:ascii="Times New Roman" w:hAnsi="Times New Roman" w:eastAsia="黑体" w:cs="Times New Roman"/>
          <w:sz w:val="32"/>
          <w:szCs w:val="32"/>
        </w:rPr>
        <w:t>一、收</w:t>
      </w:r>
      <w:r>
        <w:rPr>
          <w:rStyle w:val="29"/>
          <w:rFonts w:hint="default" w:ascii="Times New Roman" w:hAnsi="Times New Roman" w:eastAsia="黑体" w:cs="Times New Roman"/>
          <w:b w:val="0"/>
        </w:rPr>
        <w:t>入支出决算总体情况说明</w:t>
      </w:r>
      <w:bookmarkEnd w:id="22"/>
      <w:bookmarkEnd w:id="23"/>
    </w:p>
    <w:p>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_GB2312" w:cs="Times New Roman"/>
          <w:sz w:val="32"/>
          <w:szCs w:val="32"/>
        </w:rPr>
        <w:t>2025年度收入、支出总计均为</w:t>
      </w:r>
      <w:r>
        <w:rPr>
          <w:rFonts w:hint="default" w:ascii="Times New Roman" w:hAnsi="Times New Roman" w:eastAsia="仿宋_GB2312" w:cs="Times New Roman"/>
          <w:sz w:val="32"/>
          <w:szCs w:val="32"/>
          <w:lang w:val="en-US" w:eastAsia="zh-CN"/>
        </w:rPr>
        <w:t>1037.98</w:t>
      </w:r>
      <w:r>
        <w:rPr>
          <w:rFonts w:hint="default" w:ascii="Times New Roman" w:hAnsi="Times New Roman" w:eastAsia="仿宋_GB2312" w:cs="Times New Roman"/>
          <w:sz w:val="32"/>
          <w:szCs w:val="32"/>
        </w:rPr>
        <w:t>万元。与上年度相比，收入、支出总计各增加</w:t>
      </w:r>
      <w:r>
        <w:rPr>
          <w:rFonts w:hint="default" w:ascii="Times New Roman" w:hAnsi="Times New Roman" w:eastAsia="仿宋_GB2312" w:cs="Times New Roman"/>
          <w:sz w:val="32"/>
          <w:szCs w:val="32"/>
          <w:lang w:val="en-US" w:eastAsia="zh-CN"/>
        </w:rPr>
        <w:t>379.67</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57.7</w:t>
      </w:r>
      <w:r>
        <w:rPr>
          <w:rFonts w:hint="default" w:ascii="Times New Roman" w:hAnsi="Times New Roman" w:eastAsia="仿宋_GB2312" w:cs="Times New Roman"/>
          <w:sz w:val="32"/>
          <w:szCs w:val="32"/>
        </w:rPr>
        <w:t>%。主要变动原因是</w:t>
      </w:r>
      <w:r>
        <w:rPr>
          <w:rFonts w:hint="default" w:ascii="Times New Roman" w:hAnsi="Times New Roman" w:eastAsia="仿宋" w:cs="Times New Roman"/>
          <w:sz w:val="32"/>
          <w:szCs w:val="32"/>
        </w:rPr>
        <w:t>省</w:t>
      </w:r>
      <w:r>
        <w:rPr>
          <w:rFonts w:hint="eastAsia" w:eastAsia="仿宋" w:cs="Times New Roman"/>
          <w:sz w:val="32"/>
          <w:szCs w:val="32"/>
          <w:lang w:val="en-US" w:eastAsia="zh-CN"/>
        </w:rPr>
        <w:t>考试</w:t>
      </w:r>
      <w:r>
        <w:rPr>
          <w:rFonts w:hint="default" w:ascii="Times New Roman" w:hAnsi="Times New Roman" w:eastAsia="仿宋" w:cs="Times New Roman"/>
          <w:sz w:val="32"/>
          <w:szCs w:val="32"/>
          <w:lang w:val="en-US" w:eastAsia="zh-CN"/>
        </w:rPr>
        <w:t>中心</w:t>
      </w:r>
      <w:r>
        <w:rPr>
          <w:rFonts w:hint="default" w:ascii="Times New Roman" w:hAnsi="Times New Roman" w:eastAsia="仿宋" w:cs="Times New Roman"/>
          <w:sz w:val="32"/>
          <w:szCs w:val="32"/>
        </w:rPr>
        <w:t>核拨考点工作经费</w:t>
      </w:r>
      <w:r>
        <w:rPr>
          <w:rFonts w:hint="default" w:ascii="Times New Roman" w:hAnsi="Times New Roman" w:eastAsia="仿宋" w:cs="Times New Roman"/>
          <w:sz w:val="32"/>
          <w:szCs w:val="32"/>
          <w:lang w:val="en-US" w:eastAsia="zh-CN"/>
        </w:rPr>
        <w:t>增加致收入增加，支出增加</w:t>
      </w:r>
      <w:r>
        <w:rPr>
          <w:rFonts w:hint="default" w:ascii="Times New Roman" w:hAnsi="Times New Roman" w:eastAsia="仿宋" w:cs="Times New Roman"/>
          <w:sz w:val="32"/>
          <w:szCs w:val="32"/>
        </w:rPr>
        <w:t>。</w:t>
      </w:r>
    </w:p>
    <w:p>
      <w:pPr>
        <w:pStyle w:val="2"/>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246245" cy="2538730"/>
            <wp:effectExtent l="4445" t="4445" r="16510" b="952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27"/>
        <w:spacing w:line="600" w:lineRule="exact"/>
        <w:ind w:firstLine="1280" w:firstLineChars="400"/>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（图1：收入、支出决算总计变动情况图）</w:t>
      </w:r>
    </w:p>
    <w:p>
      <w:pPr>
        <w:pStyle w:val="27"/>
        <w:spacing w:line="600" w:lineRule="exact"/>
        <w:ind w:firstLine="640"/>
        <w:outlineLvl w:val="1"/>
        <w:rPr>
          <w:rFonts w:hint="default" w:ascii="Times New Roman" w:hAnsi="Times New Roman" w:eastAsia="黑体" w:cs="Times New Roman"/>
          <w:sz w:val="32"/>
          <w:szCs w:val="32"/>
        </w:rPr>
      </w:pPr>
      <w:bookmarkStart w:id="24" w:name="_Toc15377206"/>
      <w:bookmarkStart w:id="25" w:name="_Toc15396604"/>
      <w:r>
        <w:rPr>
          <w:rFonts w:hint="default" w:ascii="Times New Roman" w:hAnsi="Times New Roman" w:eastAsia="黑体" w:cs="Times New Roman"/>
          <w:sz w:val="32"/>
          <w:szCs w:val="32"/>
        </w:rPr>
        <w:t>二、收入决算情况说明</w:t>
      </w:r>
      <w:bookmarkEnd w:id="24"/>
      <w:bookmarkEnd w:id="25"/>
    </w:p>
    <w:p>
      <w:pPr>
        <w:pStyle w:val="27"/>
        <w:spacing w:line="600" w:lineRule="exact"/>
        <w:ind w:firstLine="640"/>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2025年度本年收入合计</w:t>
      </w:r>
      <w:r>
        <w:rPr>
          <w:rFonts w:hint="default" w:ascii="Times New Roman" w:hAnsi="Times New Roman" w:eastAsia="仿宋_GB2312" w:cs="Times New Roman"/>
          <w:sz w:val="32"/>
          <w:szCs w:val="32"/>
          <w:lang w:val="en-US" w:eastAsia="zh-CN"/>
        </w:rPr>
        <w:t>966.05</w:t>
      </w:r>
      <w:r>
        <w:rPr>
          <w:rFonts w:hint="default" w:ascii="Times New Roman" w:hAnsi="Times New Roman" w:eastAsia="仿宋_GB2312" w:cs="Times New Roman"/>
          <w:sz w:val="32"/>
          <w:szCs w:val="32"/>
        </w:rPr>
        <w:t>万元，其中：一般公共预算财政拨款收入</w:t>
      </w:r>
      <w:r>
        <w:rPr>
          <w:rFonts w:hint="default" w:ascii="Times New Roman" w:hAnsi="Times New Roman" w:eastAsia="仿宋_GB2312" w:cs="Times New Roman"/>
          <w:sz w:val="32"/>
          <w:szCs w:val="32"/>
          <w:lang w:val="en-US" w:eastAsia="zh-CN"/>
        </w:rPr>
        <w:t>358.32</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37.1</w:t>
      </w:r>
      <w:r>
        <w:rPr>
          <w:rFonts w:hint="default" w:ascii="Times New Roman" w:hAnsi="Times New Roman" w:eastAsia="仿宋_GB2312" w:cs="Times New Roman"/>
          <w:sz w:val="32"/>
          <w:szCs w:val="32"/>
        </w:rPr>
        <w:t>%；其他收入</w:t>
      </w:r>
      <w:r>
        <w:rPr>
          <w:rFonts w:hint="default" w:ascii="Times New Roman" w:hAnsi="Times New Roman" w:eastAsia="仿宋_GB2312" w:cs="Times New Roman"/>
          <w:sz w:val="32"/>
          <w:szCs w:val="32"/>
          <w:lang w:val="en-US" w:eastAsia="zh-CN"/>
        </w:rPr>
        <w:t>607.72</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62.9</w:t>
      </w:r>
      <w:r>
        <w:rPr>
          <w:rFonts w:hint="default" w:ascii="Times New Roman" w:hAnsi="Times New Roman" w:eastAsia="仿宋_GB2312" w:cs="Times New Roman"/>
          <w:sz w:val="32"/>
          <w:szCs w:val="32"/>
        </w:rPr>
        <w:t>%。</w:t>
      </w:r>
    </w:p>
    <w:p>
      <w:pPr>
        <w:pStyle w:val="27"/>
        <w:spacing w:line="600" w:lineRule="exact"/>
        <w:ind w:firstLine="640"/>
        <w:outlineLvl w:val="1"/>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60288" behindDoc="0" locked="0" layoutInCell="1" allowOverlap="1">
            <wp:simplePos x="0" y="0"/>
            <wp:positionH relativeFrom="column">
              <wp:posOffset>914400</wp:posOffset>
            </wp:positionH>
            <wp:positionV relativeFrom="paragraph">
              <wp:posOffset>-8539480</wp:posOffset>
            </wp:positionV>
            <wp:extent cx="3167380" cy="1975485"/>
            <wp:effectExtent l="4445" t="4445" r="9525" b="20320"/>
            <wp:wrapTopAndBottom/>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default" w:ascii="Times New Roman" w:hAnsi="Times New Roman" w:cs="Times New Roman"/>
          <w:lang w:val="en-US" w:eastAsia="zh-CN"/>
        </w:rPr>
        <w:t xml:space="preserve">         </w:t>
      </w:r>
      <w:r>
        <w:rPr>
          <w:rFonts w:hint="default" w:ascii="Times New Roman" w:hAnsi="Times New Roman" w:eastAsia="仿宋_GB2312" w:cs="Times New Roman"/>
          <w:sz w:val="32"/>
          <w:szCs w:val="32"/>
        </w:rPr>
        <w:t>（图2：收入决算结构图）（饼状图）</w:t>
      </w:r>
    </w:p>
    <w:p>
      <w:pPr>
        <w:pStyle w:val="27"/>
        <w:spacing w:line="600" w:lineRule="exact"/>
        <w:ind w:firstLine="640"/>
        <w:outlineLvl w:val="1"/>
        <w:rPr>
          <w:rStyle w:val="29"/>
          <w:rFonts w:hint="default" w:ascii="Times New Roman" w:hAnsi="Times New Roman" w:eastAsia="黑体" w:cs="Times New Roman"/>
          <w:b w:val="0"/>
        </w:rPr>
      </w:pPr>
      <w:bookmarkStart w:id="26" w:name="_Toc15377207"/>
      <w:bookmarkStart w:id="27" w:name="_Toc15396605"/>
      <w:r>
        <w:rPr>
          <w:rFonts w:hint="default" w:ascii="Times New Roman" w:hAnsi="Times New Roman" w:eastAsia="黑体" w:cs="Times New Roman"/>
          <w:sz w:val="32"/>
          <w:szCs w:val="32"/>
        </w:rPr>
        <w:t>三、支</w:t>
      </w:r>
      <w:r>
        <w:rPr>
          <w:rStyle w:val="29"/>
          <w:rFonts w:hint="default" w:ascii="Times New Roman" w:hAnsi="Times New Roman" w:eastAsia="黑体" w:cs="Times New Roman"/>
          <w:b w:val="0"/>
        </w:rPr>
        <w:t>出决算情况说明</w:t>
      </w:r>
      <w:bookmarkEnd w:id="26"/>
      <w:bookmarkEnd w:id="27"/>
    </w:p>
    <w:p>
      <w:pPr>
        <w:pStyle w:val="27"/>
        <w:spacing w:line="600" w:lineRule="exact"/>
        <w:ind w:firstLine="640"/>
        <w:outlineLvl w:val="1"/>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59264" behindDoc="0" locked="0" layoutInCell="1" allowOverlap="1">
            <wp:simplePos x="0" y="0"/>
            <wp:positionH relativeFrom="column">
              <wp:posOffset>770890</wp:posOffset>
            </wp:positionH>
            <wp:positionV relativeFrom="paragraph">
              <wp:posOffset>979805</wp:posOffset>
            </wp:positionV>
            <wp:extent cx="3409950" cy="2159635"/>
            <wp:effectExtent l="5080" t="4445" r="13970" b="7620"/>
            <wp:wrapTopAndBottom/>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default" w:ascii="Times New Roman" w:hAnsi="Times New Roman" w:eastAsia="仿宋_GB2312" w:cs="Times New Roman"/>
          <w:sz w:val="32"/>
          <w:szCs w:val="32"/>
        </w:rPr>
        <w:t>2025年度本年支出合计</w:t>
      </w:r>
      <w:r>
        <w:rPr>
          <w:rFonts w:hint="default" w:ascii="Times New Roman" w:hAnsi="Times New Roman" w:eastAsia="仿宋_GB2312" w:cs="Times New Roman"/>
          <w:sz w:val="32"/>
          <w:szCs w:val="32"/>
          <w:lang w:val="en-US" w:eastAsia="zh-CN"/>
        </w:rPr>
        <w:t>630.28</w:t>
      </w:r>
      <w:r>
        <w:rPr>
          <w:rFonts w:hint="default" w:ascii="Times New Roman" w:hAnsi="Times New Roman" w:eastAsia="仿宋_GB2312" w:cs="Times New Roman"/>
          <w:sz w:val="32"/>
          <w:szCs w:val="32"/>
        </w:rPr>
        <w:t>万元，其中：基本支出</w:t>
      </w:r>
      <w:r>
        <w:rPr>
          <w:rFonts w:hint="default" w:ascii="Times New Roman" w:hAnsi="Times New Roman" w:eastAsia="仿宋_GB2312" w:cs="Times New Roman"/>
          <w:sz w:val="32"/>
          <w:szCs w:val="32"/>
          <w:lang w:val="en-US" w:eastAsia="zh-CN"/>
        </w:rPr>
        <w:t>224.58</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35.6</w:t>
      </w:r>
      <w:r>
        <w:rPr>
          <w:rFonts w:hint="default" w:ascii="Times New Roman" w:hAnsi="Times New Roman" w:eastAsia="仿宋_GB2312" w:cs="Times New Roman"/>
          <w:sz w:val="32"/>
          <w:szCs w:val="32"/>
        </w:rPr>
        <w:t>%；项目支出</w:t>
      </w:r>
      <w:r>
        <w:rPr>
          <w:rFonts w:hint="default" w:ascii="Times New Roman" w:hAnsi="Times New Roman" w:eastAsia="仿宋_GB2312" w:cs="Times New Roman"/>
          <w:sz w:val="32"/>
          <w:szCs w:val="32"/>
          <w:lang w:val="en-US" w:eastAsia="zh-CN"/>
        </w:rPr>
        <w:t>405.7</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64.4</w:t>
      </w:r>
      <w:r>
        <w:rPr>
          <w:rFonts w:hint="default" w:ascii="Times New Roman" w:hAnsi="Times New Roman" w:eastAsia="仿宋_GB2312" w:cs="Times New Roman"/>
          <w:sz w:val="32"/>
          <w:szCs w:val="32"/>
        </w:rPr>
        <w:t>%。</w:t>
      </w:r>
    </w:p>
    <w:p>
      <w:pPr>
        <w:pStyle w:val="27"/>
        <w:spacing w:line="600" w:lineRule="exact"/>
        <w:ind w:firstLine="1600" w:firstLineChars="500"/>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（图3：支出决算结构图）</w:t>
      </w:r>
    </w:p>
    <w:p>
      <w:pPr>
        <w:spacing w:line="600" w:lineRule="exact"/>
        <w:ind w:firstLine="640" w:firstLineChars="200"/>
        <w:outlineLvl w:val="1"/>
        <w:rPr>
          <w:rStyle w:val="29"/>
          <w:rFonts w:hint="default" w:ascii="Times New Roman" w:hAnsi="Times New Roman" w:eastAsia="黑体" w:cs="Times New Roman"/>
          <w:b w:val="0"/>
        </w:rPr>
      </w:pPr>
      <w:bookmarkStart w:id="28" w:name="_Toc15396606"/>
      <w:bookmarkStart w:id="29" w:name="_Toc15377208"/>
      <w:r>
        <w:rPr>
          <w:rFonts w:hint="default" w:ascii="Times New Roman" w:hAnsi="Times New Roman" w:eastAsia="黑体" w:cs="Times New Roman"/>
          <w:sz w:val="32"/>
          <w:szCs w:val="32"/>
        </w:rPr>
        <w:t>四、财</w:t>
      </w:r>
      <w:r>
        <w:rPr>
          <w:rStyle w:val="29"/>
          <w:rFonts w:hint="default" w:ascii="Times New Roman" w:hAnsi="Times New Roman" w:eastAsia="黑体" w:cs="Times New Roman"/>
          <w:b w:val="0"/>
        </w:rPr>
        <w:t>政拨款收入支出决算总体情况说明</w:t>
      </w:r>
      <w:bookmarkEnd w:id="28"/>
      <w:bookmarkEnd w:id="29"/>
    </w:p>
    <w:p>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2025年度财政拨款收入、支出总计均为</w:t>
      </w:r>
      <w:r>
        <w:rPr>
          <w:rFonts w:hint="default" w:ascii="Times New Roman" w:hAnsi="Times New Roman" w:eastAsia="仿宋_GB2312" w:cs="Times New Roman"/>
          <w:sz w:val="32"/>
          <w:szCs w:val="32"/>
          <w:lang w:val="en-US" w:eastAsia="zh-CN"/>
        </w:rPr>
        <w:t>358.32</w:t>
      </w:r>
      <w:r>
        <w:rPr>
          <w:rFonts w:hint="default" w:ascii="Times New Roman" w:hAnsi="Times New Roman" w:eastAsia="仿宋_GB2312" w:cs="Times New Roman"/>
          <w:sz w:val="32"/>
          <w:szCs w:val="32"/>
        </w:rPr>
        <w:t>万元。与上年度相比，财政拨款收入、支出总计各减少</w:t>
      </w:r>
      <w:r>
        <w:rPr>
          <w:rFonts w:hint="default" w:ascii="Times New Roman" w:hAnsi="Times New Roman" w:eastAsia="仿宋_GB2312" w:cs="Times New Roman"/>
          <w:sz w:val="32"/>
          <w:szCs w:val="32"/>
          <w:lang w:val="en-US" w:eastAsia="zh-CN"/>
        </w:rPr>
        <w:t>13.24</w:t>
      </w:r>
      <w:r>
        <w:rPr>
          <w:rFonts w:hint="default" w:ascii="Times New Roman" w:hAnsi="Times New Roman" w:eastAsia="仿宋_GB2312" w:cs="Times New Roman"/>
          <w:sz w:val="32"/>
          <w:szCs w:val="32"/>
        </w:rPr>
        <w:t>万元，下降</w:t>
      </w:r>
      <w:r>
        <w:rPr>
          <w:rFonts w:hint="default" w:ascii="Times New Roman" w:hAnsi="Times New Roman" w:eastAsia="仿宋_GB2312" w:cs="Times New Roman"/>
          <w:sz w:val="32"/>
          <w:szCs w:val="32"/>
          <w:lang w:val="en-US" w:eastAsia="zh-CN"/>
        </w:rPr>
        <w:t>3.6</w:t>
      </w:r>
      <w:r>
        <w:rPr>
          <w:rFonts w:hint="default" w:ascii="Times New Roman" w:hAnsi="Times New Roman" w:eastAsia="仿宋_GB2312" w:cs="Times New Roman"/>
          <w:sz w:val="32"/>
          <w:szCs w:val="32"/>
        </w:rPr>
        <w:t>%。主要变动原因</w:t>
      </w:r>
      <w:r>
        <w:rPr>
          <w:rFonts w:hint="default" w:ascii="Times New Roman" w:hAnsi="Times New Roman" w:eastAsia="仿宋_GB2312" w:cs="Times New Roman"/>
          <w:sz w:val="32"/>
          <w:szCs w:val="32"/>
          <w:lang w:val="en-US" w:eastAsia="zh-CN"/>
        </w:rPr>
        <w:t>是项目支出较2024年</w:t>
      </w:r>
      <w:r>
        <w:rPr>
          <w:rFonts w:hint="eastAsia" w:ascii="Times New Roman" w:hAnsi="Times New Roman" w:eastAsia="仿宋_GB2312" w:cs="Times New Roman"/>
          <w:sz w:val="32"/>
          <w:szCs w:val="32"/>
          <w:lang w:val="en-US" w:eastAsia="zh-CN"/>
        </w:rPr>
        <w:t>度</w:t>
      </w:r>
      <w:r>
        <w:rPr>
          <w:rFonts w:hint="default" w:ascii="Times New Roman" w:hAnsi="Times New Roman" w:eastAsia="仿宋_GB2312" w:cs="Times New Roman"/>
          <w:sz w:val="32"/>
          <w:szCs w:val="32"/>
          <w:lang w:val="en-US" w:eastAsia="zh-CN"/>
        </w:rPr>
        <w:t xml:space="preserve">有所减少。                              </w:t>
      </w:r>
    </w:p>
    <w:p>
      <w:pPr>
        <w:pStyle w:val="2"/>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r>
        <w:rPr>
          <w:rFonts w:hint="default" w:ascii="Times New Roman" w:hAnsi="Times New Roman" w:cs="Times New Roman"/>
          <w:lang w:val="en-US" w:eastAsia="zh-CN"/>
        </w:rPr>
        <w:t xml:space="preserve">     </w:t>
      </w:r>
      <w:r>
        <w:rPr>
          <w:rFonts w:hint="default" w:ascii="Times New Roman" w:hAnsi="Times New Roman" w:cs="Times New Roman"/>
        </w:rPr>
        <w:drawing>
          <wp:inline distT="0" distB="0" distL="114300" distR="114300">
            <wp:extent cx="4200525" cy="2828925"/>
            <wp:effectExtent l="4445" t="4445" r="5080" b="5080"/>
            <wp:docPr id="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（图4：财政拨款收、支决算总计变动情况）</w:t>
      </w:r>
    </w:p>
    <w:p>
      <w:pPr>
        <w:spacing w:line="600" w:lineRule="exact"/>
        <w:ind w:firstLine="640" w:firstLineChars="200"/>
        <w:outlineLvl w:val="1"/>
        <w:rPr>
          <w:rStyle w:val="29"/>
          <w:rFonts w:hint="default" w:ascii="Times New Roman" w:hAnsi="Times New Roman" w:eastAsia="黑体" w:cs="Times New Roman"/>
          <w:b w:val="0"/>
        </w:rPr>
      </w:pPr>
      <w:bookmarkStart w:id="30" w:name="_Toc15396607"/>
      <w:bookmarkStart w:id="31" w:name="_Toc15377209"/>
      <w:r>
        <w:rPr>
          <w:rFonts w:hint="default" w:ascii="Times New Roman" w:hAnsi="Times New Roman" w:eastAsia="黑体" w:cs="Times New Roman"/>
          <w:sz w:val="32"/>
          <w:szCs w:val="32"/>
        </w:rPr>
        <w:t>五、</w:t>
      </w:r>
      <w:r>
        <w:rPr>
          <w:rFonts w:hint="default" w:ascii="Times New Roman" w:hAnsi="Times New Roman" w:eastAsia="黑体" w:cs="Times New Roman"/>
          <w:b/>
          <w:sz w:val="32"/>
          <w:szCs w:val="32"/>
        </w:rPr>
        <w:t>一</w:t>
      </w:r>
      <w:r>
        <w:rPr>
          <w:rStyle w:val="29"/>
          <w:rFonts w:hint="default" w:ascii="Times New Roman" w:hAnsi="Times New Roman" w:eastAsia="黑体" w:cs="Times New Roman"/>
          <w:b w:val="0"/>
        </w:rPr>
        <w:t>般公共预算财政拨款支出决算情况说明</w:t>
      </w:r>
      <w:bookmarkEnd w:id="30"/>
      <w:bookmarkEnd w:id="31"/>
    </w:p>
    <w:p>
      <w:pPr>
        <w:spacing w:line="600" w:lineRule="exact"/>
        <w:ind w:firstLine="643" w:firstLineChars="200"/>
        <w:outlineLvl w:val="2"/>
        <w:rPr>
          <w:rFonts w:hint="default" w:ascii="Times New Roman" w:hAnsi="Times New Roman" w:eastAsia="楷体_GB2312" w:cs="Times New Roman"/>
          <w:b/>
          <w:sz w:val="32"/>
          <w:szCs w:val="32"/>
        </w:rPr>
      </w:pPr>
      <w:bookmarkStart w:id="32" w:name="_Toc15377210"/>
      <w:r>
        <w:rPr>
          <w:rFonts w:hint="default" w:ascii="Times New Roman" w:hAnsi="Times New Roman" w:eastAsia="楷体_GB2312" w:cs="Times New Roman"/>
          <w:b/>
          <w:sz w:val="32"/>
          <w:szCs w:val="32"/>
        </w:rPr>
        <w:t>（一）一般公共预算财政拨款支出决算总体情况</w:t>
      </w:r>
      <w:bookmarkEnd w:id="32"/>
    </w:p>
    <w:p>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2025年度一般公共预算财政拨款支出</w:t>
      </w:r>
      <w:r>
        <w:rPr>
          <w:rFonts w:hint="default" w:ascii="Times New Roman" w:hAnsi="Times New Roman" w:eastAsia="仿宋_GB2312" w:cs="Times New Roman"/>
          <w:sz w:val="32"/>
          <w:szCs w:val="32"/>
          <w:lang w:val="en-US" w:eastAsia="zh-CN"/>
        </w:rPr>
        <w:t>358.32</w:t>
      </w:r>
      <w:r>
        <w:rPr>
          <w:rFonts w:hint="default" w:ascii="Times New Roman" w:hAnsi="Times New Roman" w:eastAsia="仿宋_GB2312" w:cs="Times New Roman"/>
          <w:sz w:val="32"/>
          <w:szCs w:val="32"/>
        </w:rPr>
        <w:t>万元，占本年支出合计的</w:t>
      </w:r>
      <w:r>
        <w:rPr>
          <w:rFonts w:hint="default" w:ascii="Times New Roman" w:hAnsi="Times New Roman" w:eastAsia="仿宋_GB2312" w:cs="Times New Roman"/>
          <w:sz w:val="32"/>
          <w:szCs w:val="32"/>
          <w:lang w:val="en-US" w:eastAsia="zh-CN"/>
        </w:rPr>
        <w:t>56.9</w:t>
      </w:r>
      <w:r>
        <w:rPr>
          <w:rFonts w:hint="default" w:ascii="Times New Roman" w:hAnsi="Times New Roman" w:eastAsia="仿宋_GB2312" w:cs="Times New Roman"/>
          <w:sz w:val="32"/>
          <w:szCs w:val="32"/>
        </w:rPr>
        <w:t>%。与上年度相比，一般公共预算财政拨款支出减少</w:t>
      </w:r>
      <w:r>
        <w:rPr>
          <w:rFonts w:hint="default" w:ascii="Times New Roman" w:hAnsi="Times New Roman" w:eastAsia="仿宋_GB2312" w:cs="Times New Roman"/>
          <w:sz w:val="32"/>
          <w:szCs w:val="32"/>
          <w:lang w:val="en-US" w:eastAsia="zh-CN"/>
        </w:rPr>
        <w:t>13.24</w:t>
      </w:r>
      <w:r>
        <w:rPr>
          <w:rFonts w:hint="default" w:ascii="Times New Roman" w:hAnsi="Times New Roman" w:eastAsia="仿宋_GB2312" w:cs="Times New Roman"/>
          <w:sz w:val="32"/>
          <w:szCs w:val="32"/>
        </w:rPr>
        <w:t>万元，下降</w:t>
      </w:r>
      <w:r>
        <w:rPr>
          <w:rFonts w:hint="default" w:ascii="Times New Roman" w:hAnsi="Times New Roman" w:eastAsia="仿宋_GB2312" w:cs="Times New Roman"/>
          <w:sz w:val="32"/>
          <w:szCs w:val="32"/>
          <w:lang w:val="en-US" w:eastAsia="zh-CN"/>
        </w:rPr>
        <w:t>3.6</w:t>
      </w:r>
      <w:r>
        <w:rPr>
          <w:rFonts w:hint="default" w:ascii="Times New Roman" w:hAnsi="Times New Roman" w:eastAsia="仿宋_GB2312" w:cs="Times New Roman"/>
          <w:sz w:val="32"/>
          <w:szCs w:val="32"/>
        </w:rPr>
        <w:t>%。主要变动原因</w:t>
      </w:r>
      <w:r>
        <w:rPr>
          <w:rFonts w:hint="default" w:ascii="Times New Roman" w:hAnsi="Times New Roman" w:eastAsia="仿宋_GB2312" w:cs="Times New Roman"/>
          <w:sz w:val="32"/>
          <w:szCs w:val="32"/>
          <w:lang w:val="en-US" w:eastAsia="zh-CN"/>
        </w:rPr>
        <w:t>项目支出较2024年</w:t>
      </w:r>
      <w:r>
        <w:rPr>
          <w:rFonts w:hint="eastAsia" w:ascii="Times New Roman" w:hAnsi="Times New Roman" w:eastAsia="仿宋_GB2312" w:cs="Times New Roman"/>
          <w:sz w:val="32"/>
          <w:szCs w:val="32"/>
          <w:lang w:val="en-US" w:eastAsia="zh-CN"/>
        </w:rPr>
        <w:t>度</w:t>
      </w:r>
      <w:r>
        <w:rPr>
          <w:rFonts w:hint="default" w:ascii="Times New Roman" w:hAnsi="Times New Roman" w:eastAsia="仿宋_GB2312" w:cs="Times New Roman"/>
          <w:sz w:val="32"/>
          <w:szCs w:val="32"/>
          <w:lang w:val="en-US" w:eastAsia="zh-CN"/>
        </w:rPr>
        <w:t>有所减少。</w:t>
      </w:r>
    </w:p>
    <w:p>
      <w:pPr>
        <w:pStyle w:val="2"/>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137025" cy="2590800"/>
            <wp:effectExtent l="4445" t="4445" r="11430" b="1460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0" w:firstLineChars="200"/>
        <w:outlineLvl w:val="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（图5：一般公共预算财政拨款支出决算变动情况）</w:t>
      </w:r>
      <w:bookmarkStart w:id="33" w:name="_Toc15377211"/>
    </w:p>
    <w:p>
      <w:pPr>
        <w:spacing w:line="600" w:lineRule="exact"/>
        <w:ind w:firstLine="643" w:firstLineChars="200"/>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（二）一般公共预算财政拨款支出决算结构情况</w:t>
      </w:r>
      <w:bookmarkEnd w:id="33"/>
    </w:p>
    <w:p>
      <w:pPr>
        <w:spacing w:line="600" w:lineRule="exact"/>
        <w:ind w:firstLine="640"/>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sz w:val="32"/>
          <w:szCs w:val="32"/>
        </w:rPr>
        <w:t>2025年度一般公共预算财政拨款支出</w:t>
      </w:r>
      <w:r>
        <w:rPr>
          <w:rFonts w:hint="default" w:ascii="Times New Roman" w:hAnsi="Times New Roman" w:eastAsia="仿宋_GB2312" w:cs="Times New Roman"/>
          <w:sz w:val="32"/>
          <w:szCs w:val="32"/>
          <w:lang w:val="en-US" w:eastAsia="zh-CN"/>
        </w:rPr>
        <w:t>358.32</w:t>
      </w:r>
      <w:r>
        <w:rPr>
          <w:rFonts w:hint="default" w:ascii="Times New Roman" w:hAnsi="Times New Roman" w:eastAsia="仿宋_GB2312" w:cs="Times New Roman"/>
          <w:sz w:val="32"/>
          <w:szCs w:val="32"/>
        </w:rPr>
        <w:t>万元，主要用于以下方面：社会保障和就业支出</w:t>
      </w:r>
      <w:r>
        <w:rPr>
          <w:rFonts w:hint="default" w:ascii="Times New Roman" w:hAnsi="Times New Roman" w:eastAsia="仿宋_GB2312" w:cs="Times New Roman"/>
          <w:sz w:val="32"/>
          <w:szCs w:val="32"/>
          <w:lang w:val="en-US" w:eastAsia="zh-CN"/>
        </w:rPr>
        <w:t>329.5</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92</w:t>
      </w:r>
      <w:r>
        <w:rPr>
          <w:rFonts w:hint="default" w:ascii="Times New Roman" w:hAnsi="Times New Roman" w:eastAsia="仿宋_GB2312" w:cs="Times New Roman"/>
          <w:sz w:val="32"/>
          <w:szCs w:val="32"/>
        </w:rPr>
        <w:t>%；卫生健康支出</w:t>
      </w:r>
      <w:r>
        <w:rPr>
          <w:rFonts w:hint="default" w:ascii="Times New Roman" w:hAnsi="Times New Roman" w:eastAsia="仿宋_GB2312" w:cs="Times New Roman"/>
          <w:sz w:val="32"/>
          <w:szCs w:val="32"/>
          <w:lang w:val="en-US" w:eastAsia="zh-CN"/>
        </w:rPr>
        <w:t>13.03</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3.6</w:t>
      </w:r>
      <w:r>
        <w:rPr>
          <w:rFonts w:hint="default" w:ascii="Times New Roman" w:hAnsi="Times New Roman" w:eastAsia="仿宋_GB2312" w:cs="Times New Roman"/>
          <w:sz w:val="32"/>
          <w:szCs w:val="32"/>
        </w:rPr>
        <w:t>%；住房保障支出</w:t>
      </w:r>
      <w:r>
        <w:rPr>
          <w:rFonts w:hint="default" w:ascii="Times New Roman" w:hAnsi="Times New Roman" w:eastAsia="仿宋_GB2312" w:cs="Times New Roman"/>
          <w:sz w:val="32"/>
          <w:szCs w:val="32"/>
          <w:lang w:val="en-US" w:eastAsia="zh-CN"/>
        </w:rPr>
        <w:t>15.8</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4.4</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pPr>
        <w:pStyle w:val="2"/>
        <w:jc w:val="center"/>
        <w:rPr>
          <w:rFonts w:hint="default" w:ascii="Times New Roman" w:hAnsi="Times New Roman" w:eastAsia="仿宋_GB2312" w:cs="Times New Roman"/>
          <w:b/>
          <w:bCs/>
          <w:sz w:val="32"/>
          <w:szCs w:val="32"/>
        </w:rPr>
      </w:pPr>
      <w:r>
        <w:rPr>
          <w:rFonts w:hint="default" w:ascii="Times New Roman" w:hAnsi="Times New Roman" w:cs="Times New Roman"/>
        </w:rPr>
        <w:drawing>
          <wp:inline distT="0" distB="0" distL="114300" distR="114300">
            <wp:extent cx="3419475" cy="2444750"/>
            <wp:effectExtent l="4445" t="4445" r="5080" b="8255"/>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（图6：一般公共预算财政拨款支出决算结构）</w:t>
      </w:r>
    </w:p>
    <w:p>
      <w:pPr>
        <w:spacing w:line="600" w:lineRule="exact"/>
        <w:ind w:firstLine="643" w:firstLineChars="200"/>
        <w:outlineLvl w:val="2"/>
        <w:rPr>
          <w:rFonts w:hint="default" w:ascii="Times New Roman" w:hAnsi="Times New Roman" w:eastAsia="楷体_GB2312" w:cs="Times New Roman"/>
          <w:b/>
          <w:sz w:val="32"/>
          <w:szCs w:val="32"/>
        </w:rPr>
      </w:pPr>
      <w:bookmarkStart w:id="34" w:name="_Toc15377212"/>
      <w:r>
        <w:rPr>
          <w:rFonts w:hint="default" w:ascii="Times New Roman" w:hAnsi="Times New Roman" w:eastAsia="楷体_GB2312" w:cs="Times New Roman"/>
          <w:b/>
          <w:sz w:val="32"/>
          <w:szCs w:val="32"/>
        </w:rPr>
        <w:t>（三）一般公共预算财政拨款支出决算具体情况</w:t>
      </w:r>
      <w:bookmarkEnd w:id="34"/>
    </w:p>
    <w:p>
      <w:pPr>
        <w:spacing w:line="600" w:lineRule="exact"/>
        <w:ind w:firstLine="640"/>
        <w:rPr>
          <w:rFonts w:hint="default" w:ascii="Times New Roman" w:hAnsi="Times New Roman" w:eastAsia="仿宋_GB2312" w:cs="Times New Roman"/>
          <w:sz w:val="32"/>
          <w:szCs w:val="32"/>
        </w:rPr>
      </w:pPr>
      <w:bookmarkStart w:id="35" w:name="_Toc15378460"/>
      <w:bookmarkStart w:id="36" w:name="_Toc15377213"/>
      <w:bookmarkStart w:id="37" w:name="_Toc15377444"/>
      <w:r>
        <w:rPr>
          <w:rFonts w:hint="default" w:ascii="Times New Roman" w:hAnsi="Times New Roman" w:eastAsia="仿宋_GB2312" w:cs="Times New Roman"/>
          <w:sz w:val="32"/>
          <w:szCs w:val="32"/>
        </w:rPr>
        <w:t>2025年度一般公共预算支出决算数为</w:t>
      </w:r>
      <w:r>
        <w:rPr>
          <w:rFonts w:hint="default" w:ascii="Times New Roman" w:hAnsi="Times New Roman" w:eastAsia="仿宋_GB2312" w:cs="Times New Roman"/>
          <w:sz w:val="32"/>
          <w:szCs w:val="32"/>
          <w:lang w:val="en-US" w:eastAsia="zh-CN"/>
        </w:rPr>
        <w:t>358.32</w:t>
      </w:r>
      <w:r>
        <w:rPr>
          <w:rFonts w:hint="default" w:ascii="Times New Roman" w:hAnsi="Times New Roman" w:eastAsia="仿宋_GB2312" w:cs="Times New Roman"/>
          <w:sz w:val="32"/>
          <w:szCs w:val="32"/>
        </w:rPr>
        <w:t>，完成预算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%。其中：</w:t>
      </w:r>
      <w:bookmarkEnd w:id="35"/>
      <w:bookmarkEnd w:id="36"/>
      <w:bookmarkEnd w:id="37"/>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1.社会保障和就业支出（类）人力资源和社会保障管理事务（款）事业运行（项）：支出决算为165.18万元，完成预算100%，决算数等于预算数。</w:t>
      </w:r>
    </w:p>
    <w:p>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社会保障和就业支出（类）人力资源和社会保障管理事务（款）其他人力资源和社会保障管理事务支出（项）：支出决算为133.74万元，完成预算100%，决算数等于预算数。</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社会保障和就业支出（类）行政事业单位养老支出（款）事业单位离退休（项）：支出决算为8.95万元，完成预算100%，决算数等于预算数。</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社会保障和就业支出（类）行政事业单位养老支出（款）机关事业单位基本养老保险缴费支出（项）：支出决算为21.62万元，完成预算100%，决算数等于预算数。</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2.卫生健康支出（类）行政事业单位医疗（款）事业单位医疗（项）：支出决算为10.4万元，完成预算100%，决算数等于预算数。</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卫生健康支出（类）行政事业单位医疗（款）公务员医疗补助（项）：支出决算为1.34万元，完成预算100%，决算数等于预算数。</w:t>
      </w:r>
    </w:p>
    <w:p>
      <w:pPr>
        <w:pStyle w:val="2"/>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卫生健康支出（类）行政事业单位医疗（款）其他行政事业单位医疗支出（项）</w:t>
      </w:r>
      <w:r>
        <w:rPr>
          <w:rFonts w:hint="default" w:ascii="Times New Roman" w:hAnsi="Times New Roman"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支出决算为1.</w:t>
      </w:r>
      <w:r>
        <w:rPr>
          <w:rFonts w:hint="default" w:ascii="Times New Roman" w:hAnsi="Times New Roman" w:cs="Times New Roman"/>
          <w:color w:val="auto"/>
          <w:kern w:val="2"/>
          <w:sz w:val="32"/>
          <w:szCs w:val="32"/>
          <w:highlight w:val="none"/>
          <w:lang w:val="en-US" w:eastAsia="zh-CN" w:bidi="ar-SA"/>
        </w:rPr>
        <w:t>29</w:t>
      </w:r>
      <w:r>
        <w:rPr>
          <w:rFonts w:hint="default" w:ascii="Times New Roman" w:hAnsi="Times New Roman" w:eastAsia="仿宋_GB2312" w:cs="Times New Roman"/>
          <w:color w:val="auto"/>
          <w:kern w:val="2"/>
          <w:sz w:val="32"/>
          <w:szCs w:val="32"/>
          <w:highlight w:val="none"/>
          <w:lang w:val="en-US" w:eastAsia="zh-CN" w:bidi="ar-SA"/>
        </w:rPr>
        <w:t>万元，完成预算100%，决算数等于预算数。</w:t>
      </w:r>
    </w:p>
    <w:p>
      <w:pPr>
        <w:numPr>
          <w:ilvl w:val="0"/>
          <w:numId w:val="0"/>
        </w:num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3.住房保障支出（类）住房改革支出（款）住房公积金（项）：支出决算为15.8万元，完成预算100%，决算数等于预算数。</w:t>
      </w:r>
    </w:p>
    <w:p>
      <w:pPr>
        <w:tabs>
          <w:tab w:val="right" w:pos="8306"/>
        </w:tabs>
        <w:spacing w:line="600" w:lineRule="exact"/>
        <w:ind w:firstLine="640"/>
        <w:outlineLvl w:val="1"/>
        <w:rPr>
          <w:rStyle w:val="29"/>
          <w:rFonts w:hint="default" w:ascii="Times New Roman" w:hAnsi="Times New Roman" w:cs="Times New Roman"/>
        </w:rPr>
      </w:pPr>
      <w:bookmarkStart w:id="38" w:name="_Toc15377214"/>
      <w:bookmarkStart w:id="39" w:name="_Toc15396608"/>
      <w:r>
        <w:rPr>
          <w:rFonts w:hint="default" w:ascii="Times New Roman" w:hAnsi="Times New Roman" w:eastAsia="黑体" w:cs="Times New Roman"/>
          <w:sz w:val="32"/>
          <w:szCs w:val="32"/>
        </w:rPr>
        <w:t>六</w:t>
      </w:r>
      <w:r>
        <w:rPr>
          <w:rFonts w:hint="default" w:ascii="Times New Roman" w:hAnsi="Times New Roman" w:eastAsia="黑体" w:cs="Times New Roman"/>
          <w:b/>
          <w:sz w:val="32"/>
          <w:szCs w:val="32"/>
        </w:rPr>
        <w:t>、一</w:t>
      </w:r>
      <w:r>
        <w:rPr>
          <w:rStyle w:val="29"/>
          <w:rFonts w:hint="default" w:ascii="Times New Roman" w:hAnsi="Times New Roman" w:eastAsia="黑体" w:cs="Times New Roman"/>
          <w:b w:val="0"/>
        </w:rPr>
        <w:t>般公共预算财政拨款基本支出决算情况说明</w:t>
      </w:r>
      <w:bookmarkEnd w:id="38"/>
      <w:bookmarkEnd w:id="39"/>
      <w:r>
        <w:rPr>
          <w:rStyle w:val="29"/>
          <w:rFonts w:hint="default" w:ascii="Times New Roman" w:hAnsi="Times New Roman" w:eastAsia="黑体" w:cs="Times New Roman"/>
          <w:b w:val="0"/>
        </w:rPr>
        <w:tab/>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2025年度一般公共预算财政拨款基本支出</w:t>
      </w:r>
      <w:r>
        <w:rPr>
          <w:rFonts w:hint="default" w:ascii="Times New Roman" w:hAnsi="Times New Roman" w:eastAsia="仿宋_GB2312" w:cs="Times New Roman"/>
          <w:sz w:val="32"/>
          <w:szCs w:val="32"/>
          <w:lang w:val="en-US" w:eastAsia="zh-CN"/>
        </w:rPr>
        <w:t>224.58</w:t>
      </w:r>
      <w:r>
        <w:rPr>
          <w:rFonts w:hint="default" w:ascii="Times New Roman" w:hAnsi="Times New Roman" w:eastAsia="仿宋_GB2312" w:cs="Times New Roman"/>
          <w:sz w:val="32"/>
          <w:szCs w:val="32"/>
        </w:rPr>
        <w:t>万元，其中：</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sz w:val="32"/>
          <w:szCs w:val="32"/>
        </w:rPr>
        <w:t>人员经费</w:t>
      </w:r>
      <w:r>
        <w:rPr>
          <w:rFonts w:hint="default" w:ascii="Times New Roman" w:hAnsi="Times New Roman" w:eastAsia="仿宋_GB2312" w:cs="Times New Roman"/>
          <w:sz w:val="32"/>
          <w:szCs w:val="32"/>
          <w:lang w:val="en-US" w:eastAsia="zh-CN"/>
        </w:rPr>
        <w:t>208.91</w:t>
      </w:r>
      <w:r>
        <w:rPr>
          <w:rFonts w:hint="default" w:ascii="Times New Roman" w:hAnsi="Times New Roman" w:eastAsia="仿宋_GB2312" w:cs="Times New Roman"/>
          <w:sz w:val="32"/>
          <w:szCs w:val="32"/>
        </w:rPr>
        <w:t>万元，主要包括：</w:t>
      </w:r>
      <w:r>
        <w:rPr>
          <w:rFonts w:hint="default" w:ascii="Times New Roman" w:hAnsi="Times New Roman" w:eastAsia="仿宋_GB2312" w:cs="Times New Roman"/>
          <w:color w:val="auto"/>
          <w:kern w:val="2"/>
          <w:sz w:val="32"/>
          <w:szCs w:val="32"/>
          <w:highlight w:val="none"/>
          <w:lang w:val="en-US" w:eastAsia="zh-CN" w:bidi="ar-SA"/>
        </w:rPr>
        <w:t>基本工资、津贴补贴、绩效工资、机关事业单位基本养老保险缴费、职工基本医疗保险缴费、公务员医疗补助缴费、其他社会保障缴费、住房公积金、其他工资福利支出、生活补助、医疗费补助、奖励金等</w:t>
      </w:r>
      <w:r>
        <w:rPr>
          <w:rFonts w:hint="eastAsia" w:eastAsia="仿宋_GB2312" w:cs="Times New Roman"/>
          <w:color w:val="auto"/>
          <w:kern w:val="2"/>
          <w:sz w:val="32"/>
          <w:szCs w:val="32"/>
          <w:highlight w:val="none"/>
          <w:lang w:val="en-US" w:eastAsia="zh-CN" w:bidi="ar-SA"/>
        </w:rPr>
        <w:t>。</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公用经费</w:t>
      </w:r>
      <w:r>
        <w:rPr>
          <w:rFonts w:hint="default" w:ascii="Times New Roman" w:hAnsi="Times New Roman" w:eastAsia="仿宋_GB2312" w:cs="Times New Roman"/>
          <w:sz w:val="32"/>
          <w:szCs w:val="32"/>
          <w:lang w:val="en-US" w:eastAsia="zh-CN"/>
        </w:rPr>
        <w:t>15.67</w:t>
      </w:r>
      <w:r>
        <w:rPr>
          <w:rFonts w:hint="default" w:ascii="Times New Roman" w:hAnsi="Times New Roman" w:eastAsia="仿宋_GB2312" w:cs="Times New Roman"/>
          <w:sz w:val="32"/>
          <w:szCs w:val="32"/>
        </w:rPr>
        <w:t>万元，主要包括：</w:t>
      </w:r>
      <w:r>
        <w:rPr>
          <w:rFonts w:hint="default" w:ascii="Times New Roman" w:hAnsi="Times New Roman" w:eastAsia="仿宋_GB2312" w:cs="Times New Roman"/>
          <w:color w:val="auto"/>
          <w:kern w:val="2"/>
          <w:sz w:val="32"/>
          <w:szCs w:val="32"/>
          <w:highlight w:val="none"/>
          <w:lang w:val="en-US" w:eastAsia="zh-CN" w:bidi="ar-SA"/>
        </w:rPr>
        <w:t>办公费、水费、电费、邮电费、差旅费、会议费、培训费、公务接待费、委托业务费、工会经费、福利费、其他交通费用、其他商品和服务支出等</w:t>
      </w:r>
      <w:r>
        <w:rPr>
          <w:rFonts w:hint="default" w:ascii="Times New Roman" w:hAnsi="Times New Roman" w:eastAsia="仿宋_GB2312" w:cs="Times New Roman"/>
          <w:sz w:val="32"/>
          <w:szCs w:val="32"/>
        </w:rPr>
        <w:t>。</w:t>
      </w:r>
    </w:p>
    <w:p>
      <w:pPr>
        <w:spacing w:line="600" w:lineRule="exact"/>
        <w:ind w:firstLine="640"/>
        <w:outlineLvl w:val="1"/>
        <w:rPr>
          <w:rStyle w:val="29"/>
          <w:rFonts w:hint="default" w:ascii="Times New Roman" w:hAnsi="Times New Roman" w:eastAsia="黑体" w:cs="Times New Roman"/>
          <w:b w:val="0"/>
        </w:rPr>
      </w:pPr>
      <w:bookmarkStart w:id="40" w:name="_Toc15396609"/>
      <w:bookmarkStart w:id="41" w:name="_Toc15377215"/>
      <w:r>
        <w:rPr>
          <w:rFonts w:hint="default" w:ascii="Times New Roman" w:hAnsi="Times New Roman" w:eastAsia="黑体" w:cs="Times New Roman"/>
          <w:sz w:val="32"/>
          <w:szCs w:val="32"/>
        </w:rPr>
        <w:t>七、</w:t>
      </w:r>
      <w:r>
        <w:rPr>
          <w:rStyle w:val="29"/>
          <w:rFonts w:hint="default" w:ascii="Times New Roman" w:hAnsi="Times New Roman" w:eastAsia="黑体" w:cs="Times New Roman"/>
          <w:b w:val="0"/>
        </w:rPr>
        <w:t>财政拨款</w:t>
      </w:r>
      <w:r>
        <w:rPr>
          <w:rStyle w:val="29"/>
          <w:rFonts w:hint="default" w:ascii="Times New Roman" w:hAnsi="Times New Roman" w:eastAsia="黑体" w:cs="Times New Roman"/>
        </w:rPr>
        <w:t>“</w:t>
      </w:r>
      <w:r>
        <w:rPr>
          <w:rStyle w:val="29"/>
          <w:rFonts w:hint="default" w:ascii="Times New Roman" w:hAnsi="Times New Roman" w:eastAsia="黑体" w:cs="Times New Roman"/>
          <w:b w:val="0"/>
        </w:rPr>
        <w:t>三公”经费支出决算情况说明</w:t>
      </w:r>
      <w:bookmarkEnd w:id="40"/>
      <w:bookmarkEnd w:id="41"/>
    </w:p>
    <w:p>
      <w:pPr>
        <w:spacing w:line="600" w:lineRule="exact"/>
        <w:ind w:firstLine="643" w:firstLineChars="200"/>
        <w:outlineLvl w:val="2"/>
        <w:rPr>
          <w:rFonts w:hint="default" w:ascii="Times New Roman" w:hAnsi="Times New Roman" w:eastAsia="楷体_GB2312" w:cs="Times New Roman"/>
          <w:b/>
          <w:sz w:val="32"/>
          <w:szCs w:val="32"/>
        </w:rPr>
      </w:pPr>
      <w:bookmarkStart w:id="42" w:name="_Toc15377216"/>
      <w:r>
        <w:rPr>
          <w:rFonts w:hint="default" w:ascii="Times New Roman" w:hAnsi="Times New Roman" w:eastAsia="楷体_GB2312" w:cs="Times New Roman"/>
          <w:b/>
          <w:sz w:val="32"/>
          <w:szCs w:val="32"/>
        </w:rPr>
        <w:t>（一）财政拨款“三公”经费支出决算总体情况说明</w:t>
      </w:r>
      <w:bookmarkEnd w:id="42"/>
    </w:p>
    <w:p>
      <w:pPr>
        <w:spacing w:line="600" w:lineRule="exact"/>
        <w:ind w:firstLine="640"/>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rPr>
        <w:t>2025年度财政拨款“三公”经费支出决算为</w:t>
      </w:r>
      <w:r>
        <w:rPr>
          <w:rFonts w:hint="default" w:ascii="Times New Roman" w:hAnsi="Times New Roman" w:eastAsia="仿宋_GB2312" w:cs="Times New Roman"/>
          <w:sz w:val="32"/>
          <w:szCs w:val="32"/>
          <w:lang w:val="en-US" w:eastAsia="zh-CN"/>
        </w:rPr>
        <w:t>0.27</w:t>
      </w:r>
      <w:r>
        <w:rPr>
          <w:rFonts w:hint="default" w:ascii="Times New Roman" w:hAnsi="Times New Roman" w:eastAsia="仿宋_GB2312" w:cs="Times New Roman"/>
          <w:sz w:val="32"/>
          <w:szCs w:val="32"/>
        </w:rPr>
        <w:t>万元，完成预算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%，较上年度减少</w:t>
      </w:r>
      <w:r>
        <w:rPr>
          <w:rFonts w:hint="default" w:ascii="Times New Roman" w:hAnsi="Times New Roman" w:eastAsia="仿宋_GB2312" w:cs="Times New Roman"/>
          <w:sz w:val="32"/>
          <w:szCs w:val="32"/>
          <w:lang w:val="en-US" w:eastAsia="zh-CN"/>
        </w:rPr>
        <w:t>0.02</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下降</w:t>
      </w:r>
      <w:r>
        <w:rPr>
          <w:rFonts w:hint="default" w:ascii="Times New Roman" w:hAnsi="Times New Roman" w:eastAsia="仿宋_GB2312" w:cs="Times New Roman"/>
          <w:sz w:val="32"/>
          <w:szCs w:val="32"/>
          <w:lang w:val="en-US" w:eastAsia="zh-CN"/>
        </w:rPr>
        <w:t>6.9</w:t>
      </w:r>
      <w:r>
        <w:rPr>
          <w:rFonts w:hint="default" w:ascii="Times New Roman" w:hAnsi="Times New Roman" w:eastAsia="仿宋_GB2312" w:cs="Times New Roman"/>
          <w:sz w:val="32"/>
          <w:szCs w:val="32"/>
        </w:rPr>
        <w:t>%。与预算数持平</w:t>
      </w:r>
      <w:r>
        <w:rPr>
          <w:rFonts w:hint="default" w:ascii="Times New Roman" w:hAnsi="Times New Roman" w:eastAsia="仿宋_GB2312" w:cs="Times New Roman"/>
          <w:sz w:val="32"/>
          <w:szCs w:val="32"/>
          <w:lang w:eastAsia="zh-CN"/>
        </w:rPr>
        <w:t>。</w:t>
      </w:r>
    </w:p>
    <w:p>
      <w:pPr>
        <w:spacing w:line="600" w:lineRule="exact"/>
        <w:ind w:firstLine="643" w:firstLineChars="200"/>
        <w:outlineLvl w:val="2"/>
        <w:rPr>
          <w:rFonts w:hint="default" w:ascii="Times New Roman" w:hAnsi="Times New Roman" w:eastAsia="楷体_GB2312" w:cs="Times New Roman"/>
          <w:b/>
          <w:sz w:val="32"/>
          <w:szCs w:val="32"/>
        </w:rPr>
      </w:pPr>
      <w:bookmarkStart w:id="43" w:name="_Toc15377217"/>
      <w:r>
        <w:rPr>
          <w:rFonts w:hint="default" w:ascii="Times New Roman" w:hAnsi="Times New Roman" w:eastAsia="楷体_GB2312" w:cs="Times New Roman"/>
          <w:b/>
          <w:sz w:val="32"/>
          <w:szCs w:val="32"/>
        </w:rPr>
        <w:t>（二）财政拨款“三公”经费支出决算具体情况说明</w:t>
      </w:r>
      <w:bookmarkEnd w:id="43"/>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2025年度财政拨款“三公”经费支出决算中，因公出国（境）费支出决算</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%；公务用车购置及运行维护费支出决算</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%；公务接待费支出决算</w:t>
      </w:r>
      <w:r>
        <w:rPr>
          <w:rFonts w:hint="default" w:ascii="Times New Roman" w:hAnsi="Times New Roman" w:eastAsia="仿宋_GB2312" w:cs="Times New Roman"/>
          <w:sz w:val="32"/>
          <w:szCs w:val="32"/>
          <w:lang w:val="en-US" w:eastAsia="zh-CN"/>
        </w:rPr>
        <w:t>0.27</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%。具体情况如下：</w:t>
      </w:r>
    </w:p>
    <w:p>
      <w:pPr>
        <w:pStyle w:val="2"/>
        <w:jc w:val="center"/>
        <w:rPr>
          <w:rFonts w:hint="default" w:ascii="Times New Roman" w:hAnsi="Times New Roman" w:eastAsia="仿宋_GB2312" w:cs="Times New Roman"/>
          <w:sz w:val="32"/>
          <w:szCs w:val="32"/>
        </w:rPr>
      </w:pPr>
      <w:r>
        <w:rPr>
          <w:rFonts w:hint="default" w:ascii="Times New Roman" w:hAnsi="Times New Roman" w:cs="Times New Roman"/>
        </w:rPr>
        <w:drawing>
          <wp:inline distT="0" distB="0" distL="114300" distR="114300">
            <wp:extent cx="3593465" cy="2183130"/>
            <wp:effectExtent l="4445" t="4445" r="21590" b="22225"/>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tabs>
          <w:tab w:val="left" w:pos="459"/>
        </w:tabs>
        <w:spacing w:line="600" w:lineRule="exact"/>
        <w:ind w:firstLine="64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ab/>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（图7：财政拨款“三公”经费支出结构）</w:t>
      </w:r>
    </w:p>
    <w:p>
      <w:pPr>
        <w:spacing w:line="600" w:lineRule="exact"/>
        <w:ind w:firstLine="640"/>
        <w:rPr>
          <w:rFonts w:hint="default" w:ascii="Times New Roman" w:hAnsi="Times New Roman" w:eastAsia="仿宋_GB2312" w:cs="Times New Roman"/>
          <w:b/>
          <w:sz w:val="32"/>
          <w:szCs w:val="32"/>
        </w:rPr>
      </w:pPr>
      <w:r>
        <w:rPr>
          <w:rFonts w:hint="default" w:ascii="Times New Roman" w:hAnsi="Times New Roman" w:eastAsia="仿宋_GB2312" w:cs="Times New Roman"/>
          <w:b/>
          <w:bCs/>
          <w:sz w:val="32"/>
          <w:szCs w:val="32"/>
        </w:rPr>
        <w:t>1.因公出国（境）经费支出</w:t>
      </w:r>
      <w:r>
        <w:rPr>
          <w:rFonts w:hint="default" w:ascii="Times New Roman" w:hAnsi="Times New Roman" w:eastAsia="仿宋_GB2312" w:cs="Times New Roman"/>
          <w:b/>
          <w:bCs/>
          <w:sz w:val="32"/>
          <w:szCs w:val="32"/>
          <w:lang w:val="en-US" w:eastAsia="zh-CN"/>
        </w:rPr>
        <w:t>0</w:t>
      </w:r>
      <w:r>
        <w:rPr>
          <w:rFonts w:hint="default" w:ascii="Times New Roman" w:hAnsi="Times New Roman" w:eastAsia="仿宋_GB2312" w:cs="Times New Roman"/>
          <w:b/>
          <w:bCs/>
          <w:sz w:val="32"/>
          <w:szCs w:val="32"/>
        </w:rPr>
        <w:t>万元，完成预算</w:t>
      </w:r>
      <w:r>
        <w:rPr>
          <w:rFonts w:hint="default" w:ascii="Times New Roman" w:hAnsi="Times New Roman" w:eastAsia="仿宋_GB2312" w:cs="Times New Roman"/>
          <w:b/>
          <w:bCs/>
          <w:sz w:val="32"/>
          <w:szCs w:val="32"/>
          <w:lang w:val="en-US" w:eastAsia="zh-CN"/>
        </w:rPr>
        <w:t>0</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全年安排因公出国（境）团组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次，出国（境）</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人。因公出国（境）支出决算</w:t>
      </w:r>
      <w:r>
        <w:rPr>
          <w:rFonts w:hint="default" w:ascii="Times New Roman" w:hAnsi="Times New Roman" w:eastAsia="仿宋_GB2312" w:cs="Times New Roman"/>
          <w:sz w:val="32"/>
          <w:szCs w:val="32"/>
          <w:lang w:val="en-US" w:eastAsia="zh-CN"/>
        </w:rPr>
        <w:t>与</w:t>
      </w:r>
      <w:r>
        <w:rPr>
          <w:rFonts w:hint="default" w:ascii="Times New Roman" w:hAnsi="Times New Roman" w:eastAsia="仿宋_GB2312" w:cs="Times New Roman"/>
          <w:sz w:val="32"/>
          <w:szCs w:val="32"/>
        </w:rPr>
        <w:t>上年度</w:t>
      </w:r>
      <w:r>
        <w:rPr>
          <w:rFonts w:hint="default" w:ascii="Times New Roman" w:hAnsi="Times New Roman" w:eastAsia="仿宋_GB2312" w:cs="Times New Roman"/>
          <w:sz w:val="32"/>
          <w:szCs w:val="32"/>
          <w:lang w:val="en-US" w:eastAsia="zh-CN"/>
        </w:rPr>
        <w:t>持平</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val="en-US" w:eastAsia="zh-CN"/>
        </w:rPr>
        <w:t>均</w:t>
      </w:r>
      <w:r>
        <w:rPr>
          <w:rFonts w:hint="default" w:ascii="Times New Roman" w:hAnsi="Times New Roman" w:eastAsia="仿宋_GB2312" w:cs="Times New Roman"/>
          <w:sz w:val="32"/>
          <w:szCs w:val="32"/>
        </w:rPr>
        <w:t>未产生因公出国（境）经费支出。</w:t>
      </w:r>
    </w:p>
    <w:p>
      <w:pPr>
        <w:spacing w:line="600" w:lineRule="exact"/>
        <w:ind w:firstLine="64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2.公务用车购置及运行维护费支出</w:t>
      </w:r>
      <w:r>
        <w:rPr>
          <w:rFonts w:hint="default" w:ascii="Times New Roman" w:hAnsi="Times New Roman" w:eastAsia="仿宋_GB2312" w:cs="Times New Roman"/>
          <w:b/>
          <w:bCs/>
          <w:sz w:val="32"/>
          <w:szCs w:val="32"/>
          <w:lang w:val="en-US" w:eastAsia="zh-CN"/>
        </w:rPr>
        <w:t>0</w:t>
      </w:r>
      <w:r>
        <w:rPr>
          <w:rFonts w:hint="default" w:ascii="Times New Roman" w:hAnsi="Times New Roman" w:eastAsia="仿宋_GB2312" w:cs="Times New Roman"/>
          <w:b/>
          <w:bCs/>
          <w:sz w:val="32"/>
          <w:szCs w:val="32"/>
        </w:rPr>
        <w:t>万元，完成预算</w:t>
      </w:r>
      <w:r>
        <w:rPr>
          <w:rFonts w:hint="default" w:ascii="Times New Roman" w:hAnsi="Times New Roman" w:eastAsia="仿宋_GB2312" w:cs="Times New Roman"/>
          <w:b/>
          <w:bCs/>
          <w:sz w:val="32"/>
          <w:szCs w:val="32"/>
          <w:lang w:val="en-US" w:eastAsia="zh-CN"/>
        </w:rPr>
        <w:t>0</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公务用车购置及运行维护费支出决算</w:t>
      </w:r>
      <w:r>
        <w:rPr>
          <w:rFonts w:hint="default" w:ascii="Times New Roman" w:hAnsi="Times New Roman" w:eastAsia="仿宋_GB2312" w:cs="Times New Roman"/>
          <w:sz w:val="32"/>
          <w:szCs w:val="32"/>
          <w:lang w:val="en-US" w:eastAsia="zh-CN"/>
        </w:rPr>
        <w:t>与</w:t>
      </w:r>
      <w:r>
        <w:rPr>
          <w:rFonts w:hint="default" w:ascii="Times New Roman" w:hAnsi="Times New Roman" w:eastAsia="仿宋_GB2312" w:cs="Times New Roman"/>
          <w:sz w:val="32"/>
          <w:szCs w:val="32"/>
        </w:rPr>
        <w:t>上年度</w:t>
      </w:r>
      <w:r>
        <w:rPr>
          <w:rFonts w:hint="default" w:ascii="Times New Roman" w:hAnsi="Times New Roman" w:eastAsia="仿宋_GB2312" w:cs="Times New Roman"/>
          <w:sz w:val="32"/>
          <w:szCs w:val="32"/>
          <w:lang w:val="en-US" w:eastAsia="zh-CN"/>
        </w:rPr>
        <w:t>持平</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val="en-US" w:eastAsia="zh-CN"/>
        </w:rPr>
        <w:t>均</w:t>
      </w:r>
      <w:r>
        <w:rPr>
          <w:rFonts w:hint="default" w:ascii="Times New Roman" w:hAnsi="Times New Roman" w:eastAsia="仿宋_GB2312" w:cs="Times New Roman"/>
          <w:sz w:val="32"/>
          <w:szCs w:val="32"/>
        </w:rPr>
        <w:t>未产生公务用车购置及运行维护费支出</w:t>
      </w:r>
      <w:r>
        <w:rPr>
          <w:rFonts w:hint="default" w:ascii="Times New Roman" w:hAnsi="Times New Roman" w:eastAsia="仿宋_GB2312" w:cs="Times New Roman"/>
          <w:sz w:val="32"/>
          <w:szCs w:val="32"/>
          <w:lang w:eastAsia="zh-CN"/>
        </w:rPr>
        <w:t>。</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其中：公务用车购置支出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万元。全年按规定更新购置公务用车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辆，其中：轿车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万元，越野车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万元，载客汽车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万元。截至2025年12月31日，单位共有公务用车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辆，其中：轿车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辆、越野车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辆、载客汽车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公务用车运行维护费支出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3.公务接待费支出</w:t>
      </w:r>
      <w:r>
        <w:rPr>
          <w:rFonts w:hint="eastAsia" w:ascii="Times New Roman" w:hAnsi="Times New Roman" w:eastAsia="仿宋_GB2312" w:cs="Times New Roman"/>
          <w:b/>
          <w:bCs/>
          <w:sz w:val="32"/>
          <w:szCs w:val="32"/>
          <w:lang w:val="en-US" w:eastAsia="zh-CN"/>
        </w:rPr>
        <w:t>0.27</w:t>
      </w:r>
      <w:r>
        <w:rPr>
          <w:rFonts w:hint="default" w:ascii="Times New Roman" w:hAnsi="Times New Roman" w:eastAsia="仿宋_GB2312" w:cs="Times New Roman"/>
          <w:b/>
          <w:bCs/>
          <w:sz w:val="32"/>
          <w:szCs w:val="32"/>
        </w:rPr>
        <w:t>万元，完成预算</w:t>
      </w:r>
      <w:r>
        <w:rPr>
          <w:rFonts w:hint="eastAsia" w:ascii="Times New Roman" w:hAnsi="Times New Roman" w:eastAsia="仿宋_GB2312" w:cs="Times New Roman"/>
          <w:b/>
          <w:bCs/>
          <w:sz w:val="32"/>
          <w:szCs w:val="32"/>
          <w:lang w:val="en-US" w:eastAsia="zh-CN"/>
        </w:rPr>
        <w:t>100</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公务接待费支出决算比上年度减少</w:t>
      </w:r>
      <w:r>
        <w:rPr>
          <w:rFonts w:hint="default" w:ascii="Times New Roman" w:hAnsi="Times New Roman" w:eastAsia="仿宋_GB2312" w:cs="Times New Roman"/>
          <w:sz w:val="32"/>
          <w:szCs w:val="32"/>
          <w:lang w:val="en-US" w:eastAsia="zh-CN"/>
        </w:rPr>
        <w:t>0.02</w:t>
      </w:r>
      <w:r>
        <w:rPr>
          <w:rFonts w:hint="default" w:ascii="Times New Roman" w:hAnsi="Times New Roman" w:eastAsia="仿宋_GB2312" w:cs="Times New Roman"/>
          <w:sz w:val="32"/>
          <w:szCs w:val="32"/>
        </w:rPr>
        <w:t>万元，下降</w:t>
      </w:r>
      <w:r>
        <w:rPr>
          <w:rFonts w:hint="default" w:ascii="Times New Roman" w:hAnsi="Times New Roman" w:eastAsia="仿宋_GB2312" w:cs="Times New Roman"/>
          <w:sz w:val="32"/>
          <w:szCs w:val="32"/>
          <w:lang w:val="en-US" w:eastAsia="zh-CN"/>
        </w:rPr>
        <w:t>6.9</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val="en-US" w:eastAsia="zh-CN"/>
        </w:rPr>
        <w:t>接待人次较上年度减少</w:t>
      </w:r>
      <w:r>
        <w:rPr>
          <w:rFonts w:hint="default" w:ascii="Times New Roman" w:hAnsi="Times New Roman" w:eastAsia="仿宋_GB2312" w:cs="Times New Roman"/>
          <w:sz w:val="32"/>
          <w:szCs w:val="32"/>
        </w:rPr>
        <w:t>。其中：</w:t>
      </w:r>
    </w:p>
    <w:p>
      <w:pPr>
        <w:spacing w:line="600" w:lineRule="exact"/>
        <w:ind w:firstLine="64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sz w:val="32"/>
          <w:szCs w:val="32"/>
        </w:rPr>
        <w:t>国内公务接待支出</w:t>
      </w:r>
      <w:r>
        <w:rPr>
          <w:rFonts w:hint="default" w:ascii="Times New Roman" w:hAnsi="Times New Roman" w:eastAsia="仿宋_GB2312" w:cs="Times New Roman"/>
          <w:sz w:val="32"/>
          <w:szCs w:val="32"/>
          <w:lang w:val="en-US" w:eastAsia="zh-CN"/>
        </w:rPr>
        <w:t>0.27</w:t>
      </w:r>
      <w:r>
        <w:rPr>
          <w:rFonts w:hint="default" w:ascii="Times New Roman" w:hAnsi="Times New Roman" w:eastAsia="仿宋_GB2312" w:cs="Times New Roman"/>
          <w:sz w:val="32"/>
          <w:szCs w:val="32"/>
        </w:rPr>
        <w:t>万元，主要用于</w:t>
      </w:r>
      <w:r>
        <w:rPr>
          <w:rFonts w:hint="default" w:ascii="Times New Roman" w:hAnsi="Times New Roman" w:eastAsia="仿宋_GB2312" w:cs="Times New Roman"/>
          <w:color w:val="auto"/>
          <w:sz w:val="32"/>
          <w:szCs w:val="32"/>
          <w:highlight w:val="none"/>
          <w:lang w:val="en-US" w:eastAsia="zh-CN"/>
        </w:rPr>
        <w:t>国内公务接待</w:t>
      </w:r>
      <w:r>
        <w:rPr>
          <w:rFonts w:hint="default" w:ascii="Times New Roman" w:hAnsi="Times New Roman" w:eastAsia="仿宋_GB2312" w:cs="Times New Roman"/>
          <w:color w:val="auto"/>
          <w:sz w:val="32"/>
          <w:szCs w:val="32"/>
          <w:highlight w:val="none"/>
        </w:rPr>
        <w:t>用餐费</w:t>
      </w:r>
      <w:r>
        <w:rPr>
          <w:rFonts w:hint="default" w:ascii="Times New Roman" w:hAnsi="Times New Roman" w:eastAsia="仿宋_GB2312" w:cs="Times New Roman"/>
          <w:sz w:val="32"/>
          <w:szCs w:val="32"/>
        </w:rPr>
        <w:t>。国内公务接待</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批次，</w:t>
      </w:r>
      <w:r>
        <w:rPr>
          <w:rFonts w:hint="default" w:ascii="Times New Roman" w:hAnsi="Times New Roman" w:eastAsia="仿宋_GB2312" w:cs="Times New Roman"/>
          <w:sz w:val="32"/>
          <w:szCs w:val="32"/>
          <w:lang w:val="en-US" w:eastAsia="zh-CN"/>
        </w:rPr>
        <w:t>18</w:t>
      </w:r>
      <w:r>
        <w:rPr>
          <w:rFonts w:hint="default" w:ascii="Times New Roman" w:hAnsi="Times New Roman" w:eastAsia="仿宋_GB2312" w:cs="Times New Roman"/>
          <w:sz w:val="32"/>
          <w:szCs w:val="32"/>
        </w:rPr>
        <w:t>人次（不包括陪同人员），共计支出</w:t>
      </w:r>
      <w:r>
        <w:rPr>
          <w:rFonts w:hint="default" w:ascii="Times New Roman" w:hAnsi="Times New Roman" w:eastAsia="仿宋_GB2312" w:cs="Times New Roman"/>
          <w:sz w:val="32"/>
          <w:szCs w:val="32"/>
          <w:lang w:val="en-US" w:eastAsia="zh-CN"/>
        </w:rPr>
        <w:t>0.27</w:t>
      </w:r>
      <w:r>
        <w:rPr>
          <w:rFonts w:hint="default" w:ascii="Times New Roman" w:hAnsi="Times New Roman" w:eastAsia="仿宋_GB2312" w:cs="Times New Roman"/>
          <w:sz w:val="32"/>
          <w:szCs w:val="32"/>
        </w:rPr>
        <w:t>万元，具体内容包括</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接待</w:t>
      </w:r>
      <w:r>
        <w:rPr>
          <w:rFonts w:hint="default" w:ascii="Times New Roman" w:hAnsi="Times New Roman" w:eastAsia="仿宋_GB2312" w:cs="Times New Roman"/>
          <w:color w:val="auto"/>
          <w:sz w:val="32"/>
          <w:szCs w:val="32"/>
          <w:highlight w:val="none"/>
          <w:lang w:val="en-US" w:eastAsia="zh-CN"/>
        </w:rPr>
        <w:t>赴攀参加防高科技作弊交流座谈会人员</w:t>
      </w:r>
      <w:r>
        <w:rPr>
          <w:rFonts w:hint="default" w:ascii="Times New Roman" w:hAnsi="Times New Roman" w:eastAsia="仿宋_GB2312" w:cs="Times New Roman"/>
          <w:color w:val="auto"/>
          <w:sz w:val="32"/>
          <w:szCs w:val="32"/>
          <w:highlight w:val="none"/>
        </w:rPr>
        <w:t>用餐费</w:t>
      </w:r>
      <w:r>
        <w:rPr>
          <w:rFonts w:hint="default" w:ascii="Times New Roman" w:hAnsi="Times New Roman" w:eastAsia="仿宋_GB2312" w:cs="Times New Roman"/>
          <w:color w:val="auto"/>
          <w:sz w:val="32"/>
          <w:szCs w:val="32"/>
          <w:highlight w:val="none"/>
          <w:lang w:val="en-US" w:eastAsia="zh-CN"/>
        </w:rPr>
        <w:t>0.09</w:t>
      </w:r>
      <w:r>
        <w:rPr>
          <w:rFonts w:hint="default" w:ascii="Times New Roman" w:hAnsi="Times New Roman" w:eastAsia="仿宋_GB2312" w:cs="Times New Roman"/>
          <w:color w:val="auto"/>
          <w:sz w:val="32"/>
          <w:szCs w:val="32"/>
          <w:highlight w:val="none"/>
        </w:rPr>
        <w:t>万元</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接待赴攀参加“2.25组织考试作弊案”庭审（二审）人员用餐费0.13万元、接待2025年度高校毕业生“三支一扶”计划招募笔试巡视人员用餐费0.05万元</w:t>
      </w:r>
      <w:r>
        <w:rPr>
          <w:rFonts w:hint="default" w:ascii="Times New Roman" w:hAnsi="Times New Roman" w:eastAsia="仿宋_GB2312" w:cs="Times New Roman"/>
          <w:color w:val="auto"/>
          <w:sz w:val="32"/>
          <w:szCs w:val="32"/>
          <w:highlight w:val="none"/>
        </w:rPr>
        <w:t>。</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外事接待支出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万元。外事接待</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批次，</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人次（不包括陪同人员），共计支出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p>
    <w:p>
      <w:pPr>
        <w:spacing w:line="600" w:lineRule="exact"/>
        <w:ind w:firstLine="640"/>
        <w:outlineLvl w:val="1"/>
        <w:rPr>
          <w:rStyle w:val="29"/>
          <w:rFonts w:hint="default" w:ascii="Times New Roman" w:hAnsi="Times New Roman" w:eastAsia="黑体" w:cs="Times New Roman"/>
        </w:rPr>
      </w:pPr>
      <w:bookmarkStart w:id="44" w:name="_Toc15396610"/>
      <w:bookmarkStart w:id="45" w:name="_Toc15377218"/>
      <w:r>
        <w:rPr>
          <w:rFonts w:hint="default" w:ascii="Times New Roman" w:hAnsi="Times New Roman" w:eastAsia="黑体" w:cs="Times New Roman"/>
          <w:sz w:val="32"/>
          <w:szCs w:val="32"/>
        </w:rPr>
        <w:t>八、</w:t>
      </w:r>
      <w:r>
        <w:rPr>
          <w:rStyle w:val="29"/>
          <w:rFonts w:hint="default" w:ascii="Times New Roman" w:hAnsi="Times New Roman" w:eastAsia="黑体" w:cs="Times New Roman"/>
          <w:b w:val="0"/>
        </w:rPr>
        <w:t>政府性基金预算支出决算情况说明</w:t>
      </w:r>
      <w:bookmarkEnd w:id="44"/>
      <w:bookmarkEnd w:id="45"/>
    </w:p>
    <w:p>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2025年度政府性基金预算财政拨款支出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万元，占本年支出合计的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%。与上年度相比，政府性基金预算财政拨款支出</w:t>
      </w:r>
      <w:r>
        <w:rPr>
          <w:rFonts w:hint="default" w:ascii="Times New Roman" w:hAnsi="Times New Roman" w:eastAsia="仿宋_GB2312" w:cs="Times New Roman"/>
          <w:sz w:val="32"/>
          <w:szCs w:val="32"/>
          <w:lang w:val="en-US" w:eastAsia="zh-CN"/>
        </w:rPr>
        <w:t>与上年度持平。</w:t>
      </w:r>
    </w:p>
    <w:p>
      <w:pPr>
        <w:spacing w:line="600" w:lineRule="exact"/>
        <w:ind w:left="630"/>
        <w:outlineLvl w:val="1"/>
        <w:rPr>
          <w:rStyle w:val="29"/>
          <w:rFonts w:hint="default" w:ascii="Times New Roman" w:hAnsi="Times New Roman" w:eastAsia="黑体" w:cs="Times New Roman"/>
          <w:b w:val="0"/>
        </w:rPr>
      </w:pPr>
      <w:bookmarkStart w:id="46" w:name="_Toc15377219"/>
      <w:bookmarkStart w:id="47" w:name="_Toc15396611"/>
      <w:r>
        <w:rPr>
          <w:rStyle w:val="29"/>
          <w:rFonts w:hint="default" w:ascii="Times New Roman" w:hAnsi="Times New Roman" w:eastAsia="黑体" w:cs="Times New Roman"/>
          <w:b w:val="0"/>
        </w:rPr>
        <w:t>九、国有资本经营预算支出决算情况说明</w:t>
      </w:r>
      <w:bookmarkEnd w:id="46"/>
      <w:bookmarkEnd w:id="47"/>
    </w:p>
    <w:p>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2025年度国有资本经营预算财政拨款支出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万元，占本年支出合计的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%。与上年度相比，国有资本经营预算财政拨款支出</w:t>
      </w:r>
      <w:r>
        <w:rPr>
          <w:rFonts w:hint="default" w:ascii="Times New Roman" w:hAnsi="Times New Roman" w:eastAsia="仿宋_GB2312" w:cs="Times New Roman"/>
          <w:sz w:val="32"/>
          <w:szCs w:val="32"/>
          <w:lang w:val="en-US" w:eastAsia="zh-CN"/>
        </w:rPr>
        <w:t>与上年度持平。</w:t>
      </w:r>
    </w:p>
    <w:p>
      <w:pPr>
        <w:spacing w:line="600" w:lineRule="exact"/>
        <w:ind w:left="630"/>
        <w:outlineLvl w:val="1"/>
        <w:rPr>
          <w:rStyle w:val="29"/>
          <w:rFonts w:hint="default" w:ascii="Times New Roman" w:hAnsi="Times New Roman" w:eastAsia="黑体" w:cs="Times New Roman"/>
          <w:b w:val="0"/>
        </w:rPr>
      </w:pPr>
      <w:bookmarkStart w:id="48" w:name="_Toc15396612"/>
      <w:bookmarkStart w:id="49" w:name="_Toc15377221"/>
      <w:r>
        <w:rPr>
          <w:rStyle w:val="29"/>
          <w:rFonts w:hint="default" w:ascii="Times New Roman" w:hAnsi="Times New Roman" w:eastAsia="黑体" w:cs="Times New Roman"/>
          <w:b w:val="0"/>
        </w:rPr>
        <w:t>十、其他重要事项的情况说明</w:t>
      </w:r>
      <w:bookmarkEnd w:id="48"/>
      <w:bookmarkEnd w:id="49"/>
    </w:p>
    <w:p>
      <w:pPr>
        <w:spacing w:line="600" w:lineRule="exact"/>
        <w:ind w:firstLine="643" w:firstLineChars="200"/>
        <w:outlineLvl w:val="2"/>
        <w:rPr>
          <w:rFonts w:hint="default" w:ascii="Times New Roman" w:hAnsi="Times New Roman" w:eastAsia="楷体_GB2312" w:cs="Times New Roman"/>
          <w:b/>
          <w:sz w:val="32"/>
          <w:szCs w:val="32"/>
        </w:rPr>
      </w:pPr>
      <w:bookmarkStart w:id="50" w:name="_Toc15377222"/>
      <w:r>
        <w:rPr>
          <w:rFonts w:hint="default" w:ascii="Times New Roman" w:hAnsi="Times New Roman" w:eastAsia="楷体_GB2312" w:cs="Times New Roman"/>
          <w:b/>
          <w:sz w:val="32"/>
          <w:szCs w:val="32"/>
        </w:rPr>
        <w:t>（一）机关运行经费支出情况</w:t>
      </w:r>
      <w:bookmarkEnd w:id="50"/>
    </w:p>
    <w:p>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w:t>
      </w:r>
      <w:r>
        <w:rPr>
          <w:rFonts w:hint="default" w:ascii="Times New Roman" w:hAnsi="Times New Roman" w:eastAsia="仿宋_GB2312" w:cs="Times New Roman"/>
          <w:sz w:val="32"/>
          <w:szCs w:val="32"/>
          <w:lang w:val="en-US" w:eastAsia="zh-CN"/>
        </w:rPr>
        <w:t>我单位</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sz w:val="32"/>
          <w:szCs w:val="32"/>
        </w:rPr>
        <w:t>主要原因是我单位为市人力资源社会保障局下属事业单位，</w:t>
      </w:r>
      <w:r>
        <w:rPr>
          <w:rFonts w:hint="default" w:ascii="Times New Roman" w:hAnsi="Times New Roman" w:eastAsia="仿宋_GB2312" w:cs="Times New Roman"/>
          <w:sz w:val="32"/>
          <w:szCs w:val="32"/>
          <w:lang w:val="en-US" w:eastAsia="zh-CN"/>
        </w:rPr>
        <w:t>无</w:t>
      </w:r>
      <w:r>
        <w:rPr>
          <w:rFonts w:hint="default" w:ascii="Times New Roman" w:hAnsi="Times New Roman" w:eastAsia="仿宋_GB2312" w:cs="Times New Roman"/>
          <w:sz w:val="32"/>
          <w:szCs w:val="32"/>
        </w:rPr>
        <w:t>机关运行经费。</w:t>
      </w:r>
    </w:p>
    <w:p>
      <w:pPr>
        <w:spacing w:line="600" w:lineRule="exact"/>
        <w:ind w:firstLine="643" w:firstLineChars="200"/>
        <w:outlineLvl w:val="2"/>
        <w:rPr>
          <w:rFonts w:hint="default" w:ascii="Times New Roman" w:hAnsi="Times New Roman" w:eastAsia="楷体_GB2312" w:cs="Times New Roman"/>
          <w:b/>
          <w:sz w:val="32"/>
          <w:szCs w:val="32"/>
        </w:rPr>
      </w:pPr>
      <w:bookmarkStart w:id="51" w:name="_Toc15377223"/>
      <w:r>
        <w:rPr>
          <w:rFonts w:hint="default" w:ascii="Times New Roman" w:hAnsi="Times New Roman" w:eastAsia="楷体_GB2312" w:cs="Times New Roman"/>
          <w:b/>
          <w:sz w:val="32"/>
          <w:szCs w:val="32"/>
        </w:rPr>
        <w:t>（二）政府采购支出情况</w:t>
      </w:r>
      <w:bookmarkEnd w:id="51"/>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w:t>
      </w:r>
      <w:r>
        <w:rPr>
          <w:rFonts w:hint="default" w:ascii="Times New Roman" w:hAnsi="Times New Roman" w:eastAsia="仿宋_GB2312" w:cs="Times New Roman"/>
          <w:sz w:val="32"/>
          <w:szCs w:val="32"/>
          <w:lang w:val="en-US" w:eastAsia="zh-CN"/>
        </w:rPr>
        <w:t>我单位</w:t>
      </w:r>
      <w:r>
        <w:rPr>
          <w:rFonts w:hint="default" w:ascii="Times New Roman" w:hAnsi="Times New Roman" w:eastAsia="仿宋_GB2312" w:cs="Times New Roman"/>
          <w:sz w:val="32"/>
          <w:szCs w:val="32"/>
        </w:rPr>
        <w:t>政府采购支出总额</w:t>
      </w:r>
      <w:r>
        <w:rPr>
          <w:rFonts w:hint="default" w:ascii="Times New Roman" w:hAnsi="Times New Roman" w:eastAsia="仿宋_GB2312" w:cs="Times New Roman"/>
          <w:sz w:val="32"/>
          <w:szCs w:val="32"/>
          <w:lang w:val="en-US" w:eastAsia="zh-CN"/>
        </w:rPr>
        <w:t>0.42</w:t>
      </w:r>
      <w:r>
        <w:rPr>
          <w:rFonts w:hint="default" w:ascii="Times New Roman" w:hAnsi="Times New Roman" w:eastAsia="仿宋_GB2312" w:cs="Times New Roman"/>
          <w:sz w:val="32"/>
          <w:szCs w:val="32"/>
        </w:rPr>
        <w:t>万元，其中：政府采购货物支出</w:t>
      </w:r>
      <w:r>
        <w:rPr>
          <w:rFonts w:hint="default" w:ascii="Times New Roman" w:hAnsi="Times New Roman" w:eastAsia="仿宋_GB2312" w:cs="Times New Roman"/>
          <w:sz w:val="32"/>
          <w:szCs w:val="32"/>
          <w:lang w:val="en-US" w:eastAsia="zh-CN"/>
        </w:rPr>
        <w:t>0.42</w:t>
      </w:r>
      <w:r>
        <w:rPr>
          <w:rFonts w:hint="default" w:ascii="Times New Roman" w:hAnsi="Times New Roman" w:eastAsia="仿宋_GB2312" w:cs="Times New Roman"/>
          <w:sz w:val="32"/>
          <w:szCs w:val="32"/>
        </w:rPr>
        <w:t>万元、政府采购工程支出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万元、政府采购服务支出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万元。主要用于</w:t>
      </w:r>
      <w:r>
        <w:rPr>
          <w:rFonts w:hint="default" w:ascii="Times New Roman" w:hAnsi="Times New Roman" w:eastAsia="仿宋_GB2312" w:cs="Times New Roman"/>
          <w:sz w:val="32"/>
          <w:szCs w:val="32"/>
          <w:lang w:val="en-US" w:eastAsia="zh-CN"/>
        </w:rPr>
        <w:t>采购1台A4彩色打印机</w:t>
      </w:r>
      <w:r>
        <w:rPr>
          <w:rFonts w:hint="default" w:ascii="Times New Roman" w:hAnsi="Times New Roman" w:eastAsia="仿宋_GB2312" w:cs="Times New Roman"/>
          <w:sz w:val="32"/>
          <w:szCs w:val="32"/>
        </w:rPr>
        <w:t>。授予中小企业合同金额</w:t>
      </w:r>
      <w:r>
        <w:rPr>
          <w:rFonts w:hint="default" w:ascii="Times New Roman" w:hAnsi="Times New Roman" w:eastAsia="仿宋_GB2312" w:cs="Times New Roman"/>
          <w:sz w:val="32"/>
          <w:szCs w:val="32"/>
          <w:lang w:val="en-US" w:eastAsia="zh-CN"/>
        </w:rPr>
        <w:t>0.42</w:t>
      </w:r>
      <w:r>
        <w:rPr>
          <w:rFonts w:hint="default" w:ascii="Times New Roman" w:hAnsi="Times New Roman" w:eastAsia="仿宋_GB2312" w:cs="Times New Roman"/>
          <w:sz w:val="32"/>
          <w:szCs w:val="32"/>
        </w:rPr>
        <w:t>万元，占政府采购支出总额的</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%，其中：授予小微企业合同金额</w:t>
      </w:r>
      <w:r>
        <w:rPr>
          <w:rFonts w:hint="eastAsia" w:eastAsia="仿宋_GB2312" w:cs="Times New Roman"/>
          <w:sz w:val="32"/>
          <w:szCs w:val="32"/>
          <w:lang w:val="en-US" w:eastAsia="zh-CN"/>
        </w:rPr>
        <w:t>0.42</w:t>
      </w:r>
      <w:r>
        <w:rPr>
          <w:rFonts w:hint="default" w:ascii="Times New Roman" w:hAnsi="Times New Roman" w:eastAsia="仿宋_GB2312" w:cs="Times New Roman"/>
          <w:sz w:val="32"/>
          <w:szCs w:val="32"/>
        </w:rPr>
        <w:t>万元，占政府采购支出总额的</w:t>
      </w:r>
      <w:r>
        <w:rPr>
          <w:rFonts w:hint="eastAsia"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w:t>
      </w:r>
    </w:p>
    <w:p>
      <w:pPr>
        <w:spacing w:line="600" w:lineRule="exact"/>
        <w:ind w:firstLine="640"/>
        <w:rPr>
          <w:rFonts w:hint="default" w:ascii="Times New Roman" w:hAnsi="Times New Roman" w:eastAsia="仿宋_GB2312" w:cs="Times New Roman"/>
          <w:sz w:val="32"/>
          <w:szCs w:val="32"/>
        </w:rPr>
      </w:pPr>
    </w:p>
    <w:p>
      <w:pPr>
        <w:spacing w:line="600" w:lineRule="exact"/>
        <w:ind w:firstLine="643" w:firstLineChars="200"/>
        <w:outlineLvl w:val="2"/>
        <w:rPr>
          <w:rFonts w:hint="default" w:ascii="Times New Roman" w:hAnsi="Times New Roman" w:eastAsia="楷体_GB2312" w:cs="Times New Roman"/>
          <w:b/>
          <w:sz w:val="32"/>
          <w:szCs w:val="32"/>
        </w:rPr>
      </w:pPr>
      <w:bookmarkStart w:id="52" w:name="_Toc15377224"/>
      <w:r>
        <w:rPr>
          <w:rFonts w:hint="default" w:ascii="Times New Roman" w:hAnsi="Times New Roman" w:eastAsia="楷体_GB2312" w:cs="Times New Roman"/>
          <w:b/>
          <w:sz w:val="32"/>
          <w:szCs w:val="32"/>
        </w:rPr>
        <w:t>（三）国有资产占有使用情况</w:t>
      </w:r>
      <w:bookmarkEnd w:id="52"/>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截至2025年12月31日，</w:t>
      </w:r>
      <w:r>
        <w:rPr>
          <w:rFonts w:hint="default" w:ascii="Times New Roman" w:hAnsi="Times New Roman" w:eastAsia="仿宋_GB2312" w:cs="Times New Roman"/>
          <w:sz w:val="32"/>
          <w:szCs w:val="32"/>
          <w:lang w:val="en-US" w:eastAsia="zh-CN"/>
        </w:rPr>
        <w:t>我单位</w:t>
      </w:r>
      <w:r>
        <w:rPr>
          <w:rFonts w:hint="default" w:ascii="Times New Roman" w:hAnsi="Times New Roman" w:eastAsia="仿宋_GB2312" w:cs="Times New Roman"/>
          <w:sz w:val="32"/>
          <w:szCs w:val="32"/>
        </w:rPr>
        <w:t>共有车辆</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辆，其中：副部（省）级及以上领导用车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辆、主要负责人用车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辆、机要通信用车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辆、应急保障用车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辆、执法执勤用车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辆、特种专业技术用车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辆、离退休干部服务用车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辆、其他用车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辆。单价100万元（含）以上设备（不含车辆）</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台（套）。</w:t>
      </w:r>
    </w:p>
    <w:p>
      <w:pPr>
        <w:spacing w:line="600" w:lineRule="exact"/>
        <w:ind w:firstLine="643" w:firstLineChars="200"/>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（四）预算绩效管理情况</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根据预算绩效管理要求，</w:t>
      </w:r>
      <w:r>
        <w:rPr>
          <w:rFonts w:hint="default" w:ascii="Times New Roman" w:hAnsi="Times New Roman" w:eastAsia="仿宋_GB2312" w:cs="Times New Roman"/>
          <w:sz w:val="32"/>
          <w:szCs w:val="32"/>
          <w:lang w:val="en-US" w:eastAsia="zh-CN"/>
        </w:rPr>
        <w:t>我单位</w:t>
      </w:r>
      <w:r>
        <w:rPr>
          <w:rFonts w:hint="default" w:ascii="Times New Roman" w:hAnsi="Times New Roman" w:eastAsia="仿宋_GB2312" w:cs="Times New Roman"/>
          <w:sz w:val="32"/>
          <w:szCs w:val="32"/>
        </w:rPr>
        <w:t>在2025年度，组织对公招考试工作经费等</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个项目涉及金额</w:t>
      </w:r>
      <w:r>
        <w:rPr>
          <w:rFonts w:hint="default" w:ascii="Times New Roman" w:hAnsi="Times New Roman" w:eastAsia="仿宋_GB2312" w:cs="Times New Roman"/>
          <w:sz w:val="32"/>
          <w:szCs w:val="32"/>
          <w:lang w:val="en-US" w:eastAsia="zh-CN"/>
        </w:rPr>
        <w:t>133.74</w:t>
      </w:r>
      <w:r>
        <w:rPr>
          <w:rFonts w:hint="default" w:ascii="Times New Roman" w:hAnsi="Times New Roman" w:eastAsia="仿宋_GB2312" w:cs="Times New Roman"/>
          <w:sz w:val="32"/>
          <w:szCs w:val="32"/>
        </w:rPr>
        <w:t>万元开展了事前绩效评估，对</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个项目编制了绩效目标，预算执行过程中，</w:t>
      </w:r>
      <w:r>
        <w:rPr>
          <w:rFonts w:hint="default" w:ascii="Times New Roman" w:hAnsi="Times New Roman" w:eastAsia="仿宋_GB2312" w:cs="Times New Roman"/>
          <w:sz w:val="32"/>
          <w:szCs w:val="32"/>
          <w:lang w:val="en-US" w:eastAsia="zh-CN"/>
        </w:rPr>
        <w:t>选</w:t>
      </w:r>
      <w:r>
        <w:rPr>
          <w:rFonts w:hint="default" w:ascii="Times New Roman" w:hAnsi="Times New Roman" w:eastAsia="仿宋_GB2312" w:cs="Times New Roman"/>
          <w:sz w:val="32"/>
          <w:szCs w:val="32"/>
        </w:rPr>
        <w:t>取</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个项目开展绩效监控。</w:t>
      </w:r>
      <w:bookmarkStart w:id="53" w:name="_Toc15377225"/>
      <w:bookmarkStart w:id="54" w:name="_Toc15396613"/>
    </w:p>
    <w:p>
      <w:pPr>
        <w:spacing w:line="600" w:lineRule="exact"/>
        <w:ind w:firstLine="640" w:firstLineChars="200"/>
        <w:jc w:val="left"/>
        <w:outlineLvl w:val="0"/>
        <w:rPr>
          <w:rFonts w:hint="default" w:ascii="Times New Roman" w:hAnsi="Times New Roman" w:eastAsia="仿宋_GB2312" w:cs="Times New Roman"/>
          <w:sz w:val="32"/>
          <w:szCs w:val="32"/>
        </w:rPr>
      </w:pPr>
    </w:p>
    <w:p>
      <w:pPr>
        <w:pStyle w:val="2"/>
        <w:rPr>
          <w:rFonts w:hint="default"/>
        </w:rPr>
      </w:pPr>
    </w:p>
    <w:p>
      <w:pPr>
        <w:pStyle w:val="2"/>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p>
    <w:p>
      <w:pPr>
        <w:spacing w:line="600" w:lineRule="exact"/>
        <w:jc w:val="center"/>
        <w:outlineLvl w:val="0"/>
        <w:rPr>
          <w:rFonts w:hint="default" w:ascii="Times New Roman" w:hAnsi="Times New Roman" w:eastAsia="黑体" w:cs="Times New Roman"/>
          <w:sz w:val="44"/>
          <w:szCs w:val="44"/>
        </w:rPr>
      </w:pPr>
      <w:r>
        <w:rPr>
          <w:rFonts w:hint="default" w:ascii="Times New Roman" w:hAnsi="Times New Roman" w:eastAsia="黑体" w:cs="Times New Roman"/>
          <w:sz w:val="44"/>
          <w:szCs w:val="44"/>
        </w:rPr>
        <w:t>第三部分  名词解释</w:t>
      </w:r>
      <w:bookmarkEnd w:id="53"/>
      <w:bookmarkEnd w:id="54"/>
    </w:p>
    <w:p>
      <w:pPr>
        <w:spacing w:line="600" w:lineRule="exact"/>
        <w:jc w:val="left"/>
        <w:rPr>
          <w:rFonts w:hint="default" w:ascii="Times New Roman" w:hAnsi="Times New Roman" w:cs="Times New Roman"/>
          <w:b/>
          <w:sz w:val="44"/>
          <w:szCs w:val="44"/>
        </w:rPr>
      </w:pPr>
    </w:p>
    <w:p>
      <w:pPr>
        <w:pStyle w:val="26"/>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1.财政拨款收入：指单位从同级财政部门取得的财政预算资金。</w:t>
      </w:r>
    </w:p>
    <w:p>
      <w:pPr>
        <w:pStyle w:val="26"/>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2.其他收入：指单位取得的除上述收入以外的各项收入。主要是非同级财政拨款收入。  </w:t>
      </w:r>
    </w:p>
    <w:p>
      <w:pPr>
        <w:pStyle w:val="26"/>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3.年初结转和结余：指以前年度尚未完成、结转到本年按有关规定继续使用的资金。 </w:t>
      </w:r>
    </w:p>
    <w:p>
      <w:pPr>
        <w:pStyle w:val="26"/>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4.年末结转和结余：指单位按有关规定结转到下年或以后年度继续使用的资金。</w:t>
      </w:r>
    </w:p>
    <w:p>
      <w:pPr>
        <w:pStyle w:val="26"/>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 社会保障和就业支出（类）人力资源和社会保障管理事务（款）事业运行（项）:指反映事业单位的基本支出。</w:t>
      </w:r>
    </w:p>
    <w:p>
      <w:pPr>
        <w:pStyle w:val="26"/>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 社会保障和就业支出（类）行政事业单位养老支出（款）事业单位离退休（项）:指反映事业单位开支的离退休经费。</w:t>
      </w:r>
    </w:p>
    <w:p>
      <w:pPr>
        <w:pStyle w:val="26"/>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 社会保障和就业支出（类）行政事业单位养老支出（款）机关事业单位基本养老保险缴费支出（项）:指反映机关事业单位实施养老保险制度由单位缴纳的基本养老保险费支出。</w:t>
      </w:r>
    </w:p>
    <w:p>
      <w:pPr>
        <w:pStyle w:val="26"/>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w:t>
      </w:r>
      <w:r>
        <w:rPr>
          <w:rFonts w:hint="default" w:ascii="Times New Roman" w:hAnsi="Times New Roman" w:eastAsia="仿宋_GB2312" w:cs="Times New Roman"/>
          <w:sz w:val="32"/>
          <w:szCs w:val="32"/>
        </w:rPr>
        <w:t>社会保障和就业支出（类）人力资源和社会保障管理事务（款）其他人力资源和社会保障管理事务支出（项）：指反应事业单位的项目支出。</w:t>
      </w:r>
      <w:r>
        <w:rPr>
          <w:rFonts w:hint="default" w:ascii="Times New Roman" w:hAnsi="Times New Roman" w:eastAsia="仿宋_GB2312" w:cs="Times New Roman"/>
          <w:color w:val="auto"/>
          <w:sz w:val="32"/>
          <w:szCs w:val="32"/>
        </w:rPr>
        <w:t xml:space="preserve"> </w:t>
      </w:r>
    </w:p>
    <w:p>
      <w:pPr>
        <w:pStyle w:val="26"/>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sz w:val="32"/>
          <w:szCs w:val="32"/>
        </w:rPr>
        <w:t xml:space="preserve">9. </w:t>
      </w:r>
      <w:r>
        <w:rPr>
          <w:rFonts w:hint="default" w:ascii="Times New Roman" w:hAnsi="Times New Roman" w:eastAsia="仿宋_GB2312" w:cs="Times New Roman"/>
          <w:color w:val="auto"/>
          <w:sz w:val="32"/>
          <w:szCs w:val="32"/>
        </w:rPr>
        <w:t>住房保障支出（类）住房改革支出（款）住房公积金（项）：指反映行政事业单位按人力资源和社会保障部、财政部规定的基本工资和津贴补贴以及规定比例为职工缴纳的住房公积金。</w:t>
      </w:r>
    </w:p>
    <w:p>
      <w:p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 xml:space="preserve">卫生健康支出（类）行政事业单位医疗（款）事业单位医疗（项）: </w:t>
      </w:r>
      <w:r>
        <w:rPr>
          <w:rFonts w:hint="default" w:ascii="Times New Roman" w:hAnsi="Times New Roman" w:eastAsia="仿宋_GB2312" w:cs="Times New Roman"/>
          <w:sz w:val="32"/>
          <w:szCs w:val="32"/>
          <w:lang w:val="en-US" w:eastAsia="zh-CN"/>
        </w:rPr>
        <w:t>指反应财政部门安排的事业单位基本医疗保险缴费。</w:t>
      </w:r>
    </w:p>
    <w:p>
      <w:p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 xml:space="preserve">卫生健康支出（类）行政事业单位医疗（款）公务员医疗补助（项）: </w:t>
      </w:r>
      <w:r>
        <w:rPr>
          <w:rFonts w:hint="default" w:ascii="Times New Roman" w:hAnsi="Times New Roman" w:eastAsia="仿宋_GB2312" w:cs="Times New Roman"/>
          <w:sz w:val="32"/>
          <w:szCs w:val="32"/>
          <w:lang w:val="en-US" w:eastAsia="zh-CN"/>
        </w:rPr>
        <w:t>指反应财政部门安排的公务员医疗补助经费。</w:t>
      </w:r>
    </w:p>
    <w:p>
      <w:p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 xml:space="preserve">卫生健康支出（类）行政事业单位医疗（款）其他行政事业单位医疗支出（项）: </w:t>
      </w:r>
      <w:r>
        <w:rPr>
          <w:rFonts w:hint="default" w:ascii="Times New Roman" w:hAnsi="Times New Roman" w:eastAsia="仿宋_GB2312" w:cs="Times New Roman"/>
          <w:sz w:val="32"/>
          <w:szCs w:val="32"/>
          <w:lang w:val="en-US" w:eastAsia="zh-CN"/>
        </w:rPr>
        <w:t>指反应其他用于行政事业单位医疗方面的支出。</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基本支出：指为保障机构正常运转、完成日常工作任务而发生的人员支出和公用支出。</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 xml:space="preserve">.项目支出：指在基本支出之外为完成特定行政任务和事业发展目标所发生的支出。 </w:t>
      </w:r>
    </w:p>
    <w:p>
      <w:pPr>
        <w:pStyle w:val="26"/>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jc w:val="center"/>
        <w:outlineLvl w:val="0"/>
        <w:rPr>
          <w:rStyle w:val="28"/>
          <w:rFonts w:hint="default" w:ascii="Times New Roman" w:hAnsi="Times New Roman" w:eastAsia="黑体" w:cs="Times New Roman"/>
          <w:b w:val="0"/>
        </w:rPr>
      </w:pPr>
      <w:bookmarkStart w:id="55" w:name="_Toc15377226"/>
      <w:r>
        <w:rPr>
          <w:rFonts w:hint="default" w:ascii="Times New Roman" w:hAnsi="Times New Roman" w:eastAsia="仿宋_GB2312" w:cs="Times New Roman"/>
          <w:sz w:val="32"/>
          <w:szCs w:val="32"/>
        </w:rPr>
        <w:br w:type="page"/>
      </w:r>
      <w:bookmarkStart w:id="56" w:name="_Toc15396614"/>
      <w:r>
        <w:rPr>
          <w:rFonts w:hint="default" w:ascii="Times New Roman" w:hAnsi="Times New Roman" w:eastAsia="黑体" w:cs="Times New Roman"/>
          <w:sz w:val="44"/>
          <w:szCs w:val="44"/>
        </w:rPr>
        <w:t>第四部分  附件</w:t>
      </w:r>
      <w:bookmarkEnd w:id="56"/>
    </w:p>
    <w:p>
      <w:pPr>
        <w:pStyle w:val="7"/>
        <w:spacing w:line="560" w:lineRule="exact"/>
        <w:ind w:left="0" w:leftChars="0" w:firstLine="640"/>
        <w:rPr>
          <w:rFonts w:hint="default" w:ascii="Times New Roman" w:hAnsi="Times New Roman" w:eastAsia="仿宋_GB2312" w:cs="Times New Roman"/>
          <w:sz w:val="32"/>
          <w:lang w:val="zh-CN" w:bidi="ar"/>
        </w:rPr>
      </w:pPr>
    </w:p>
    <w:p>
      <w:pPr>
        <w:pStyle w:val="7"/>
        <w:spacing w:line="560" w:lineRule="exact"/>
        <w:ind w:left="0" w:leftChars="0" w:firstLine="640"/>
        <w:rPr>
          <w:rFonts w:hint="default" w:ascii="Times New Roman" w:hAnsi="Times New Roman" w:eastAsia="仿宋_GB2312" w:cs="Times New Roman"/>
          <w:sz w:val="32"/>
          <w:lang w:val="en-US" w:eastAsia="zh-CN" w:bidi="ar"/>
        </w:rPr>
      </w:pPr>
      <w:r>
        <w:rPr>
          <w:rFonts w:hint="default" w:ascii="Times New Roman" w:hAnsi="Times New Roman" w:eastAsia="仿宋_GB2312" w:cs="Times New Roman"/>
          <w:sz w:val="32"/>
          <w:lang w:bidi="ar"/>
        </w:rPr>
        <w:t>部门预算项目支出绩效自评表（2025年度）</w:t>
      </w:r>
      <w:r>
        <w:rPr>
          <w:rFonts w:hint="eastAsia" w:ascii="Times New Roman" w:eastAsia="仿宋_GB2312" w:cs="Times New Roman"/>
          <w:sz w:val="32"/>
          <w:lang w:eastAsia="zh-CN" w:bidi="ar"/>
        </w:rPr>
        <w:t>见附件</w:t>
      </w:r>
      <w:r>
        <w:rPr>
          <w:rFonts w:hint="eastAsia" w:ascii="Times New Roman" w:eastAsia="仿宋_GB2312" w:cs="Times New Roman"/>
          <w:sz w:val="32"/>
          <w:lang w:val="en-US" w:eastAsia="zh-CN" w:bidi="ar"/>
        </w:rPr>
        <w:t>-攀枝花市人事考试中心部门预算项目支出绩效自评表</w:t>
      </w:r>
    </w:p>
    <w:p>
      <w:pPr>
        <w:pStyle w:val="7"/>
        <w:spacing w:line="560" w:lineRule="exact"/>
        <w:ind w:left="0" w:leftChars="0" w:firstLine="0" w:firstLineChars="0"/>
        <w:rPr>
          <w:rFonts w:hint="default" w:ascii="Times New Roman" w:hAnsi="Times New Roman" w:cs="Times New Roman"/>
          <w:sz w:val="32"/>
          <w:highlight w:val="yellow"/>
          <w:lang w:val="zh-CN"/>
        </w:rPr>
      </w:pPr>
    </w:p>
    <w:p>
      <w:pPr>
        <w:pStyle w:val="2"/>
        <w:spacing w:before="93"/>
        <w:rPr>
          <w:rFonts w:hint="default" w:ascii="Times New Roman" w:hAnsi="Times New Roman" w:cs="Times New Roman"/>
          <w:color w:val="FF0000"/>
          <w:sz w:val="32"/>
          <w:szCs w:val="32"/>
          <w:highlight w:val="yellow"/>
          <w:shd w:val="clear" w:color="auto" w:fill="FFFFFF"/>
          <w:lang w:val="zh-CN"/>
        </w:rPr>
      </w:pPr>
    </w:p>
    <w:p>
      <w:pPr>
        <w:rPr>
          <w:rFonts w:hint="default" w:ascii="Times New Roman" w:hAnsi="Times New Roman" w:eastAsia="仿宋_GB2312" w:cs="Times New Roman"/>
          <w:kern w:val="0"/>
          <w:sz w:val="32"/>
          <w:szCs w:val="32"/>
        </w:rPr>
      </w:pPr>
      <w:bookmarkStart w:id="57" w:name="_Toc15396618"/>
      <w:r>
        <w:rPr>
          <w:rFonts w:hint="default" w:ascii="Times New Roman" w:hAnsi="Times New Roman" w:eastAsia="仿宋_GB2312" w:cs="Times New Roman"/>
          <w:kern w:val="0"/>
          <w:sz w:val="32"/>
          <w:szCs w:val="32"/>
        </w:rPr>
        <w:br w:type="page"/>
      </w:r>
    </w:p>
    <w:p>
      <w:pPr>
        <w:widowControl/>
        <w:jc w:val="center"/>
        <w:rPr>
          <w:rFonts w:hint="default" w:ascii="Times New Roman" w:hAnsi="Times New Roman" w:eastAsia="仿宋" w:cs="Times New Roman"/>
        </w:rPr>
      </w:pPr>
      <w:r>
        <w:rPr>
          <w:rFonts w:hint="default" w:ascii="Times New Roman" w:hAnsi="Times New Roman" w:eastAsia="黑体" w:cs="Times New Roman"/>
          <w:sz w:val="44"/>
          <w:szCs w:val="44"/>
        </w:rPr>
        <w:t>第</w:t>
      </w:r>
      <w:r>
        <w:rPr>
          <w:rStyle w:val="28"/>
          <w:rFonts w:hint="default" w:ascii="Times New Roman" w:hAnsi="Times New Roman" w:eastAsia="黑体" w:cs="Times New Roman"/>
          <w:b w:val="0"/>
        </w:rPr>
        <w:t>五部分 附表</w:t>
      </w:r>
      <w:bookmarkEnd w:id="55"/>
      <w:bookmarkEnd w:id="57"/>
      <w:bookmarkStart w:id="58" w:name="_Toc15396619"/>
    </w:p>
    <w:p>
      <w:pPr>
        <w:pStyle w:val="14"/>
        <w:adjustRightInd w:val="0"/>
        <w:snapToGrid w:val="0"/>
        <w:spacing w:line="560" w:lineRule="exact"/>
        <w:jc w:val="left"/>
        <w:rPr>
          <w:rFonts w:hint="default" w:ascii="Times New Roman" w:hAnsi="Times New Roman" w:eastAsia="仿宋_GB2312" w:cs="Times New Roman"/>
          <w:sz w:val="32"/>
          <w:szCs w:val="32"/>
        </w:rPr>
      </w:pPr>
    </w:p>
    <w:p>
      <w:pPr>
        <w:pStyle w:val="14"/>
        <w:adjustRightInd w:val="0"/>
        <w:snapToGrid w:val="0"/>
        <w:spacing w:line="56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一、收入支出决算总表</w:t>
      </w:r>
      <w:bookmarkEnd w:id="58"/>
    </w:p>
    <w:p>
      <w:pPr>
        <w:pStyle w:val="14"/>
        <w:adjustRightInd w:val="0"/>
        <w:snapToGrid w:val="0"/>
        <w:spacing w:line="560" w:lineRule="exact"/>
        <w:jc w:val="left"/>
        <w:rPr>
          <w:rFonts w:hint="default" w:ascii="Times New Roman" w:hAnsi="Times New Roman" w:eastAsia="仿宋_GB2312" w:cs="Times New Roman"/>
          <w:sz w:val="32"/>
          <w:szCs w:val="32"/>
        </w:rPr>
      </w:pPr>
      <w:bookmarkStart w:id="59" w:name="_Toc15396620"/>
      <w:r>
        <w:rPr>
          <w:rFonts w:hint="default" w:ascii="Times New Roman" w:hAnsi="Times New Roman" w:eastAsia="仿宋_GB2312" w:cs="Times New Roman"/>
          <w:sz w:val="32"/>
          <w:szCs w:val="32"/>
        </w:rPr>
        <w:t>二、收入决算表</w:t>
      </w:r>
      <w:bookmarkEnd w:id="59"/>
    </w:p>
    <w:p>
      <w:pPr>
        <w:pStyle w:val="14"/>
        <w:adjustRightInd w:val="0"/>
        <w:snapToGrid w:val="0"/>
        <w:spacing w:line="560" w:lineRule="exact"/>
        <w:jc w:val="left"/>
        <w:rPr>
          <w:rFonts w:hint="default" w:ascii="Times New Roman" w:hAnsi="Times New Roman" w:eastAsia="仿宋_GB2312" w:cs="Times New Roman"/>
          <w:sz w:val="32"/>
          <w:szCs w:val="32"/>
        </w:rPr>
      </w:pPr>
      <w:bookmarkStart w:id="60" w:name="_Toc15396621"/>
      <w:r>
        <w:rPr>
          <w:rFonts w:hint="default" w:ascii="Times New Roman" w:hAnsi="Times New Roman" w:eastAsia="仿宋_GB2312" w:cs="Times New Roman"/>
          <w:sz w:val="32"/>
          <w:szCs w:val="32"/>
        </w:rPr>
        <w:t>三、支出决算表</w:t>
      </w:r>
      <w:bookmarkEnd w:id="60"/>
    </w:p>
    <w:p>
      <w:pPr>
        <w:pStyle w:val="14"/>
        <w:adjustRightInd w:val="0"/>
        <w:snapToGrid w:val="0"/>
        <w:spacing w:line="560" w:lineRule="exact"/>
        <w:jc w:val="left"/>
        <w:rPr>
          <w:rFonts w:hint="default" w:ascii="Times New Roman" w:hAnsi="Times New Roman" w:eastAsia="仿宋_GB2312" w:cs="Times New Roman"/>
          <w:sz w:val="32"/>
          <w:szCs w:val="32"/>
        </w:rPr>
      </w:pPr>
      <w:bookmarkStart w:id="61" w:name="_Toc15396622"/>
      <w:r>
        <w:rPr>
          <w:rFonts w:hint="default" w:ascii="Times New Roman" w:hAnsi="Times New Roman" w:eastAsia="仿宋_GB2312" w:cs="Times New Roman"/>
          <w:sz w:val="32"/>
          <w:szCs w:val="32"/>
        </w:rPr>
        <w:t>四、财政拨款收入支出决算总表</w:t>
      </w:r>
      <w:bookmarkEnd w:id="61"/>
    </w:p>
    <w:p>
      <w:pPr>
        <w:pStyle w:val="14"/>
        <w:adjustRightInd w:val="0"/>
        <w:snapToGrid w:val="0"/>
        <w:spacing w:line="560" w:lineRule="exact"/>
        <w:jc w:val="left"/>
        <w:rPr>
          <w:rFonts w:hint="default" w:ascii="Times New Roman" w:hAnsi="Times New Roman" w:eastAsia="仿宋_GB2312" w:cs="Times New Roman"/>
          <w:sz w:val="32"/>
          <w:szCs w:val="32"/>
        </w:rPr>
      </w:pPr>
      <w:bookmarkStart w:id="62" w:name="_Toc15396623"/>
      <w:r>
        <w:rPr>
          <w:rFonts w:hint="default" w:ascii="Times New Roman" w:hAnsi="Times New Roman" w:eastAsia="仿宋_GB2312" w:cs="Times New Roman"/>
          <w:sz w:val="32"/>
          <w:szCs w:val="32"/>
        </w:rPr>
        <w:t>五、财政拨款支出决算明细表</w:t>
      </w:r>
      <w:bookmarkEnd w:id="62"/>
      <w:bookmarkStart w:id="63" w:name="_Toc15396624"/>
    </w:p>
    <w:p>
      <w:pPr>
        <w:pStyle w:val="14"/>
        <w:adjustRightInd w:val="0"/>
        <w:snapToGrid w:val="0"/>
        <w:spacing w:line="56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六、一般公共预算财政拨款支出决算表</w:t>
      </w:r>
      <w:bookmarkEnd w:id="63"/>
    </w:p>
    <w:p>
      <w:pPr>
        <w:pStyle w:val="14"/>
        <w:adjustRightInd w:val="0"/>
        <w:snapToGrid w:val="0"/>
        <w:spacing w:line="560" w:lineRule="exact"/>
        <w:jc w:val="left"/>
        <w:rPr>
          <w:rFonts w:hint="default" w:ascii="Times New Roman" w:hAnsi="Times New Roman" w:eastAsia="仿宋_GB2312" w:cs="Times New Roman"/>
          <w:sz w:val="32"/>
          <w:szCs w:val="32"/>
        </w:rPr>
      </w:pPr>
      <w:bookmarkStart w:id="64" w:name="_Toc15396625"/>
      <w:r>
        <w:rPr>
          <w:rFonts w:hint="default" w:ascii="Times New Roman" w:hAnsi="Times New Roman" w:eastAsia="仿宋_GB2312" w:cs="Times New Roman"/>
          <w:sz w:val="32"/>
          <w:szCs w:val="32"/>
        </w:rPr>
        <w:t>七、一般公共预算财政拨款支出决算明细表</w:t>
      </w:r>
      <w:bookmarkEnd w:id="64"/>
    </w:p>
    <w:p>
      <w:pPr>
        <w:pStyle w:val="14"/>
        <w:adjustRightInd w:val="0"/>
        <w:snapToGrid w:val="0"/>
        <w:spacing w:line="560" w:lineRule="exact"/>
        <w:jc w:val="left"/>
        <w:rPr>
          <w:rFonts w:hint="default" w:ascii="Times New Roman" w:hAnsi="Times New Roman" w:eastAsia="仿宋_GB2312" w:cs="Times New Roman"/>
          <w:sz w:val="32"/>
          <w:szCs w:val="32"/>
        </w:rPr>
      </w:pPr>
      <w:bookmarkStart w:id="65" w:name="_Toc15396626"/>
      <w:r>
        <w:rPr>
          <w:rFonts w:hint="default" w:ascii="Times New Roman" w:hAnsi="Times New Roman" w:eastAsia="仿宋_GB2312" w:cs="Times New Roman"/>
          <w:sz w:val="32"/>
          <w:szCs w:val="32"/>
        </w:rPr>
        <w:t>八、一般公共预算财政拨款基本支出决算表</w:t>
      </w:r>
      <w:bookmarkEnd w:id="65"/>
    </w:p>
    <w:p>
      <w:pPr>
        <w:pStyle w:val="14"/>
        <w:adjustRightInd w:val="0"/>
        <w:snapToGrid w:val="0"/>
        <w:spacing w:line="560" w:lineRule="exact"/>
        <w:jc w:val="left"/>
        <w:rPr>
          <w:rFonts w:hint="default" w:ascii="Times New Roman" w:hAnsi="Times New Roman" w:eastAsia="仿宋_GB2312" w:cs="Times New Roman"/>
          <w:sz w:val="32"/>
          <w:szCs w:val="32"/>
        </w:rPr>
      </w:pPr>
      <w:bookmarkStart w:id="66" w:name="_Toc15396627"/>
      <w:r>
        <w:rPr>
          <w:rFonts w:hint="default" w:ascii="Times New Roman" w:hAnsi="Times New Roman" w:eastAsia="仿宋_GB2312" w:cs="Times New Roman"/>
          <w:sz w:val="32"/>
          <w:szCs w:val="32"/>
        </w:rPr>
        <w:t>九、一般公共预算财政拨款项目支出决算表</w:t>
      </w:r>
      <w:bookmarkEnd w:id="66"/>
    </w:p>
    <w:p>
      <w:pPr>
        <w:pStyle w:val="14"/>
        <w:adjustRightInd w:val="0"/>
        <w:snapToGrid w:val="0"/>
        <w:spacing w:line="560" w:lineRule="exact"/>
        <w:jc w:val="left"/>
        <w:rPr>
          <w:rFonts w:hint="default" w:ascii="Times New Roman" w:hAnsi="Times New Roman" w:eastAsia="仿宋_GB2312" w:cs="Times New Roman"/>
          <w:sz w:val="32"/>
          <w:szCs w:val="32"/>
        </w:rPr>
      </w:pPr>
      <w:bookmarkStart w:id="67" w:name="_Toc15396628"/>
      <w:r>
        <w:rPr>
          <w:rFonts w:hint="default" w:ascii="Times New Roman" w:hAnsi="Times New Roman" w:eastAsia="仿宋_GB2312" w:cs="Times New Roman"/>
          <w:sz w:val="32"/>
          <w:szCs w:val="32"/>
        </w:rPr>
        <w:t>十、</w:t>
      </w:r>
      <w:bookmarkEnd w:id="67"/>
      <w:r>
        <w:rPr>
          <w:rFonts w:hint="default" w:ascii="Times New Roman" w:hAnsi="Times New Roman" w:eastAsia="仿宋_GB2312" w:cs="Times New Roman"/>
          <w:sz w:val="32"/>
          <w:szCs w:val="32"/>
        </w:rPr>
        <w:t>政府性基金预算财政拨款收入支出决算表</w:t>
      </w:r>
    </w:p>
    <w:p>
      <w:pPr>
        <w:pStyle w:val="14"/>
        <w:adjustRightInd w:val="0"/>
        <w:snapToGrid w:val="0"/>
        <w:spacing w:line="560" w:lineRule="exact"/>
        <w:jc w:val="left"/>
        <w:rPr>
          <w:rFonts w:hint="default" w:ascii="Times New Roman" w:hAnsi="Times New Roman" w:eastAsia="仿宋_GB2312" w:cs="Times New Roman"/>
          <w:sz w:val="32"/>
          <w:szCs w:val="32"/>
        </w:rPr>
      </w:pPr>
      <w:bookmarkStart w:id="68" w:name="_Toc15396629"/>
      <w:r>
        <w:rPr>
          <w:rFonts w:hint="default" w:ascii="Times New Roman" w:hAnsi="Times New Roman" w:eastAsia="仿宋_GB2312" w:cs="Times New Roman"/>
          <w:sz w:val="32"/>
          <w:szCs w:val="32"/>
        </w:rPr>
        <w:t>十一、</w:t>
      </w:r>
      <w:bookmarkEnd w:id="68"/>
      <w:r>
        <w:rPr>
          <w:rFonts w:hint="default" w:ascii="Times New Roman" w:hAnsi="Times New Roman" w:eastAsia="仿宋_GB2312" w:cs="Times New Roman"/>
          <w:sz w:val="32"/>
          <w:szCs w:val="32"/>
        </w:rPr>
        <w:t>国有资本经营预算财政拨款收入支出决算表</w:t>
      </w:r>
    </w:p>
    <w:p>
      <w:pPr>
        <w:pStyle w:val="14"/>
        <w:adjustRightInd w:val="0"/>
        <w:snapToGrid w:val="0"/>
        <w:spacing w:line="560" w:lineRule="exact"/>
        <w:jc w:val="left"/>
        <w:rPr>
          <w:rFonts w:hint="default" w:ascii="Times New Roman" w:hAnsi="Times New Roman" w:eastAsia="仿宋_GB2312" w:cs="Times New Roman"/>
          <w:sz w:val="32"/>
          <w:szCs w:val="32"/>
        </w:rPr>
      </w:pPr>
      <w:bookmarkStart w:id="69" w:name="_Toc15396630"/>
      <w:r>
        <w:rPr>
          <w:rFonts w:hint="default" w:ascii="Times New Roman" w:hAnsi="Times New Roman" w:eastAsia="仿宋_GB2312" w:cs="Times New Roman"/>
          <w:sz w:val="32"/>
          <w:szCs w:val="32"/>
        </w:rPr>
        <w:t>十二、</w:t>
      </w:r>
      <w:bookmarkEnd w:id="69"/>
      <w:r>
        <w:rPr>
          <w:rFonts w:hint="default" w:ascii="Times New Roman" w:hAnsi="Times New Roman" w:eastAsia="仿宋_GB2312" w:cs="Times New Roman"/>
          <w:sz w:val="32"/>
          <w:szCs w:val="32"/>
        </w:rPr>
        <w:t>国有资本经营预算财政拨款支出决算表</w:t>
      </w:r>
    </w:p>
    <w:p>
      <w:pPr>
        <w:pStyle w:val="14"/>
        <w:adjustRightInd w:val="0"/>
        <w:snapToGrid w:val="0"/>
        <w:spacing w:line="560" w:lineRule="exact"/>
        <w:jc w:val="left"/>
        <w:rPr>
          <w:rFonts w:hint="default" w:ascii="Times New Roman" w:hAnsi="Times New Roman" w:eastAsia="仿宋_GB2312" w:cs="Times New Roman"/>
          <w:sz w:val="32"/>
          <w:szCs w:val="32"/>
        </w:rPr>
      </w:pPr>
      <w:bookmarkStart w:id="70" w:name="_Toc15396631"/>
      <w:r>
        <w:rPr>
          <w:rFonts w:hint="default" w:ascii="Times New Roman" w:hAnsi="Times New Roman" w:eastAsia="仿宋_GB2312" w:cs="Times New Roman"/>
          <w:sz w:val="32"/>
          <w:szCs w:val="32"/>
        </w:rPr>
        <w:t>十三、</w:t>
      </w:r>
      <w:bookmarkEnd w:id="70"/>
      <w:r>
        <w:rPr>
          <w:rFonts w:hint="default" w:ascii="Times New Roman" w:hAnsi="Times New Roman" w:eastAsia="仿宋_GB2312" w:cs="Times New Roman"/>
          <w:sz w:val="32"/>
          <w:szCs w:val="32"/>
        </w:rPr>
        <w:t>财政拨款“三公”经费支出决算表</w:t>
      </w:r>
    </w:p>
    <w:p>
      <w:pPr>
        <w:rPr>
          <w:rFonts w:hint="default" w:ascii="Times New Roman" w:hAnsi="Times New Roman" w:cs="Times New Roman"/>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C8CB69"/>
    <w:multiLevelType w:val="singleLevel"/>
    <w:tmpl w:val="BEC8CB69"/>
    <w:lvl w:ilvl="0" w:tentative="0">
      <w:start w:val="1"/>
      <w:numFmt w:val="chineseCounting"/>
      <w:suff w:val="nothing"/>
      <w:lvlText w:val="%1、"/>
      <w:lvlJc w:val="left"/>
      <w:pPr>
        <w:ind w:left="84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E6E8D"/>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E4D59"/>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47A30"/>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0775D0"/>
    <w:rsid w:val="012C687B"/>
    <w:rsid w:val="015975B8"/>
    <w:rsid w:val="01883711"/>
    <w:rsid w:val="01F617C7"/>
    <w:rsid w:val="01FF0DD2"/>
    <w:rsid w:val="022A2F1B"/>
    <w:rsid w:val="02317B1B"/>
    <w:rsid w:val="02854BB6"/>
    <w:rsid w:val="02FEBE30"/>
    <w:rsid w:val="031676A0"/>
    <w:rsid w:val="033E7560"/>
    <w:rsid w:val="03855756"/>
    <w:rsid w:val="038D72DF"/>
    <w:rsid w:val="03F05867"/>
    <w:rsid w:val="04847877"/>
    <w:rsid w:val="04A732AF"/>
    <w:rsid w:val="04B3047C"/>
    <w:rsid w:val="05284B01"/>
    <w:rsid w:val="05980638"/>
    <w:rsid w:val="05B71192"/>
    <w:rsid w:val="061E35DE"/>
    <w:rsid w:val="06287F27"/>
    <w:rsid w:val="066E0107"/>
    <w:rsid w:val="07996F6E"/>
    <w:rsid w:val="079E5B2A"/>
    <w:rsid w:val="07DFD8BA"/>
    <w:rsid w:val="08DB07E4"/>
    <w:rsid w:val="09122E6E"/>
    <w:rsid w:val="093C5777"/>
    <w:rsid w:val="094B1521"/>
    <w:rsid w:val="09544BDC"/>
    <w:rsid w:val="09867E8F"/>
    <w:rsid w:val="09A84666"/>
    <w:rsid w:val="0A1F7B28"/>
    <w:rsid w:val="0A2032A3"/>
    <w:rsid w:val="0A2552B4"/>
    <w:rsid w:val="0A2D48BF"/>
    <w:rsid w:val="0A370A52"/>
    <w:rsid w:val="0AF7780B"/>
    <w:rsid w:val="0B0523A4"/>
    <w:rsid w:val="0B056B21"/>
    <w:rsid w:val="0B526C20"/>
    <w:rsid w:val="0B8E5780"/>
    <w:rsid w:val="0BB9314C"/>
    <w:rsid w:val="0BC1638D"/>
    <w:rsid w:val="0BE22C8C"/>
    <w:rsid w:val="0C6322E0"/>
    <w:rsid w:val="0C6C4794"/>
    <w:rsid w:val="0CA27847"/>
    <w:rsid w:val="0CA8290A"/>
    <w:rsid w:val="0CE474D6"/>
    <w:rsid w:val="0CFC11DA"/>
    <w:rsid w:val="0D1A078A"/>
    <w:rsid w:val="0D35B1ED"/>
    <w:rsid w:val="0D4E21F9"/>
    <w:rsid w:val="0DE07E2B"/>
    <w:rsid w:val="0E0C4DFD"/>
    <w:rsid w:val="0E6652FE"/>
    <w:rsid w:val="0E85325F"/>
    <w:rsid w:val="0EB3632D"/>
    <w:rsid w:val="0ED92CE9"/>
    <w:rsid w:val="0EEB1D0A"/>
    <w:rsid w:val="0F0063AE"/>
    <w:rsid w:val="0F2365E1"/>
    <w:rsid w:val="0F4F61AB"/>
    <w:rsid w:val="0F98263C"/>
    <w:rsid w:val="0FEB602A"/>
    <w:rsid w:val="0FF40EB8"/>
    <w:rsid w:val="10116269"/>
    <w:rsid w:val="101860EC"/>
    <w:rsid w:val="10345524"/>
    <w:rsid w:val="10453240"/>
    <w:rsid w:val="108E4231"/>
    <w:rsid w:val="10A92F65"/>
    <w:rsid w:val="10B10371"/>
    <w:rsid w:val="10C055FF"/>
    <w:rsid w:val="10DF044A"/>
    <w:rsid w:val="112D573C"/>
    <w:rsid w:val="11772AA4"/>
    <w:rsid w:val="118107EC"/>
    <w:rsid w:val="11A61B83"/>
    <w:rsid w:val="11FA160D"/>
    <w:rsid w:val="1277445A"/>
    <w:rsid w:val="130B4FD3"/>
    <w:rsid w:val="134273A6"/>
    <w:rsid w:val="13B576E5"/>
    <w:rsid w:val="13D50BC4"/>
    <w:rsid w:val="13EC783E"/>
    <w:rsid w:val="13FF5A0A"/>
    <w:rsid w:val="14022904"/>
    <w:rsid w:val="14517563"/>
    <w:rsid w:val="14BA4AB3"/>
    <w:rsid w:val="14BF5618"/>
    <w:rsid w:val="15023B03"/>
    <w:rsid w:val="152F2A07"/>
    <w:rsid w:val="153A0A71"/>
    <w:rsid w:val="154148ED"/>
    <w:rsid w:val="15A02708"/>
    <w:rsid w:val="15E7507B"/>
    <w:rsid w:val="16165BCA"/>
    <w:rsid w:val="163254FA"/>
    <w:rsid w:val="165E0673"/>
    <w:rsid w:val="167823EB"/>
    <w:rsid w:val="16BB723D"/>
    <w:rsid w:val="172A09C7"/>
    <w:rsid w:val="17B111EE"/>
    <w:rsid w:val="17FD7FE9"/>
    <w:rsid w:val="181A539A"/>
    <w:rsid w:val="186504BB"/>
    <w:rsid w:val="189C686D"/>
    <w:rsid w:val="18B36492"/>
    <w:rsid w:val="18CD4E3E"/>
    <w:rsid w:val="18D6574D"/>
    <w:rsid w:val="19237DCB"/>
    <w:rsid w:val="1938089F"/>
    <w:rsid w:val="19414DFD"/>
    <w:rsid w:val="19A445FC"/>
    <w:rsid w:val="19E44606"/>
    <w:rsid w:val="19F50124"/>
    <w:rsid w:val="19FA202D"/>
    <w:rsid w:val="1A2608F3"/>
    <w:rsid w:val="1A8F2520"/>
    <w:rsid w:val="1A9C7638"/>
    <w:rsid w:val="1ACA6E82"/>
    <w:rsid w:val="1B0043D4"/>
    <w:rsid w:val="1B4C3C75"/>
    <w:rsid w:val="1B777372"/>
    <w:rsid w:val="1B7D550C"/>
    <w:rsid w:val="1BAB3F72"/>
    <w:rsid w:val="1BE8440E"/>
    <w:rsid w:val="1C8800DD"/>
    <w:rsid w:val="1CC31D6E"/>
    <w:rsid w:val="1D155CEE"/>
    <w:rsid w:val="1D461794"/>
    <w:rsid w:val="1D613643"/>
    <w:rsid w:val="1D7879E5"/>
    <w:rsid w:val="1DB967B6"/>
    <w:rsid w:val="1DBA7555"/>
    <w:rsid w:val="1E330118"/>
    <w:rsid w:val="1E495B3F"/>
    <w:rsid w:val="1E5C12DD"/>
    <w:rsid w:val="1E740ACF"/>
    <w:rsid w:val="1F003FE9"/>
    <w:rsid w:val="1F216074"/>
    <w:rsid w:val="1FB75D16"/>
    <w:rsid w:val="1FB83797"/>
    <w:rsid w:val="1FE842E7"/>
    <w:rsid w:val="1FF35744"/>
    <w:rsid w:val="1FF6BC77"/>
    <w:rsid w:val="203E2B64"/>
    <w:rsid w:val="2043117D"/>
    <w:rsid w:val="207D005D"/>
    <w:rsid w:val="20862EEB"/>
    <w:rsid w:val="20C34F4E"/>
    <w:rsid w:val="20E73D48"/>
    <w:rsid w:val="21053439"/>
    <w:rsid w:val="21893A13"/>
    <w:rsid w:val="21962A9E"/>
    <w:rsid w:val="21AE7C77"/>
    <w:rsid w:val="223A7EF9"/>
    <w:rsid w:val="225C42C2"/>
    <w:rsid w:val="22BC3C41"/>
    <w:rsid w:val="232E1B45"/>
    <w:rsid w:val="23813B4D"/>
    <w:rsid w:val="23860B96"/>
    <w:rsid w:val="240371BF"/>
    <w:rsid w:val="241E4CD1"/>
    <w:rsid w:val="242B0763"/>
    <w:rsid w:val="247C63A4"/>
    <w:rsid w:val="24844675"/>
    <w:rsid w:val="249A6818"/>
    <w:rsid w:val="24B148C0"/>
    <w:rsid w:val="255A6C57"/>
    <w:rsid w:val="260F557C"/>
    <w:rsid w:val="266D19B7"/>
    <w:rsid w:val="2682413A"/>
    <w:rsid w:val="26893AC5"/>
    <w:rsid w:val="27F07B94"/>
    <w:rsid w:val="281408E2"/>
    <w:rsid w:val="28BA62D5"/>
    <w:rsid w:val="28DD6518"/>
    <w:rsid w:val="297B189A"/>
    <w:rsid w:val="29EE1BD8"/>
    <w:rsid w:val="29FD04D3"/>
    <w:rsid w:val="2A346ACA"/>
    <w:rsid w:val="2AF8590E"/>
    <w:rsid w:val="2B3347B7"/>
    <w:rsid w:val="2B8C0380"/>
    <w:rsid w:val="2BA8442D"/>
    <w:rsid w:val="2BFF7BC6"/>
    <w:rsid w:val="2C3A399C"/>
    <w:rsid w:val="2C6C747A"/>
    <w:rsid w:val="2C8A61B5"/>
    <w:rsid w:val="2CE41C36"/>
    <w:rsid w:val="2D2E01CF"/>
    <w:rsid w:val="2DB50C8A"/>
    <w:rsid w:val="2DF04E50"/>
    <w:rsid w:val="2E9545B0"/>
    <w:rsid w:val="2F040D46"/>
    <w:rsid w:val="2F626F61"/>
    <w:rsid w:val="2FAE5751"/>
    <w:rsid w:val="2FB1A395"/>
    <w:rsid w:val="2FD40C84"/>
    <w:rsid w:val="2FD9A7D8"/>
    <w:rsid w:val="300A115E"/>
    <w:rsid w:val="306D1203"/>
    <w:rsid w:val="30A30058"/>
    <w:rsid w:val="30CD2521"/>
    <w:rsid w:val="31586882"/>
    <w:rsid w:val="319F7F4E"/>
    <w:rsid w:val="321B2544"/>
    <w:rsid w:val="323352EB"/>
    <w:rsid w:val="32357BED"/>
    <w:rsid w:val="32A90903"/>
    <w:rsid w:val="32D44E75"/>
    <w:rsid w:val="3304709D"/>
    <w:rsid w:val="33995EB7"/>
    <w:rsid w:val="33A928CE"/>
    <w:rsid w:val="33FA13D4"/>
    <w:rsid w:val="341222FE"/>
    <w:rsid w:val="34281836"/>
    <w:rsid w:val="342B1BA3"/>
    <w:rsid w:val="349D6851"/>
    <w:rsid w:val="351D0D35"/>
    <w:rsid w:val="353323D5"/>
    <w:rsid w:val="3558300F"/>
    <w:rsid w:val="35A3178F"/>
    <w:rsid w:val="35BA6CAF"/>
    <w:rsid w:val="361F6B5B"/>
    <w:rsid w:val="364D14C1"/>
    <w:rsid w:val="36AA5135"/>
    <w:rsid w:val="36BE0DA7"/>
    <w:rsid w:val="36C26364"/>
    <w:rsid w:val="3729700D"/>
    <w:rsid w:val="3755714D"/>
    <w:rsid w:val="376B6AA6"/>
    <w:rsid w:val="376D39B2"/>
    <w:rsid w:val="37CB0D94"/>
    <w:rsid w:val="37E16F03"/>
    <w:rsid w:val="37F53A3B"/>
    <w:rsid w:val="38165991"/>
    <w:rsid w:val="38461C2A"/>
    <w:rsid w:val="389B6C89"/>
    <w:rsid w:val="38C83236"/>
    <w:rsid w:val="38D469F0"/>
    <w:rsid w:val="39072D1B"/>
    <w:rsid w:val="39404179"/>
    <w:rsid w:val="39627CCD"/>
    <w:rsid w:val="397BAF1F"/>
    <w:rsid w:val="39AE1F4E"/>
    <w:rsid w:val="39C1124F"/>
    <w:rsid w:val="39C20ECF"/>
    <w:rsid w:val="39C82DD9"/>
    <w:rsid w:val="3A6F48F3"/>
    <w:rsid w:val="3AB371FF"/>
    <w:rsid w:val="3AB79AF3"/>
    <w:rsid w:val="3B632B7A"/>
    <w:rsid w:val="3B7EF35A"/>
    <w:rsid w:val="3B9FDB6C"/>
    <w:rsid w:val="3BA13CE3"/>
    <w:rsid w:val="3BF5BC2F"/>
    <w:rsid w:val="3C042703"/>
    <w:rsid w:val="3C2A17E3"/>
    <w:rsid w:val="3C306A4A"/>
    <w:rsid w:val="3CEBA265"/>
    <w:rsid w:val="3CF86493"/>
    <w:rsid w:val="3D795AE8"/>
    <w:rsid w:val="3D8B1285"/>
    <w:rsid w:val="3D8F7C8C"/>
    <w:rsid w:val="3D98207C"/>
    <w:rsid w:val="3D9B0D99"/>
    <w:rsid w:val="3DC75867"/>
    <w:rsid w:val="3DC96B6C"/>
    <w:rsid w:val="3DDA4888"/>
    <w:rsid w:val="3DEE7CF3"/>
    <w:rsid w:val="3DF02244"/>
    <w:rsid w:val="3DFC02BF"/>
    <w:rsid w:val="3E666FCC"/>
    <w:rsid w:val="3E78745D"/>
    <w:rsid w:val="3EC03881"/>
    <w:rsid w:val="3ECA4520"/>
    <w:rsid w:val="3F056573"/>
    <w:rsid w:val="3F867DC6"/>
    <w:rsid w:val="3FEA2069"/>
    <w:rsid w:val="3FF4CAE0"/>
    <w:rsid w:val="3FF7B227"/>
    <w:rsid w:val="40C142CB"/>
    <w:rsid w:val="40E54C45"/>
    <w:rsid w:val="40EB768D"/>
    <w:rsid w:val="41187971"/>
    <w:rsid w:val="416932D6"/>
    <w:rsid w:val="4220362C"/>
    <w:rsid w:val="43610097"/>
    <w:rsid w:val="439C49F8"/>
    <w:rsid w:val="43A407DF"/>
    <w:rsid w:val="43AA5013"/>
    <w:rsid w:val="43EE41ED"/>
    <w:rsid w:val="44515BEA"/>
    <w:rsid w:val="44831473"/>
    <w:rsid w:val="449C4005"/>
    <w:rsid w:val="44E268DA"/>
    <w:rsid w:val="44E74A1A"/>
    <w:rsid w:val="453F7E5B"/>
    <w:rsid w:val="455E537A"/>
    <w:rsid w:val="461C0B94"/>
    <w:rsid w:val="47D7186A"/>
    <w:rsid w:val="47DA0270"/>
    <w:rsid w:val="486A6C7A"/>
    <w:rsid w:val="4892419C"/>
    <w:rsid w:val="48DE5292"/>
    <w:rsid w:val="49060F7A"/>
    <w:rsid w:val="49176D9B"/>
    <w:rsid w:val="495A6163"/>
    <w:rsid w:val="49A2565E"/>
    <w:rsid w:val="49A76262"/>
    <w:rsid w:val="49F650E8"/>
    <w:rsid w:val="4A627F82"/>
    <w:rsid w:val="4A870956"/>
    <w:rsid w:val="4AA25200"/>
    <w:rsid w:val="4B0E749A"/>
    <w:rsid w:val="4B202CD1"/>
    <w:rsid w:val="4B4F25DA"/>
    <w:rsid w:val="4B924B09"/>
    <w:rsid w:val="4BDA0CFB"/>
    <w:rsid w:val="4BE068DB"/>
    <w:rsid w:val="4BF56DAC"/>
    <w:rsid w:val="4CC95E8A"/>
    <w:rsid w:val="4CE20FB3"/>
    <w:rsid w:val="4D0549EA"/>
    <w:rsid w:val="4D3C0CCC"/>
    <w:rsid w:val="4D577224"/>
    <w:rsid w:val="4D72759D"/>
    <w:rsid w:val="4D8A4C44"/>
    <w:rsid w:val="4DBB5413"/>
    <w:rsid w:val="4DBF1CEB"/>
    <w:rsid w:val="4E562471"/>
    <w:rsid w:val="4E607225"/>
    <w:rsid w:val="4E6F1A3E"/>
    <w:rsid w:val="4EA53BEA"/>
    <w:rsid w:val="4EAB630A"/>
    <w:rsid w:val="4ECE2238"/>
    <w:rsid w:val="4F833267"/>
    <w:rsid w:val="4F89218B"/>
    <w:rsid w:val="4FB24FC0"/>
    <w:rsid w:val="4FE9BD67"/>
    <w:rsid w:val="4FFB052F"/>
    <w:rsid w:val="502239EC"/>
    <w:rsid w:val="50370D6B"/>
    <w:rsid w:val="50997DCA"/>
    <w:rsid w:val="509B32CD"/>
    <w:rsid w:val="50FA6B69"/>
    <w:rsid w:val="51521776"/>
    <w:rsid w:val="51694C1F"/>
    <w:rsid w:val="51713621"/>
    <w:rsid w:val="51A67184"/>
    <w:rsid w:val="52BC45CC"/>
    <w:rsid w:val="53083A92"/>
    <w:rsid w:val="53175BDF"/>
    <w:rsid w:val="531D7AE8"/>
    <w:rsid w:val="537E6D0A"/>
    <w:rsid w:val="53AF27A2"/>
    <w:rsid w:val="53F74C96"/>
    <w:rsid w:val="548712B9"/>
    <w:rsid w:val="54A85071"/>
    <w:rsid w:val="551F5FB4"/>
    <w:rsid w:val="554D57FF"/>
    <w:rsid w:val="556122A1"/>
    <w:rsid w:val="55735A3E"/>
    <w:rsid w:val="55CC5A2F"/>
    <w:rsid w:val="55EC1E85"/>
    <w:rsid w:val="561423FD"/>
    <w:rsid w:val="564C5721"/>
    <w:rsid w:val="566717CE"/>
    <w:rsid w:val="56E47B74"/>
    <w:rsid w:val="57094CE3"/>
    <w:rsid w:val="574014B2"/>
    <w:rsid w:val="574F16AC"/>
    <w:rsid w:val="57622CEB"/>
    <w:rsid w:val="579447BF"/>
    <w:rsid w:val="57BD3DD4"/>
    <w:rsid w:val="57DC0F8E"/>
    <w:rsid w:val="589511FE"/>
    <w:rsid w:val="58C52932"/>
    <w:rsid w:val="58DB1253"/>
    <w:rsid w:val="59060371"/>
    <w:rsid w:val="59296DD4"/>
    <w:rsid w:val="594D1592"/>
    <w:rsid w:val="59D44CEE"/>
    <w:rsid w:val="5AF92295"/>
    <w:rsid w:val="5B052E61"/>
    <w:rsid w:val="5BDD79E6"/>
    <w:rsid w:val="5BF561CA"/>
    <w:rsid w:val="5BF86F72"/>
    <w:rsid w:val="5BFF5DFC"/>
    <w:rsid w:val="5C902881"/>
    <w:rsid w:val="5C9D7700"/>
    <w:rsid w:val="5C9F2C03"/>
    <w:rsid w:val="5CD71FC4"/>
    <w:rsid w:val="5CD96260"/>
    <w:rsid w:val="5CDF39EC"/>
    <w:rsid w:val="5D1F11B5"/>
    <w:rsid w:val="5D612CC1"/>
    <w:rsid w:val="5DAE1B18"/>
    <w:rsid w:val="5DE7D9E5"/>
    <w:rsid w:val="5E6F2E7E"/>
    <w:rsid w:val="5E9F1405"/>
    <w:rsid w:val="5ECEC941"/>
    <w:rsid w:val="5F1F779F"/>
    <w:rsid w:val="5F493CB7"/>
    <w:rsid w:val="5F7A0DB2"/>
    <w:rsid w:val="5FBF9FF3"/>
    <w:rsid w:val="5FCD4E2C"/>
    <w:rsid w:val="5FD15F49"/>
    <w:rsid w:val="5FEF394A"/>
    <w:rsid w:val="5FF67715"/>
    <w:rsid w:val="60335FE2"/>
    <w:rsid w:val="6171346B"/>
    <w:rsid w:val="62826B2B"/>
    <w:rsid w:val="62BF3928"/>
    <w:rsid w:val="630073FA"/>
    <w:rsid w:val="636A1027"/>
    <w:rsid w:val="63716434"/>
    <w:rsid w:val="63A8305A"/>
    <w:rsid w:val="63AA400F"/>
    <w:rsid w:val="64041226"/>
    <w:rsid w:val="642B10E5"/>
    <w:rsid w:val="647F5392"/>
    <w:rsid w:val="64B14BC2"/>
    <w:rsid w:val="658B4525"/>
    <w:rsid w:val="65A93AD5"/>
    <w:rsid w:val="65E5173B"/>
    <w:rsid w:val="661A0911"/>
    <w:rsid w:val="664A7DC4"/>
    <w:rsid w:val="664B1D71"/>
    <w:rsid w:val="676370B4"/>
    <w:rsid w:val="67AA3209"/>
    <w:rsid w:val="67D121E0"/>
    <w:rsid w:val="67D7796D"/>
    <w:rsid w:val="67E97887"/>
    <w:rsid w:val="67F25F98"/>
    <w:rsid w:val="681C4F0D"/>
    <w:rsid w:val="68351F05"/>
    <w:rsid w:val="68DE78CF"/>
    <w:rsid w:val="69046D0F"/>
    <w:rsid w:val="697A259C"/>
    <w:rsid w:val="698D0931"/>
    <w:rsid w:val="69BA5584"/>
    <w:rsid w:val="6A993CED"/>
    <w:rsid w:val="6AC128B3"/>
    <w:rsid w:val="6AED086C"/>
    <w:rsid w:val="6B053271"/>
    <w:rsid w:val="6B3E2872"/>
    <w:rsid w:val="6BCE6674"/>
    <w:rsid w:val="6BD745FA"/>
    <w:rsid w:val="6BEA6346"/>
    <w:rsid w:val="6C213774"/>
    <w:rsid w:val="6C4A05C8"/>
    <w:rsid w:val="6C8742B8"/>
    <w:rsid w:val="6C8A170F"/>
    <w:rsid w:val="6C994DA2"/>
    <w:rsid w:val="6CB54609"/>
    <w:rsid w:val="6CBC13F4"/>
    <w:rsid w:val="6D0C6BF5"/>
    <w:rsid w:val="6D565D6F"/>
    <w:rsid w:val="6D812437"/>
    <w:rsid w:val="6D9632D6"/>
    <w:rsid w:val="6DBF5E93"/>
    <w:rsid w:val="6DD4443F"/>
    <w:rsid w:val="6DFF077E"/>
    <w:rsid w:val="6DFF2D05"/>
    <w:rsid w:val="6E644C28"/>
    <w:rsid w:val="6E7E3605"/>
    <w:rsid w:val="6E7FDCC7"/>
    <w:rsid w:val="6EBC6FBF"/>
    <w:rsid w:val="6ED6A62E"/>
    <w:rsid w:val="6EE00B15"/>
    <w:rsid w:val="6F1502CF"/>
    <w:rsid w:val="6F532332"/>
    <w:rsid w:val="6F544B20"/>
    <w:rsid w:val="6F6FB3EB"/>
    <w:rsid w:val="6F784160"/>
    <w:rsid w:val="6F8731EA"/>
    <w:rsid w:val="6FCE6052"/>
    <w:rsid w:val="6FD57C00"/>
    <w:rsid w:val="6FEFFFD8"/>
    <w:rsid w:val="6FF5CC65"/>
    <w:rsid w:val="6FFB47EC"/>
    <w:rsid w:val="6FFF034A"/>
    <w:rsid w:val="70496804"/>
    <w:rsid w:val="710E2608"/>
    <w:rsid w:val="712A28F1"/>
    <w:rsid w:val="715C0E4B"/>
    <w:rsid w:val="718070C4"/>
    <w:rsid w:val="71CE6D52"/>
    <w:rsid w:val="721847D3"/>
    <w:rsid w:val="72233669"/>
    <w:rsid w:val="723D71C8"/>
    <w:rsid w:val="72734D90"/>
    <w:rsid w:val="72AC3F6A"/>
    <w:rsid w:val="72E61DBC"/>
    <w:rsid w:val="73075CA3"/>
    <w:rsid w:val="7332FE48"/>
    <w:rsid w:val="73794E6E"/>
    <w:rsid w:val="739C06B8"/>
    <w:rsid w:val="73AB61DA"/>
    <w:rsid w:val="73AD73D5"/>
    <w:rsid w:val="73B6EB34"/>
    <w:rsid w:val="73C225FD"/>
    <w:rsid w:val="73D62E1B"/>
    <w:rsid w:val="73FA497D"/>
    <w:rsid w:val="7401366E"/>
    <w:rsid w:val="74034BE4"/>
    <w:rsid w:val="74095FBA"/>
    <w:rsid w:val="744731E5"/>
    <w:rsid w:val="744D04DB"/>
    <w:rsid w:val="74527205"/>
    <w:rsid w:val="74BBD01D"/>
    <w:rsid w:val="74ED5379"/>
    <w:rsid w:val="74F72EF3"/>
    <w:rsid w:val="74FC2395"/>
    <w:rsid w:val="75DEEEC2"/>
    <w:rsid w:val="75EC4704"/>
    <w:rsid w:val="75F65014"/>
    <w:rsid w:val="75F70F46"/>
    <w:rsid w:val="76E3355F"/>
    <w:rsid w:val="76FF5125"/>
    <w:rsid w:val="776F6FFA"/>
    <w:rsid w:val="778769C8"/>
    <w:rsid w:val="778C63AF"/>
    <w:rsid w:val="77DC22F5"/>
    <w:rsid w:val="781F11A1"/>
    <w:rsid w:val="78391D4B"/>
    <w:rsid w:val="789E5DDE"/>
    <w:rsid w:val="78A773B0"/>
    <w:rsid w:val="79086DAD"/>
    <w:rsid w:val="790D55A6"/>
    <w:rsid w:val="791252B1"/>
    <w:rsid w:val="793B4DF1"/>
    <w:rsid w:val="795904EB"/>
    <w:rsid w:val="79597C24"/>
    <w:rsid w:val="79974F09"/>
    <w:rsid w:val="79D7FD79"/>
    <w:rsid w:val="79EE5BA4"/>
    <w:rsid w:val="79F72FA5"/>
    <w:rsid w:val="7A082FE7"/>
    <w:rsid w:val="7A3D371A"/>
    <w:rsid w:val="7A894339"/>
    <w:rsid w:val="7AFE5D56"/>
    <w:rsid w:val="7AFF7572"/>
    <w:rsid w:val="7B2D55AB"/>
    <w:rsid w:val="7B6C7DFB"/>
    <w:rsid w:val="7B910B48"/>
    <w:rsid w:val="7BBF0393"/>
    <w:rsid w:val="7BBFBED0"/>
    <w:rsid w:val="7BC3E394"/>
    <w:rsid w:val="7BC75900"/>
    <w:rsid w:val="7C1F3737"/>
    <w:rsid w:val="7C6718AA"/>
    <w:rsid w:val="7CBFC87B"/>
    <w:rsid w:val="7CFE0F48"/>
    <w:rsid w:val="7D7EC23E"/>
    <w:rsid w:val="7D916348"/>
    <w:rsid w:val="7E063AD0"/>
    <w:rsid w:val="7E3A0AA7"/>
    <w:rsid w:val="7E4E7747"/>
    <w:rsid w:val="7E755892"/>
    <w:rsid w:val="7E8ADEBF"/>
    <w:rsid w:val="7EE840C2"/>
    <w:rsid w:val="7EEF11D3"/>
    <w:rsid w:val="7F055BF1"/>
    <w:rsid w:val="7F0971A6"/>
    <w:rsid w:val="7F143C8D"/>
    <w:rsid w:val="7F3F679B"/>
    <w:rsid w:val="7F4FC4EF"/>
    <w:rsid w:val="7F5E4D54"/>
    <w:rsid w:val="7F6E0135"/>
    <w:rsid w:val="7F731AA8"/>
    <w:rsid w:val="7FA30C79"/>
    <w:rsid w:val="7FAF8ABF"/>
    <w:rsid w:val="7FB7269E"/>
    <w:rsid w:val="7FB96999"/>
    <w:rsid w:val="7FC96657"/>
    <w:rsid w:val="7FDA9588"/>
    <w:rsid w:val="7FDC23D1"/>
    <w:rsid w:val="7FDF220F"/>
    <w:rsid w:val="7FEDC5F7"/>
    <w:rsid w:val="7FEDD9DE"/>
    <w:rsid w:val="7FF5890D"/>
    <w:rsid w:val="7FF8198E"/>
    <w:rsid w:val="7FF93490"/>
    <w:rsid w:val="7FFE168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next w:val="1"/>
    <w:link w:val="35"/>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7"/>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E:\&#25991;&#26723;E\cw\2025\&#20915;&#31639;\&#20915;&#31639;&#20844;&#24320;\2025&#20915;&#31639;&#20844;&#24320;\&#22270;&#34920;&#21046;&#20316;.xlsx" TargetMode="External"/></Relationships>
</file>

<file path=word/charts/_rels/chart2.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chartUserShapes" Target="../drawings/drawing1.xml"/><Relationship Id="rId1" Type="http://schemas.openxmlformats.org/officeDocument/2006/relationships/oleObject" Target="file:///E:\&#25991;&#26723;E\cw\2025\&#20915;&#31639;\&#20915;&#31639;&#20844;&#24320;\2025&#20915;&#31639;&#20844;&#24320;\&#22270;&#34920;&#21046;&#20316;.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25991;&#26723;E\cw\2025\&#20915;&#31639;\&#20915;&#31639;&#20844;&#24320;\2025&#20915;&#31639;&#20844;&#24320;\&#22270;&#34920;&#21046;&#203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25991;&#26723;E\cw\2025\&#20915;&#31639;\&#20915;&#31639;&#20844;&#24320;\2025&#20915;&#31639;&#20844;&#24320;\&#22270;&#34920;&#21046;&#20316;.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25991;&#26723;E\cw\2025\&#20915;&#31639;\&#20915;&#31639;&#20844;&#24320;\2025&#20915;&#31639;&#20844;&#24320;\&#22270;&#34920;&#21046;&#20316;.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25991;&#26723;E\cw\2025\&#20915;&#31639;\&#20915;&#31639;&#20844;&#24320;\2025&#20915;&#31639;&#20844;&#24320;\&#22270;&#34920;&#21046;&#20316;.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25991;&#26723;E\cw\2025\&#20915;&#31639;\&#20915;&#31639;&#20844;&#24320;\2025&#20915;&#31639;&#20844;&#24320;\&#22270;&#34920;&#21046;&#203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00" b="0" i="0" u="none" strike="noStrike" kern="1200" spc="0" baseline="0">
                <a:solidFill>
                  <a:schemeClr val="tx1">
                    <a:lumMod val="65000"/>
                    <a:lumOff val="35000"/>
                  </a:schemeClr>
                </a:solidFill>
                <a:latin typeface="+mn-lt"/>
                <a:ea typeface="+mn-ea"/>
                <a:cs typeface="+mn-cs"/>
              </a:defRPr>
            </a:pPr>
            <a:r>
              <a:rPr sz="1000"/>
              <a:t>单位：万元</a:t>
            </a:r>
            <a:endParaRPr sz="1000"/>
          </a:p>
        </c:rich>
      </c:tx>
      <c:layout>
        <c:manualLayout>
          <c:xMode val="edge"/>
          <c:yMode val="edge"/>
          <c:x val="0.829027777777778"/>
          <c:y val="0.0243055555555556"/>
        </c:manualLayout>
      </c:layout>
      <c:overlay val="0"/>
      <c:spPr>
        <a:noFill/>
        <a:ln>
          <a:noFill/>
        </a:ln>
        <a:effectLst/>
      </c:spPr>
    </c:title>
    <c:autoTitleDeleted val="0"/>
    <c:plotArea>
      <c:layout/>
      <c:barChart>
        <c:barDir val="col"/>
        <c:grouping val="clustered"/>
        <c:varyColors val="0"/>
        <c:ser>
          <c:idx val="0"/>
          <c:order val="0"/>
          <c:tx>
            <c:strRef>
              <c:f>[图表制作.xlsx]Sheet1!$A$3</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[图表制作.xlsx]Sheet1!$B$2:$C$2</c:f>
              <c:strCache>
                <c:ptCount val="2"/>
                <c:pt idx="0">
                  <c:v>收入总计</c:v>
                </c:pt>
                <c:pt idx="1">
                  <c:v>支出总计</c:v>
                </c:pt>
              </c:strCache>
            </c:strRef>
          </c:cat>
          <c:val>
            <c:numRef>
              <c:f>[图表制作.xlsx]Sheet1!$B$3:$C$3</c:f>
              <c:numCache>
                <c:formatCode>General</c:formatCode>
                <c:ptCount val="2"/>
                <c:pt idx="0">
                  <c:v>658.31</c:v>
                </c:pt>
                <c:pt idx="1">
                  <c:v>658.31</c:v>
                </c:pt>
              </c:numCache>
            </c:numRef>
          </c:val>
        </c:ser>
        <c:ser>
          <c:idx val="1"/>
          <c:order val="1"/>
          <c:tx>
            <c:strRef>
              <c:f>[图表制作.xlsx]Sheet1!$A$4</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[图表制作.xlsx]Sheet1!$B$2:$C$2</c:f>
              <c:strCache>
                <c:ptCount val="2"/>
                <c:pt idx="0">
                  <c:v>收入总计</c:v>
                </c:pt>
                <c:pt idx="1">
                  <c:v>支出总计</c:v>
                </c:pt>
              </c:strCache>
            </c:strRef>
          </c:cat>
          <c:val>
            <c:numRef>
              <c:f>[图表制作.xlsx]Sheet1!$B$4:$C$4</c:f>
              <c:numCache>
                <c:formatCode>General</c:formatCode>
                <c:ptCount val="2"/>
                <c:pt idx="0">
                  <c:v>1037.98</c:v>
                </c:pt>
                <c:pt idx="1">
                  <c:v>1037.98</c:v>
                </c:pt>
              </c:numCache>
            </c:numRef>
          </c:val>
        </c:ser>
        <c:dLbls>
          <c:showLegendKey val="0"/>
          <c:showVal val="1"/>
          <c:showCatName val="0"/>
          <c:showSerName val="0"/>
          <c:showPercent val="0"/>
          <c:showBubbleSize val="0"/>
        </c:dLbls>
        <c:gapWidth val="219"/>
        <c:overlap val="-27"/>
        <c:axId val="139059658"/>
        <c:axId val="392029715"/>
      </c:barChart>
      <c:catAx>
        <c:axId val="13905965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2029715"/>
        <c:crosses val="autoZero"/>
        <c:auto val="1"/>
        <c:lblAlgn val="ctr"/>
        <c:lblOffset val="100"/>
        <c:noMultiLvlLbl val="0"/>
      </c:catAx>
      <c:valAx>
        <c:axId val="3920297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905965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0" cap="flat" cmpd="sng" algn="ctr">
      <a:solidFill>
        <a:schemeClr val="tx1"/>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75"/>
      <c:rotY val="0"/>
      <c:depthPercent val="100"/>
      <c:rAngAx val="0"/>
      <c:perspective val="3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a:scene3d>
              <a:camera prst="orthographicFront"/>
              <a:lightRig rig="threePt" dir="t"/>
            </a:scene3d>
            <a:sp3d contourW="25400"/>
          </c:spPr>
          <c:explosion val="0"/>
          <c:dPt>
            <c:idx val="0"/>
            <c:bubble3D val="0"/>
            <c:spPr>
              <a:solidFill>
                <a:schemeClr val="accent1"/>
              </a:solidFill>
              <a:ln w="25400">
                <a:solidFill>
                  <a:schemeClr val="lt1"/>
                </a:solidFill>
              </a:ln>
              <a:effectLst/>
            </c:spPr>
          </c:dPt>
          <c:dPt>
            <c:idx val="1"/>
            <c:bubble3D val="0"/>
            <c:spPr>
              <a:solidFill>
                <a:schemeClr val="accent2"/>
              </a:solidFill>
              <a:ln w="2540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[图表制作.xlsx]Sheet1!$A$13:$A$14</c:f>
              <c:strCache>
                <c:ptCount val="2"/>
                <c:pt idx="0">
                  <c:v>一般公共预算财政拨款收入</c:v>
                </c:pt>
                <c:pt idx="1">
                  <c:v>其他收入</c:v>
                </c:pt>
              </c:strCache>
            </c:strRef>
          </c:cat>
          <c:val>
            <c:numRef>
              <c:f>[图表制作.xlsx]Sheet1!$B$13:$B$14</c:f>
              <c:numCache>
                <c:formatCode>General</c:formatCode>
                <c:ptCount val="2"/>
                <c:pt idx="0">
                  <c:v>358.32</c:v>
                </c:pt>
                <c:pt idx="1">
                  <c:v>607.72</c:v>
                </c:pt>
              </c:numCache>
            </c:numRef>
          </c:val>
        </c:ser>
        <c:dLbls>
          <c:showLegendKey val="0"/>
          <c:showVal val="0"/>
          <c:showCatName val="0"/>
          <c:showSerName val="0"/>
          <c:showPercent val="1"/>
          <c:showBubbleSize val="0"/>
        </c:dLbls>
      </c:pie3D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noFill/>
    <a:ln w="0" cap="flat" cmpd="sng" algn="ctr">
      <a:solidFill>
        <a:schemeClr val="tx1">
          <a:lumMod val="75000"/>
          <a:lumOff val="25000"/>
        </a:schemeClr>
      </a:solidFill>
      <a:round/>
    </a:ln>
    <a:effectLst/>
  </c:spPr>
  <c:txPr>
    <a:bodyPr/>
    <a:lstStyle/>
    <a:p>
      <a:pPr>
        <a:defRPr lang="zh-CN"/>
      </a:pPr>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000" b="0">
                <a:latin typeface="宋体" panose="02010600030101010101" charset="-122"/>
                <a:ea typeface="宋体" panose="02010600030101010101" charset="-122"/>
              </a:rPr>
              <a:t>单位：万元</a:t>
            </a:r>
            <a:endParaRPr lang="zh-CN" altLang="en-US" sz="1000" b="0">
              <a:latin typeface="宋体" panose="02010600030101010101" charset="-122"/>
              <a:ea typeface="宋体" panose="02010600030101010101" charset="-122"/>
            </a:endParaRPr>
          </a:p>
        </c:rich>
      </c:tx>
      <c:layout>
        <c:manualLayout>
          <c:xMode val="edge"/>
          <c:yMode val="edge"/>
          <c:x val="0.780710659898477"/>
          <c:y val="0.0224271118863693"/>
        </c:manualLayout>
      </c:layout>
      <c:overlay val="0"/>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0.080087986463621"/>
          <c:y val="0.242706204834289"/>
          <c:w val="0.628656514382403"/>
          <c:h val="0.654134064291054"/>
        </c:manualLayout>
      </c:layout>
      <c:pie3DChart>
        <c:varyColors val="1"/>
        <c:ser>
          <c:idx val="0"/>
          <c:order val="0"/>
          <c:explosion val="0"/>
          <c:dPt>
            <c:idx val="0"/>
            <c:bubble3D val="0"/>
          </c:dPt>
          <c:dPt>
            <c:idx val="1"/>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[图表制作.xlsx]Sheet1!$A$22:$A$23</c:f>
              <c:strCache>
                <c:ptCount val="2"/>
                <c:pt idx="0">
                  <c:v>基本支出</c:v>
                </c:pt>
                <c:pt idx="1">
                  <c:v>项目支出</c:v>
                </c:pt>
              </c:strCache>
            </c:strRef>
          </c:cat>
          <c:val>
            <c:numRef>
              <c:f>[图表制作.xlsx]Sheet1!$B$22:$B$23</c:f>
              <c:numCache>
                <c:formatCode>#,##0.00</c:formatCode>
                <c:ptCount val="2"/>
                <c:pt idx="0">
                  <c:v>224.58</c:v>
                </c:pt>
                <c:pt idx="1" c:formatCode="#,##0.0">
                  <c:v>405.7</c:v>
                </c:pt>
              </c:numCache>
            </c:numRef>
          </c:val>
        </c:ser>
        <c:dLbls>
          <c:showLegendKey val="0"/>
          <c:showVal val="0"/>
          <c:showCatName val="0"/>
          <c:showSerName val="0"/>
          <c:showPercent val="1"/>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000" b="0">
                <a:latin typeface="宋体" panose="02010600030101010101" charset="-122"/>
                <a:ea typeface="宋体" panose="02010600030101010101" charset="-122"/>
              </a:rPr>
              <a:t>单位：万元</a:t>
            </a:r>
            <a:endParaRPr lang="zh-CN" altLang="en-US" sz="1000" b="0">
              <a:latin typeface="宋体" panose="02010600030101010101" charset="-122"/>
              <a:ea typeface="宋体" panose="02010600030101010101" charset="-122"/>
            </a:endParaRPr>
          </a:p>
        </c:rich>
      </c:tx>
      <c:layout>
        <c:manualLayout>
          <c:xMode val="edge"/>
          <c:yMode val="edge"/>
          <c:x val="0.796447467876039"/>
          <c:y val="0.0235690235690236"/>
        </c:manualLayout>
      </c:layout>
      <c:overlay val="0"/>
    </c:title>
    <c:autoTitleDeleted val="0"/>
    <c:plotArea>
      <c:layout/>
      <c:barChart>
        <c:barDir val="col"/>
        <c:grouping val="clustered"/>
        <c:varyColors val="0"/>
        <c:ser>
          <c:idx val="0"/>
          <c:order val="0"/>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[图表制作.xlsx]Sheet1!$A$46:$A$47</c:f>
              <c:strCache>
                <c:ptCount val="2"/>
                <c:pt idx="0">
                  <c:v>2024年</c:v>
                </c:pt>
                <c:pt idx="1">
                  <c:v>2025年</c:v>
                </c:pt>
              </c:strCache>
            </c:strRef>
          </c:cat>
          <c:val>
            <c:numRef>
              <c:f>[图表制作.xlsx]Sheet1!$B$46:$B$47</c:f>
              <c:numCache>
                <c:formatCode>General</c:formatCode>
                <c:ptCount val="2"/>
                <c:pt idx="0">
                  <c:v>371.56</c:v>
                </c:pt>
                <c:pt idx="1">
                  <c:v>358.32</c:v>
                </c:pt>
              </c:numCache>
            </c:numRef>
          </c:val>
        </c:ser>
        <c:dLbls>
          <c:showLegendKey val="0"/>
          <c:showVal val="0"/>
          <c:showCatName val="0"/>
          <c:showSerName val="0"/>
          <c:showPercent val="0"/>
          <c:showBubbleSize val="0"/>
        </c:dLbls>
        <c:gapWidth val="75"/>
        <c:overlap val="-25"/>
        <c:axId val="157868416"/>
        <c:axId val="157869952"/>
      </c:barChart>
      <c:catAx>
        <c:axId val="157868416"/>
        <c:scaling>
          <c:orientation val="minMax"/>
        </c:scaling>
        <c:delete val="0"/>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57869952"/>
        <c:crosses val="autoZero"/>
        <c:auto val="1"/>
        <c:lblAlgn val="ctr"/>
        <c:lblOffset val="100"/>
        <c:noMultiLvlLbl val="0"/>
      </c:catAx>
      <c:valAx>
        <c:axId val="157869952"/>
        <c:scaling>
          <c:orientation val="minMax"/>
          <c:max val="400"/>
          <c:min val="0"/>
        </c:scaling>
        <c:delete val="0"/>
        <c:axPos val="l"/>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57868416"/>
        <c:crosses val="autoZero"/>
        <c:crossBetween val="between"/>
        <c:majorUnit val="50"/>
        <c:minorUnit val="0.4"/>
      </c:valAx>
    </c:plotArea>
    <c:plotVisOnly val="1"/>
    <c:dispBlanksAs val="gap"/>
    <c:showDLblsOverMax val="0"/>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000" b="0">
                <a:latin typeface="+mn-ea"/>
              </a:rPr>
              <a:t>单位：万元</a:t>
            </a:r>
            <a:endParaRPr lang="zh-CN" altLang="en-US" sz="1000" b="0">
              <a:latin typeface="+mn-ea"/>
            </a:endParaRPr>
          </a:p>
          <a:p>
            <a:pPr>
              <a:defRPr lang="zh-CN" sz="1800" b="1" i="0" u="none" strike="noStrike" kern="1200" baseline="0">
                <a:solidFill>
                  <a:schemeClr val="tx1"/>
                </a:solidFill>
                <a:latin typeface="+mn-lt"/>
                <a:ea typeface="+mn-ea"/>
                <a:cs typeface="+mn-cs"/>
              </a:defRPr>
            </a:pPr>
            <a:endParaRPr lang="zh-CN" altLang="en-US" sz="1000" b="0">
              <a:latin typeface="+mn-ea"/>
            </a:endParaRPr>
          </a:p>
        </c:rich>
      </c:tx>
      <c:layout>
        <c:manualLayout>
          <c:xMode val="edge"/>
          <c:yMode val="edge"/>
          <c:x val="0.799168556311413"/>
          <c:y val="0.00673400673400673"/>
        </c:manualLayout>
      </c:layout>
      <c:overlay val="0"/>
    </c:title>
    <c:autoTitleDeleted val="0"/>
    <c:plotArea>
      <c:layout/>
      <c:barChart>
        <c:barDir val="col"/>
        <c:grouping val="clustered"/>
        <c:varyColors val="0"/>
        <c:ser>
          <c:idx val="0"/>
          <c:order val="0"/>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[图表制作.xlsx]Sheet1!$A$58:$A$59</c:f>
              <c:strCache>
                <c:ptCount val="2"/>
                <c:pt idx="0">
                  <c:v>2024年</c:v>
                </c:pt>
                <c:pt idx="1">
                  <c:v>2025年</c:v>
                </c:pt>
              </c:strCache>
            </c:strRef>
          </c:cat>
          <c:val>
            <c:numRef>
              <c:f>[图表制作.xlsx]Sheet1!$B$58:$B$59</c:f>
              <c:numCache>
                <c:formatCode>General</c:formatCode>
                <c:ptCount val="2"/>
                <c:pt idx="0">
                  <c:v>371.56</c:v>
                </c:pt>
                <c:pt idx="1">
                  <c:v>358.32</c:v>
                </c:pt>
              </c:numCache>
            </c:numRef>
          </c:val>
        </c:ser>
        <c:dLbls>
          <c:showLegendKey val="0"/>
          <c:showVal val="0"/>
          <c:showCatName val="0"/>
          <c:showSerName val="0"/>
          <c:showPercent val="0"/>
          <c:showBubbleSize val="0"/>
        </c:dLbls>
        <c:gapWidth val="75"/>
        <c:overlap val="-25"/>
        <c:axId val="151994368"/>
        <c:axId val="151995904"/>
      </c:barChart>
      <c:catAx>
        <c:axId val="151994368"/>
        <c:scaling>
          <c:orientation val="minMax"/>
        </c:scaling>
        <c:delete val="0"/>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51995904"/>
        <c:crosses val="autoZero"/>
        <c:auto val="1"/>
        <c:lblAlgn val="ctr"/>
        <c:lblOffset val="100"/>
        <c:noMultiLvlLbl val="0"/>
      </c:catAx>
      <c:valAx>
        <c:axId val="151995904"/>
        <c:scaling>
          <c:orientation val="minMax"/>
          <c:max val="400"/>
          <c:min val="0"/>
        </c:scaling>
        <c:delete val="0"/>
        <c:axPos val="l"/>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51994368"/>
        <c:crosses val="autoZero"/>
        <c:crossBetween val="between"/>
        <c:majorUnit val="50"/>
        <c:minorUnit val="0.4"/>
      </c:valAx>
    </c:plotArea>
    <c:plotVisOnly val="1"/>
    <c:dispBlanksAs val="gap"/>
    <c:showDLblsOverMax val="0"/>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000" b="0">
                <a:latin typeface="宋体" panose="02010600030101010101" charset="-122"/>
                <a:ea typeface="宋体" panose="02010600030101010101" charset="-122"/>
              </a:rPr>
              <a:t>单位：万元</a:t>
            </a:r>
            <a:endParaRPr lang="zh-CN" altLang="en-US" sz="1000" b="0">
              <a:latin typeface="宋体" panose="02010600030101010101" charset="-122"/>
              <a:ea typeface="宋体" panose="02010600030101010101" charset="-122"/>
            </a:endParaRPr>
          </a:p>
        </c:rich>
      </c:tx>
      <c:layout>
        <c:manualLayout>
          <c:xMode val="edge"/>
          <c:yMode val="edge"/>
          <c:x val="0.785786802030457"/>
          <c:y val="0.0186939182452642"/>
        </c:manualLayout>
      </c:layout>
      <c:overlay val="0"/>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explosion val="0"/>
          <c:dPt>
            <c:idx val="0"/>
            <c:bubble3D val="0"/>
          </c:dPt>
          <c:dPt>
            <c:idx val="1"/>
            <c:bubble3D val="0"/>
          </c:dPt>
          <c:dPt>
            <c:idx val="2"/>
            <c:bubble3D val="0"/>
          </c:dPt>
          <c:dLbls>
            <c:dLbl>
              <c:idx val="1"/>
              <c:layout>
                <c:manualLayout>
                  <c:x val="0.0374064629614986"/>
                  <c:y val="0.0399761675443141"/>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930054067094267"/>
                  <c:y val="0.0840145971955012"/>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[图表制作.xlsx]Sheet1!$A$78:$A$80</c:f>
              <c:strCache>
                <c:ptCount val="3"/>
                <c:pt idx="0">
                  <c:v>社会保障和就业支出</c:v>
                </c:pt>
                <c:pt idx="1">
                  <c:v>卫生健康支出</c:v>
                </c:pt>
                <c:pt idx="2">
                  <c:v>住房保障支出</c:v>
                </c:pt>
              </c:strCache>
            </c:strRef>
          </c:cat>
          <c:val>
            <c:numRef>
              <c:f>[图表制作.xlsx]Sheet1!$B$78:$B$80</c:f>
              <c:numCache>
                <c:formatCode>#,##0.00</c:formatCode>
                <c:ptCount val="3"/>
                <c:pt idx="0">
                  <c:v>329.5</c:v>
                </c:pt>
                <c:pt idx="1">
                  <c:v>13.03</c:v>
                </c:pt>
                <c:pt idx="2">
                  <c:v>15.8</c:v>
                </c:pt>
              </c:numCache>
            </c:numRef>
          </c:val>
        </c:ser>
        <c:ser>
          <c:idx val="1"/>
          <c:order val="1"/>
          <c:tx>
            <c:strRef>
              <c:f>[图表制作.xlsx]Sheet1!$B$78:$B$80</c:f>
              <c:strCache>
                <c:ptCount val="1"/>
                <c:pt idx="0">
                  <c:v>329.50 13.03 15.80</c:v>
                </c:pt>
              </c:strCache>
            </c:strRef>
          </c:tx>
          <c:explosion val="0"/>
          <c:dPt>
            <c:idx val="0"/>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[图表制作.xlsx]Sheet1!$A$78:$A$80</c:f>
              <c:strCache>
                <c:ptCount val="3"/>
                <c:pt idx="0">
                  <c:v>社会保障和就业支出</c:v>
                </c:pt>
                <c:pt idx="1">
                  <c:v>卫生健康支出</c:v>
                </c:pt>
                <c:pt idx="2">
                  <c:v>住房保障支出</c:v>
                </c:pt>
              </c:strCache>
            </c:strRef>
          </c:cat>
          <c:val>
            <c:numRef>
              <c:f>{1}</c:f>
              <c:numCache>
                <c:formatCode>General</c:formatCode>
                <c:ptCount val="1"/>
                <c:pt idx="0">
                  <c:v>1</c:v>
                </c:pt>
              </c:numCache>
            </c:numRef>
          </c:val>
        </c:ser>
        <c:dLbls>
          <c:showLegendKey val="0"/>
          <c:showVal val="1"/>
          <c:showCatName val="0"/>
          <c:showSerName val="0"/>
          <c:showPercent val="0"/>
          <c:showBubbleSize val="0"/>
        </c:dLbls>
      </c:pie3DChart>
    </c:plotArea>
    <c:legend>
      <c:legendPos val="r"/>
      <c:layout>
        <c:manualLayout>
          <c:xMode val="edge"/>
          <c:yMode val="edge"/>
          <c:x val="0.653468697123519"/>
          <c:y val="0.386714855433699"/>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200" b="1" i="0" u="none" strike="noStrike" kern="1200" baseline="0">
                <a:solidFill>
                  <a:schemeClr val="tx1"/>
                </a:solidFill>
                <a:latin typeface="+mn-lt"/>
                <a:ea typeface="+mn-ea"/>
                <a:cs typeface="+mn-cs"/>
              </a:defRPr>
            </a:pPr>
            <a:r>
              <a:rPr lang="zh-CN" altLang="en-US" sz="1000" b="0">
                <a:latin typeface="宋体" panose="02010600030101010101" charset="-122"/>
                <a:ea typeface="宋体" panose="02010600030101010101" charset="-122"/>
              </a:rPr>
              <a:t>单位：万元</a:t>
            </a:r>
            <a:endParaRPr lang="zh-CN" altLang="en-US" sz="1000" b="0">
              <a:latin typeface="宋体" panose="02010600030101010101" charset="-122"/>
              <a:ea typeface="宋体" panose="02010600030101010101" charset="-122"/>
            </a:endParaRPr>
          </a:p>
        </c:rich>
      </c:tx>
      <c:layout>
        <c:manualLayout>
          <c:xMode val="edge"/>
          <c:yMode val="edge"/>
          <c:x val="0.78409475465313"/>
          <c:y val="0.0224327018943171"/>
        </c:manualLayout>
      </c:layout>
      <c:overlay val="0"/>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0.0729813874788494"/>
          <c:y val="0.197796610169492"/>
          <c:w val="0.598876480541455"/>
          <c:h val="0.685663010967099"/>
        </c:manualLayout>
      </c:layout>
      <c:pie3DChart>
        <c:varyColors val="1"/>
        <c:ser>
          <c:idx val="0"/>
          <c:order val="0"/>
          <c:explosion val="0"/>
          <c:dPt>
            <c:idx val="0"/>
            <c:bubble3D val="0"/>
          </c:dPt>
          <c:dLbls>
            <c:dLbl>
              <c:idx val="0"/>
              <c:layout>
                <c:manualLayout>
                  <c:x val="-0.0972218447313375"/>
                  <c:y val="-0.257768046161249"/>
                </c:manualLayout>
              </c:layout>
              <c:dLblPos val="bestFit"/>
              <c:showLegendKey val="0"/>
              <c:showVal val="1"/>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1"/>
            <c:showBubbleSize val="0"/>
            <c:showLeaderLines val="0"/>
            <c:extLst>
              <c:ext xmlns:c15="http://schemas.microsoft.com/office/drawing/2012/chart" uri="{CE6537A1-D6FC-4f65-9D91-7224C49458BB}">
                <c15:layout/>
                <c15:showLeaderLines val="0"/>
                <c15:leaderLines/>
              </c:ext>
            </c:extLst>
          </c:dLbls>
          <c:cat>
            <c:strRef>
              <c:f>[图表制作.xlsx]Sheet1!$A$101</c:f>
              <c:strCache>
                <c:ptCount val="1"/>
                <c:pt idx="0">
                  <c:v>公务接待费</c:v>
                </c:pt>
              </c:strCache>
            </c:strRef>
          </c:cat>
          <c:val>
            <c:numRef>
              <c:f>[图表制作.xlsx]Sheet1!$B$101</c:f>
              <c:numCache>
                <c:formatCode>General</c:formatCode>
                <c:ptCount val="1"/>
                <c:pt idx="0">
                  <c:v>0.27</c:v>
                </c:pt>
              </c:numCache>
            </c:numRef>
          </c:val>
        </c:ser>
        <c:dLbls>
          <c:showLegendKey val="0"/>
          <c:showVal val="0"/>
          <c:showCatName val="0"/>
          <c:showSerName val="0"/>
          <c:showPercent val="1"/>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0.714285714285714</cdr:x>
      <cdr:y>0.063739837398374</cdr:y>
    </cdr:from>
    <cdr:to>
      <cdr:x>1</cdr:x>
      <cdr:y>0.204878048780488</cdr:y>
    </cdr:to>
    <cdr:sp>
      <cdr:nvSpPr>
        <cdr:cNvPr id="2" name="矩形 1"/>
        <cdr:cNvSpPr/>
      </cdr:nvSpPr>
      <cdr:spPr xmlns:a="http://schemas.openxmlformats.org/drawingml/2006/main">
        <a:xfrm xmlns:a="http://schemas.openxmlformats.org/drawingml/2006/main">
          <a:off x="2143125" y="124460"/>
          <a:ext cx="857250" cy="27559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p>
          <a:r>
            <a:rPr lang="zh-CN" altLang="en-US" sz="1000"/>
            <a:t>单位：万元</a:t>
          </a:r>
          <a:endParaRPr lang="zh-CN" altLang="en-US" sz="10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25</Pages>
  <Words>1334</Words>
  <Characters>7606</Characters>
  <Lines>63</Lines>
  <Paragraphs>17</Paragraphs>
  <TotalTime>0</TotalTime>
  <ScaleCrop>false</ScaleCrop>
  <LinksUpToDate>false</LinksUpToDate>
  <CharactersWithSpaces>8923</CharactersWithSpaces>
  <Application>WPS Office_11.8.2.11739_F1E327BC-269C-435d-A152-05C5408002CA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2026-08-27T00:27:00Z</cp:lastPrinted>
  <dcterms:modified xsi:type="dcterms:W3CDTF">2026-09-04T02:36:00Z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2052-11.8.2.11739</vt:lpwstr>
  </property>
  <property fmtid="{D5CDD505-2E9C-101B-9397-08002B2CF9AE}" pid="3" name="ICV">
    <vt:lpwstr>3BF536824C220DA3E40E8B68BA118B1C_42</vt:lpwstr>
  </property>
</Properties>
</file>