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ascii="Times New Roman" w:hAnsi="Times New Roman" w:eastAsia="方正小标宋简体" w:cs="Times New Roman"/>
          <w:sz w:val="72"/>
          <w:szCs w:val="72"/>
        </w:rPr>
      </w:pPr>
      <w:bookmarkStart w:id="0" w:name="_Toc15378441"/>
      <w:bookmarkStart w:id="1" w:name="_Toc15396475"/>
      <w:bookmarkStart w:id="2" w:name="_Toc15377193"/>
      <w:bookmarkStart w:id="3" w:name="_Toc15306267"/>
      <w:bookmarkStart w:id="4" w:name="_Toc15377425"/>
      <w:bookmarkStart w:id="5" w:name="_Toc15396597"/>
    </w:p>
    <w:p>
      <w:pPr>
        <w:pStyle w:val="2"/>
        <w:rPr>
          <w:rFonts w:hint="default" w:ascii="Times New Roman" w:hAnsi="Times New Roman" w:eastAsia="方正小标宋简体" w:cs="Times New Roman"/>
          <w:sz w:val="72"/>
          <w:szCs w:val="72"/>
        </w:rPr>
      </w:pPr>
    </w:p>
    <w:p>
      <w:pPr>
        <w:pStyle w:val="2"/>
        <w:rPr>
          <w:rFonts w:hint="default" w:ascii="Times New Roman" w:hAnsi="Times New Roman" w:eastAsia="方正小标宋简体" w:cs="Times New Roman"/>
          <w:sz w:val="72"/>
          <w:szCs w:val="72"/>
        </w:rPr>
      </w:pPr>
    </w:p>
    <w:p>
      <w:pPr>
        <w:pStyle w:val="2"/>
        <w:rPr>
          <w:rFonts w:hint="default" w:ascii="Times New Roman" w:hAnsi="Times New Roman" w:eastAsia="方正小标宋简体" w:cs="Times New Roman"/>
          <w:sz w:val="72"/>
          <w:szCs w:val="72"/>
        </w:rPr>
      </w:pPr>
    </w:p>
    <w:p>
      <w:pPr>
        <w:pStyle w:val="2"/>
        <w:jc w:val="center"/>
        <w:rPr>
          <w:rFonts w:hint="default"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77426"/>
      <w:bookmarkStart w:id="8" w:name="_Toc15378442"/>
      <w:bookmarkStart w:id="9" w:name="_Toc15396476"/>
      <w:bookmarkStart w:id="10" w:name="_Toc15377194"/>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攀枝花市人才服务中心</w:t>
      </w:r>
    </w:p>
    <w:p>
      <w:pPr>
        <w:pStyle w:val="2"/>
        <w:jc w:val="center"/>
        <w:rPr>
          <w:rFonts w:hint="default" w:ascii="Times New Roman" w:hAnsi="Times New Roman" w:eastAsia="方正小标宋简体" w:cs="Times New Roman"/>
          <w:color w:val="auto"/>
          <w:kern w:val="2"/>
          <w:sz w:val="44"/>
          <w:szCs w:val="44"/>
          <w:highlight w:val="none"/>
          <w:lang w:val="en-US" w:eastAsia="zh-CN" w:bidi="ar-SA"/>
        </w:rPr>
      </w:pPr>
      <w:bookmarkStart w:id="64" w:name="_GoBack"/>
      <w:bookmarkEnd w:id="64"/>
      <w:r>
        <w:rPr>
          <w:rFonts w:hint="default" w:ascii="Times New Roman" w:hAns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bidi="ar-SA"/>
        </w:rPr>
        <w:t>单位</w:t>
      </w:r>
      <w:r>
        <w:rPr>
          <w:rFonts w:hint="default"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r>
        <w:rPr>
          <w:rFonts w:hint="eastAsia" w:ascii="Times New Roman" w:eastAsia="方正小标宋简体" w:cs="Times New Roman"/>
          <w:color w:val="auto"/>
          <w:kern w:val="2"/>
          <w:sz w:val="44"/>
          <w:szCs w:val="44"/>
          <w:highlight w:val="none"/>
          <w:lang w:val="en-US" w:eastAsia="zh-CN" w:bidi="ar-SA"/>
        </w:rPr>
        <w:t>公开编制说明</w:t>
      </w:r>
    </w:p>
    <w:p>
      <w:pPr>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bookmarkEnd w:id="0"/>
    <w:bookmarkEnd w:id="1"/>
    <w:bookmarkEnd w:id="2"/>
    <w:bookmarkEnd w:id="3"/>
    <w:bookmarkEnd w:id="4"/>
    <w:bookmarkEnd w:id="5"/>
    <w:p>
      <w:pPr>
        <w:widowControl/>
        <w:ind w:firstLine="2880" w:firstLineChars="600"/>
        <w:jc w:val="both"/>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pPr>
        <w:widowControl/>
        <w:jc w:val="center"/>
        <w:rPr>
          <w:rFonts w:hint="default" w:ascii="Times New Roman" w:hAnsi="Times New Roman" w:eastAsia="黑体" w:cs="Times New Roman"/>
          <w:sz w:val="28"/>
          <w:szCs w:val="28"/>
        </w:rPr>
      </w:pPr>
    </w:p>
    <w:p>
      <w:pPr>
        <w:pStyle w:val="1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公开时间：2026年</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日</w:t>
      </w:r>
    </w:p>
    <w:p>
      <w:pPr>
        <w:rPr>
          <w:rFonts w:hint="default" w:ascii="Times New Roman" w:hAnsi="Times New Roman" w:cs="Times New Roman"/>
        </w:rPr>
      </w:pPr>
    </w:p>
    <w:p>
      <w:pPr>
        <w:pStyle w:val="12"/>
        <w:keepNext w:val="0"/>
        <w:keepLines w:val="0"/>
        <w:pageBreakBefore w:val="0"/>
        <w:widowControl w:val="0"/>
        <w:kinsoku/>
        <w:wordWrap/>
        <w:overflowPunct/>
        <w:topLinePunct w:val="0"/>
        <w:autoSpaceDE/>
        <w:autoSpaceDN/>
        <w:bidi w:val="0"/>
        <w:adjustRightInd w:val="0"/>
        <w:snapToGrid w:val="0"/>
        <w:spacing w:before="0" w:line="340" w:lineRule="exact"/>
        <w:jc w:val="left"/>
        <w:textAlignment w:val="auto"/>
        <w:outlineLvl w:val="0"/>
        <w:rPr>
          <w:rFonts w:hint="default" w:ascii="Times New Roman" w:hAnsi="Times New Roman" w:eastAsia="黑体" w:cs="Times New Roman"/>
          <w:color w:val="auto"/>
          <w:sz w:val="22"/>
          <w:szCs w:val="22"/>
          <w:highlight w:val="none"/>
          <w:lang w:val="en-US" w:eastAsia="zh-CN"/>
        </w:rPr>
      </w:pPr>
      <w:r>
        <w:rPr>
          <w:rFonts w:hint="default" w:ascii="Times New Roman" w:hAnsi="Times New Roman" w:eastAsia="黑体" w:cs="Times New Roman"/>
          <w:color w:val="auto"/>
          <w:sz w:val="22"/>
          <w:szCs w:val="22"/>
          <w:highlight w:val="none"/>
        </w:rPr>
        <w:t xml:space="preserve">第一部分 </w:t>
      </w:r>
      <w:r>
        <w:rPr>
          <w:rFonts w:hint="eastAsia" w:ascii="Times New Roman" w:hAnsi="Times New Roman" w:eastAsia="黑体" w:cs="Times New Roman"/>
          <w:color w:val="auto"/>
          <w:sz w:val="22"/>
          <w:szCs w:val="22"/>
          <w:highlight w:val="none"/>
          <w:lang w:eastAsia="zh-CN"/>
        </w:rPr>
        <w:t>单位</w:t>
      </w:r>
      <w:r>
        <w:rPr>
          <w:rFonts w:hint="default" w:ascii="Times New Roman" w:hAnsi="Times New Roman" w:eastAsia="黑体" w:cs="Times New Roman"/>
          <w:color w:val="auto"/>
          <w:sz w:val="22"/>
          <w:szCs w:val="22"/>
          <w:highlight w:val="none"/>
        </w:rPr>
        <w:t>概况</w:t>
      </w:r>
      <w:r>
        <w:rPr>
          <w:rFonts w:hint="eastAsia" w:ascii="Times New Roman" w:hAnsi="Times New Roman" w:eastAsia="黑体" w:cs="Times New Roman"/>
          <w:color w:val="auto"/>
          <w:sz w:val="22"/>
          <w:szCs w:val="22"/>
          <w:highlight w:val="none"/>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outlineLvl w:val="0"/>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一、</w:t>
      </w:r>
      <w:r>
        <w:rPr>
          <w:rFonts w:hint="eastAsia" w:eastAsia="仿宋_GB2312" w:cs="Times New Roman"/>
          <w:color w:val="auto"/>
          <w:sz w:val="22"/>
          <w:szCs w:val="22"/>
          <w:highlight w:val="none"/>
          <w:lang w:eastAsia="zh-CN"/>
        </w:rPr>
        <w:t>单位</w:t>
      </w:r>
      <w:r>
        <w:rPr>
          <w:rFonts w:hint="default" w:ascii="Times New Roman" w:hAnsi="Times New Roman" w:eastAsia="仿宋_GB2312" w:cs="Times New Roman"/>
          <w:color w:val="auto"/>
          <w:sz w:val="22"/>
          <w:szCs w:val="22"/>
          <w:highlight w:val="none"/>
          <w:lang w:eastAsia="zh-CN"/>
        </w:rPr>
        <w:t>职责</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outlineLvl w:val="0"/>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二、机构设置</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.............1</w:t>
      </w:r>
    </w:p>
    <w:p>
      <w:pPr>
        <w:pStyle w:val="12"/>
        <w:keepNext w:val="0"/>
        <w:keepLines w:val="0"/>
        <w:pageBreakBefore w:val="0"/>
        <w:widowControl w:val="0"/>
        <w:kinsoku/>
        <w:wordWrap/>
        <w:overflowPunct/>
        <w:topLinePunct w:val="0"/>
        <w:autoSpaceDE/>
        <w:autoSpaceDN/>
        <w:bidi w:val="0"/>
        <w:adjustRightInd w:val="0"/>
        <w:snapToGrid w:val="0"/>
        <w:spacing w:before="0" w:line="340" w:lineRule="exact"/>
        <w:jc w:val="left"/>
        <w:textAlignment w:val="auto"/>
        <w:outlineLvl w:val="0"/>
        <w:rPr>
          <w:rFonts w:hint="default" w:ascii="Times New Roman" w:hAnsi="Times New Roman" w:eastAsia="黑体" w:cs="Times New Roman"/>
          <w:color w:val="auto"/>
          <w:sz w:val="22"/>
          <w:szCs w:val="22"/>
          <w:highlight w:val="none"/>
          <w:lang w:val="en-US" w:eastAsia="zh-CN"/>
        </w:rPr>
      </w:pPr>
      <w:r>
        <w:rPr>
          <w:rFonts w:hint="default" w:ascii="Times New Roman" w:hAnsi="Times New Roman" w:eastAsia="黑体" w:cs="Times New Roman"/>
          <w:color w:val="auto"/>
          <w:sz w:val="22"/>
          <w:szCs w:val="22"/>
          <w:highlight w:val="none"/>
        </w:rPr>
        <w:t>第二部分</w:t>
      </w:r>
      <w:r>
        <w:rPr>
          <w:rFonts w:hint="default" w:ascii="Times New Roman" w:hAnsi="Times New Roman" w:eastAsia="黑体" w:cs="Times New Roman"/>
          <w:color w:val="auto"/>
          <w:sz w:val="22"/>
          <w:szCs w:val="22"/>
          <w:highlight w:val="none"/>
          <w:lang w:val="en-US" w:eastAsia="zh-CN"/>
        </w:rPr>
        <w:t xml:space="preserve"> 202</w:t>
      </w:r>
      <w:r>
        <w:rPr>
          <w:rFonts w:hint="eastAsia" w:ascii="Times New Roman" w:hAnsi="Times New Roman" w:eastAsia="黑体" w:cs="Times New Roman"/>
          <w:color w:val="auto"/>
          <w:sz w:val="22"/>
          <w:szCs w:val="22"/>
          <w:highlight w:val="none"/>
          <w:lang w:val="en-US" w:eastAsia="zh-CN"/>
        </w:rPr>
        <w:t>5</w:t>
      </w:r>
      <w:r>
        <w:rPr>
          <w:rFonts w:hint="default" w:ascii="Times New Roman" w:hAnsi="Times New Roman" w:eastAsia="黑体" w:cs="Times New Roman"/>
          <w:color w:val="auto"/>
          <w:sz w:val="22"/>
          <w:szCs w:val="22"/>
          <w:highlight w:val="none"/>
          <w:lang w:val="en-US" w:eastAsia="zh-CN"/>
        </w:rPr>
        <w:t>年度</w:t>
      </w:r>
      <w:r>
        <w:rPr>
          <w:rFonts w:hint="eastAsia" w:ascii="Times New Roman" w:hAnsi="Times New Roman" w:eastAsia="黑体" w:cs="Times New Roman"/>
          <w:color w:val="auto"/>
          <w:sz w:val="22"/>
          <w:szCs w:val="22"/>
          <w:highlight w:val="none"/>
          <w:lang w:val="en-US" w:eastAsia="zh-CN"/>
        </w:rPr>
        <w:t>单位</w:t>
      </w:r>
      <w:r>
        <w:rPr>
          <w:rFonts w:hint="default" w:ascii="Times New Roman" w:hAnsi="Times New Roman" w:eastAsia="黑体" w:cs="Times New Roman"/>
          <w:color w:val="auto"/>
          <w:sz w:val="22"/>
          <w:szCs w:val="22"/>
          <w:highlight w:val="none"/>
        </w:rPr>
        <w:t>决算情况说明</w:t>
      </w:r>
      <w:r>
        <w:rPr>
          <w:rFonts w:hint="eastAsia" w:ascii="Times New Roman" w:hAnsi="Times New Roman" w:eastAsia="黑体" w:cs="Times New Roman"/>
          <w:color w:val="auto"/>
          <w:sz w:val="22"/>
          <w:szCs w:val="22"/>
          <w:highlight w:val="none"/>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outlineLvl w:val="0"/>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一、收入支出决算总体情况说明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outlineLvl w:val="0"/>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二、收入决算情况说明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outlineLvl w:val="0"/>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三、支出决算情况说明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outlineLvl w:val="0"/>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四、财政拨款收入支出决算总体情况说明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outlineLvl w:val="0"/>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五、一般公共预算财政拨款支出决算情况说明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outlineLvl w:val="0"/>
        <w:rPr>
          <w:rFonts w:hint="default" w:ascii="Times New Roman" w:hAnsi="Times New Roman" w:eastAsia="仿宋_GB2312" w:cs="Times New Roman"/>
          <w:color w:val="auto"/>
          <w:sz w:val="22"/>
          <w:szCs w:val="22"/>
          <w:highlight w:val="none"/>
          <w:lang w:val="en-US" w:eastAsia="zh-CN"/>
        </w:rPr>
      </w:pPr>
      <w:r>
        <w:rPr>
          <w:rFonts w:hint="default" w:ascii="Times New Roman" w:hAnsi="Times New Roman" w:eastAsia="仿宋_GB2312" w:cs="Times New Roman"/>
          <w:color w:val="auto"/>
          <w:sz w:val="22"/>
          <w:szCs w:val="22"/>
          <w:highlight w:val="none"/>
        </w:rPr>
        <w:t>六、一般公共预算财政拨款基本支出决算情况说明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outlineLvl w:val="0"/>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七、财政拨款</w:t>
      </w:r>
      <w:r>
        <w:rPr>
          <w:rFonts w:hint="default" w:ascii="Times New Roman" w:hAnsi="Times New Roman" w:eastAsia="仿宋_GB2312" w:cs="Times New Roman"/>
          <w:color w:val="auto"/>
          <w:sz w:val="22"/>
          <w:szCs w:val="22"/>
          <w:highlight w:val="none"/>
          <w:lang w:eastAsia="zh-CN"/>
        </w:rPr>
        <w:t>“</w:t>
      </w:r>
      <w:r>
        <w:rPr>
          <w:rFonts w:hint="default" w:ascii="Times New Roman" w:hAnsi="Times New Roman" w:eastAsia="仿宋_GB2312" w:cs="Times New Roman"/>
          <w:color w:val="auto"/>
          <w:sz w:val="22"/>
          <w:szCs w:val="22"/>
          <w:highlight w:val="none"/>
        </w:rPr>
        <w:t>三公”经费支出决算情况说明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八、政府性基金预算支出决算情况说明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........9</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九、</w:t>
      </w:r>
      <w:r>
        <w:rPr>
          <w:rFonts w:hint="default" w:ascii="Times New Roman" w:hAnsi="Times New Roman" w:eastAsia="仿宋_GB2312" w:cs="Times New Roman"/>
          <w:color w:val="auto"/>
          <w:sz w:val="22"/>
          <w:szCs w:val="22"/>
          <w:highlight w:val="none"/>
          <w:lang w:eastAsia="zh-CN"/>
        </w:rPr>
        <w:t>国</w:t>
      </w:r>
      <w:r>
        <w:rPr>
          <w:rFonts w:hint="default" w:ascii="Times New Roman" w:hAnsi="Times New Roman" w:eastAsia="仿宋_GB2312" w:cs="Times New Roman"/>
          <w:color w:val="auto"/>
          <w:sz w:val="22"/>
          <w:szCs w:val="22"/>
          <w:highlight w:val="none"/>
        </w:rPr>
        <w:t>有资本经营预算支出决算情况说明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......9</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lang w:eastAsia="zh-CN"/>
        </w:rPr>
        <w:t>十</w:t>
      </w:r>
      <w:r>
        <w:rPr>
          <w:rFonts w:hint="default" w:ascii="Times New Roman" w:hAnsi="Times New Roman" w:eastAsia="仿宋_GB2312" w:cs="Times New Roman"/>
          <w:color w:val="auto"/>
          <w:sz w:val="22"/>
          <w:szCs w:val="22"/>
          <w:highlight w:val="none"/>
        </w:rPr>
        <w:t>、其他重要事项的情况说明</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........9</w:t>
      </w:r>
    </w:p>
    <w:p>
      <w:pPr>
        <w:pStyle w:val="12"/>
        <w:keepNext w:val="0"/>
        <w:keepLines w:val="0"/>
        <w:pageBreakBefore w:val="0"/>
        <w:widowControl w:val="0"/>
        <w:kinsoku/>
        <w:wordWrap/>
        <w:overflowPunct/>
        <w:topLinePunct w:val="0"/>
        <w:autoSpaceDE/>
        <w:autoSpaceDN/>
        <w:bidi w:val="0"/>
        <w:adjustRightInd w:val="0"/>
        <w:snapToGrid w:val="0"/>
        <w:spacing w:before="0" w:line="340" w:lineRule="exact"/>
        <w:jc w:val="left"/>
        <w:textAlignment w:val="auto"/>
        <w:rPr>
          <w:rFonts w:hint="default" w:ascii="Times New Roman" w:hAnsi="Times New Roman" w:eastAsia="黑体" w:cs="Times New Roman"/>
          <w:color w:val="auto"/>
          <w:sz w:val="22"/>
          <w:szCs w:val="22"/>
          <w:highlight w:val="none"/>
          <w:lang w:val="en-US" w:eastAsia="zh-CN"/>
        </w:rPr>
      </w:pPr>
      <w:r>
        <w:rPr>
          <w:rFonts w:hint="default" w:ascii="Times New Roman" w:hAnsi="Times New Roman" w:eastAsia="黑体" w:cs="Times New Roman"/>
          <w:color w:val="auto"/>
          <w:sz w:val="22"/>
          <w:szCs w:val="22"/>
          <w:highlight w:val="none"/>
        </w:rPr>
        <w:t>第三部分 名词解释</w:t>
      </w:r>
      <w:r>
        <w:rPr>
          <w:rFonts w:hint="eastAsia" w:ascii="Times New Roman" w:hAnsi="Times New Roman" w:eastAsia="黑体" w:cs="Times New Roman"/>
          <w:color w:val="auto"/>
          <w:sz w:val="22"/>
          <w:szCs w:val="22"/>
          <w:highlight w:val="none"/>
          <w:lang w:val="en-US" w:eastAsia="zh-CN"/>
        </w:rPr>
        <w:t>............................................................................................11</w:t>
      </w:r>
    </w:p>
    <w:p>
      <w:pPr>
        <w:pStyle w:val="12"/>
        <w:keepNext w:val="0"/>
        <w:keepLines w:val="0"/>
        <w:pageBreakBefore w:val="0"/>
        <w:widowControl w:val="0"/>
        <w:kinsoku/>
        <w:wordWrap/>
        <w:overflowPunct/>
        <w:topLinePunct w:val="0"/>
        <w:autoSpaceDE/>
        <w:autoSpaceDN/>
        <w:bidi w:val="0"/>
        <w:adjustRightInd w:val="0"/>
        <w:snapToGrid w:val="0"/>
        <w:spacing w:before="0" w:line="340" w:lineRule="exact"/>
        <w:jc w:val="left"/>
        <w:textAlignment w:val="auto"/>
        <w:rPr>
          <w:rFonts w:hint="default" w:ascii="Times New Roman" w:hAnsi="Times New Roman" w:eastAsia="黑体" w:cs="Times New Roman"/>
          <w:color w:val="auto"/>
          <w:sz w:val="22"/>
          <w:szCs w:val="22"/>
          <w:highlight w:val="none"/>
          <w:lang w:val="en-US" w:eastAsia="zh-CN"/>
        </w:rPr>
      </w:pPr>
      <w:r>
        <w:rPr>
          <w:rFonts w:hint="default" w:ascii="Times New Roman" w:hAnsi="Times New Roman" w:eastAsia="黑体" w:cs="Times New Roman"/>
          <w:color w:val="auto"/>
          <w:sz w:val="22"/>
          <w:szCs w:val="22"/>
          <w:highlight w:val="none"/>
        </w:rPr>
        <w:t>第四部分 附件</w:t>
      </w:r>
      <w:r>
        <w:rPr>
          <w:rFonts w:hint="eastAsia" w:ascii="Times New Roman" w:hAnsi="Times New Roman" w:eastAsia="黑体" w:cs="Times New Roman"/>
          <w:color w:val="auto"/>
          <w:sz w:val="22"/>
          <w:szCs w:val="22"/>
          <w:highlight w:val="none"/>
          <w:lang w:val="en-US" w:eastAsia="zh-CN"/>
        </w:rPr>
        <w:t>....................................................................................................14</w:t>
      </w:r>
    </w:p>
    <w:p>
      <w:pPr>
        <w:pStyle w:val="12"/>
        <w:keepNext w:val="0"/>
        <w:keepLines w:val="0"/>
        <w:pageBreakBefore w:val="0"/>
        <w:widowControl w:val="0"/>
        <w:kinsoku/>
        <w:wordWrap/>
        <w:overflowPunct/>
        <w:topLinePunct w:val="0"/>
        <w:autoSpaceDE/>
        <w:autoSpaceDN/>
        <w:bidi w:val="0"/>
        <w:adjustRightInd w:val="0"/>
        <w:snapToGrid w:val="0"/>
        <w:spacing w:before="0" w:line="340" w:lineRule="exact"/>
        <w:jc w:val="left"/>
        <w:textAlignment w:val="auto"/>
        <w:rPr>
          <w:rFonts w:hint="default" w:ascii="Times New Roman" w:hAnsi="Times New Roman" w:eastAsia="黑体" w:cs="Times New Roman"/>
          <w:color w:val="auto"/>
          <w:sz w:val="22"/>
          <w:szCs w:val="22"/>
          <w:highlight w:val="none"/>
          <w:lang w:val="en-US" w:eastAsia="zh-CN"/>
        </w:rPr>
      </w:pPr>
      <w:r>
        <w:rPr>
          <w:rFonts w:hint="default" w:ascii="Times New Roman" w:hAnsi="Times New Roman" w:eastAsia="黑体" w:cs="Times New Roman"/>
          <w:color w:val="auto"/>
          <w:sz w:val="22"/>
          <w:szCs w:val="22"/>
          <w:highlight w:val="none"/>
        </w:rPr>
        <w:t>第五部分 附表</w:t>
      </w:r>
      <w:r>
        <w:rPr>
          <w:rFonts w:hint="eastAsia" w:ascii="Times New Roman" w:hAnsi="Times New Roman"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一、收入支出决算总表</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二、收入决算表</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三、支出决算表</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四、财政拨款收入支出决算总表</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五、财政拨款支出决算明细表</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六、一般公共预算财政拨款支出决算表</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七、一般公共预算财政拨款支出决算明细表</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eastAsia="zh-CN"/>
        </w:rPr>
      </w:pPr>
      <w:r>
        <w:rPr>
          <w:rFonts w:hint="default" w:ascii="Times New Roman" w:hAnsi="Times New Roman" w:eastAsia="仿宋_GB2312" w:cs="Times New Roman"/>
          <w:color w:val="auto"/>
          <w:sz w:val="22"/>
          <w:szCs w:val="22"/>
          <w:highlight w:val="none"/>
        </w:rPr>
        <w:t>八、一般公共预算财政拨款基本支出决算</w:t>
      </w:r>
      <w:r>
        <w:rPr>
          <w:rFonts w:hint="default" w:ascii="Times New Roman" w:hAnsi="Times New Roman" w:eastAsia="仿宋_GB2312" w:cs="Times New Roman"/>
          <w:color w:val="auto"/>
          <w:sz w:val="22"/>
          <w:szCs w:val="22"/>
          <w:highlight w:val="none"/>
          <w:lang w:eastAsia="zh-CN"/>
        </w:rPr>
        <w:t>明细</w:t>
      </w:r>
      <w:r>
        <w:rPr>
          <w:rFonts w:hint="default" w:ascii="Times New Roman" w:hAnsi="Times New Roman" w:eastAsia="仿宋_GB2312" w:cs="Times New Roman"/>
          <w:color w:val="auto"/>
          <w:sz w:val="22"/>
          <w:szCs w:val="22"/>
          <w:highlight w:val="none"/>
        </w:rPr>
        <w:t>表</w:t>
      </w:r>
      <w:r>
        <w:rPr>
          <w:rFonts w:hint="eastAsia" w:eastAsia="仿宋_GB2312"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仿宋_GB2312"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九、一般公共预算财政拨款项目支出决算表</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rPr>
      </w:pPr>
      <w:r>
        <w:rPr>
          <w:rFonts w:hint="default" w:ascii="Times New Roman" w:hAnsi="Times New Roman" w:eastAsia="仿宋_GB2312" w:cs="Times New Roman"/>
          <w:color w:val="auto"/>
          <w:sz w:val="22"/>
          <w:szCs w:val="22"/>
          <w:highlight w:val="none"/>
        </w:rPr>
        <w:t>十、政府性基金预算财政拨款收入支出决算表</w:t>
      </w:r>
      <w:r>
        <w:rPr>
          <w:rFonts w:hint="eastAsia" w:eastAsia="仿宋_GB2312" w:cs="Times New Roman"/>
          <w:color w:val="auto"/>
          <w:sz w:val="22"/>
          <w:szCs w:val="22"/>
          <w:highlight w:val="none"/>
          <w:lang w:eastAsia="zh-CN"/>
        </w:rPr>
        <w:t>（</w:t>
      </w:r>
      <w:r>
        <w:rPr>
          <w:rFonts w:hint="default" w:ascii="Times New Roman" w:hAnsi="Times New Roman" w:eastAsia="仿宋_GB2312" w:cs="Times New Roman"/>
          <w:color w:val="auto"/>
          <w:sz w:val="22"/>
          <w:szCs w:val="22"/>
          <w:highlight w:val="none"/>
        </w:rPr>
        <w:t>此表无数据</w:t>
      </w:r>
      <w:r>
        <w:rPr>
          <w:rFonts w:hint="eastAsia" w:eastAsia="仿宋_GB2312" w:cs="Times New Roman"/>
          <w:color w:val="auto"/>
          <w:sz w:val="22"/>
          <w:szCs w:val="22"/>
          <w:highlight w:val="none"/>
          <w:lang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default" w:ascii="Times New Roman" w:hAnsi="Times New Roman" w:eastAsia="仿宋_GB2312" w:cs="Times New Roman"/>
          <w:color w:val="auto"/>
          <w:sz w:val="22"/>
          <w:szCs w:val="22"/>
          <w:highlight w:val="none"/>
          <w:lang w:val="en-US" w:eastAsia="zh-CN"/>
        </w:rPr>
      </w:pPr>
      <w:r>
        <w:rPr>
          <w:rFonts w:hint="default" w:ascii="Times New Roman" w:hAnsi="Times New Roman" w:eastAsia="仿宋_GB2312" w:cs="Times New Roman"/>
          <w:color w:val="auto"/>
          <w:sz w:val="22"/>
          <w:szCs w:val="22"/>
          <w:highlight w:val="none"/>
        </w:rPr>
        <w:t>十一、国有资本经营预算财政拨款收入支出决算表</w:t>
      </w:r>
      <w:r>
        <w:rPr>
          <w:rFonts w:hint="eastAsia" w:eastAsia="仿宋_GB2312" w:cs="Times New Roman"/>
          <w:color w:val="auto"/>
          <w:sz w:val="22"/>
          <w:szCs w:val="22"/>
          <w:highlight w:val="none"/>
          <w:lang w:eastAsia="zh-CN"/>
        </w:rPr>
        <w:t>（</w:t>
      </w:r>
      <w:r>
        <w:rPr>
          <w:rFonts w:hint="default" w:ascii="Times New Roman" w:hAnsi="Times New Roman" w:eastAsia="仿宋_GB2312" w:cs="Times New Roman"/>
          <w:color w:val="auto"/>
          <w:sz w:val="22"/>
          <w:szCs w:val="22"/>
          <w:highlight w:val="none"/>
        </w:rPr>
        <w:t>此表无数据</w:t>
      </w:r>
      <w:r>
        <w:rPr>
          <w:rFonts w:hint="eastAsia" w:eastAsia="仿宋_GB2312" w:cs="Times New Roman"/>
          <w:color w:val="auto"/>
          <w:sz w:val="22"/>
          <w:szCs w:val="22"/>
          <w:highlight w:val="none"/>
          <w:lang w:eastAsia="zh-CN"/>
        </w:rPr>
        <w:t>）</w:t>
      </w:r>
      <w:r>
        <w:rPr>
          <w:rFonts w:hint="eastAsia" w:eastAsia="仿宋_GB2312"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eastAsia" w:eastAsia="黑体" w:cs="Times New Roman"/>
          <w:color w:val="auto"/>
          <w:sz w:val="22"/>
          <w:szCs w:val="22"/>
          <w:highlight w:val="none"/>
          <w:lang w:val="en-US" w:eastAsia="zh-CN"/>
        </w:rPr>
      </w:pPr>
      <w:r>
        <w:rPr>
          <w:rFonts w:hint="default" w:ascii="Times New Roman" w:hAnsi="Times New Roman" w:eastAsia="仿宋_GB2312" w:cs="Times New Roman"/>
          <w:color w:val="auto"/>
          <w:sz w:val="22"/>
          <w:szCs w:val="22"/>
          <w:highlight w:val="none"/>
        </w:rPr>
        <w:t>十二、</w:t>
      </w:r>
      <w:r>
        <w:rPr>
          <w:rFonts w:hint="default" w:ascii="Times New Roman" w:hAnsi="Times New Roman" w:eastAsia="仿宋_GB2312" w:cs="Times New Roman"/>
          <w:color w:val="auto"/>
          <w:sz w:val="22"/>
          <w:szCs w:val="22"/>
          <w:highlight w:val="none"/>
          <w:lang w:val="en-US" w:eastAsia="zh-CN"/>
        </w:rPr>
        <w:t>国有资本经营预算财政拨款支出决算表</w:t>
      </w:r>
      <w:r>
        <w:rPr>
          <w:rFonts w:hint="eastAsia" w:eastAsia="仿宋_GB2312" w:cs="Times New Roman"/>
          <w:color w:val="auto"/>
          <w:sz w:val="22"/>
          <w:szCs w:val="22"/>
          <w:highlight w:val="none"/>
          <w:lang w:eastAsia="zh-CN"/>
        </w:rPr>
        <w:t>（</w:t>
      </w:r>
      <w:r>
        <w:rPr>
          <w:rFonts w:hint="default" w:ascii="Times New Roman" w:hAnsi="Times New Roman" w:eastAsia="仿宋_GB2312" w:cs="Times New Roman"/>
          <w:color w:val="auto"/>
          <w:sz w:val="22"/>
          <w:szCs w:val="22"/>
          <w:highlight w:val="none"/>
        </w:rPr>
        <w:t>此表无数据</w:t>
      </w:r>
      <w:r>
        <w:rPr>
          <w:rFonts w:hint="eastAsia" w:eastAsia="仿宋_GB2312" w:cs="Times New Roman"/>
          <w:color w:val="auto"/>
          <w:sz w:val="22"/>
          <w:szCs w:val="22"/>
          <w:highlight w:val="none"/>
          <w:lang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340" w:lineRule="exact"/>
        <w:ind w:left="0" w:leftChars="0" w:firstLine="440" w:firstLineChars="200"/>
        <w:jc w:val="left"/>
        <w:textAlignment w:val="auto"/>
        <w:rPr>
          <w:rFonts w:hint="eastAsia" w:eastAsia="黑体" w:cs="Times New Roman"/>
          <w:color w:val="auto"/>
          <w:sz w:val="22"/>
          <w:szCs w:val="22"/>
          <w:highlight w:val="none"/>
          <w:lang w:val="en-US" w:eastAsia="zh-CN"/>
        </w:rPr>
      </w:pPr>
      <w:r>
        <w:rPr>
          <w:rFonts w:hint="default" w:ascii="Times New Roman" w:hAnsi="Times New Roman" w:eastAsia="仿宋_GB2312" w:cs="Times New Roman"/>
          <w:color w:val="auto"/>
          <w:sz w:val="22"/>
          <w:szCs w:val="22"/>
          <w:highlight w:val="none"/>
        </w:rPr>
        <w:t>十三、财政拨款“三公”经费支出决算表</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w:t>
      </w:r>
      <w:r>
        <w:rPr>
          <w:rFonts w:hint="eastAsia" w:ascii="Times New Roman" w:hAnsi="Times New Roman" w:eastAsia="黑体" w:cs="Times New Roman"/>
          <w:color w:val="auto"/>
          <w:sz w:val="22"/>
          <w:szCs w:val="22"/>
          <w:highlight w:val="none"/>
          <w:lang w:val="en-US" w:eastAsia="zh-CN"/>
        </w:rPr>
        <w:t>.....</w:t>
      </w:r>
      <w:r>
        <w:rPr>
          <w:rFonts w:hint="eastAsia" w:eastAsia="黑体" w:cs="Times New Roman"/>
          <w:color w:val="auto"/>
          <w:sz w:val="22"/>
          <w:szCs w:val="22"/>
          <w:highlight w:val="none"/>
          <w:lang w:val="en-US" w:eastAsia="zh-CN"/>
        </w:rPr>
        <w:t>.....15</w:t>
      </w:r>
    </w:p>
    <w:p>
      <w:pPr>
        <w:pStyle w:val="3"/>
        <w:jc w:val="center"/>
        <w:rPr>
          <w:rFonts w:hint="default" w:ascii="Times New Roman" w:hAnsi="Times New Roman" w:eastAsia="方正小标宋简体" w:cs="Times New Roman"/>
          <w:b w:val="0"/>
        </w:rPr>
        <w:sectPr>
          <w:footerReference r:id="rId5" w:type="first"/>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bookmarkStart w:id="12" w:name="_Toc15377196"/>
      <w:bookmarkStart w:id="13" w:name="_Toc15396599"/>
    </w:p>
    <w:p>
      <w:pPr>
        <w:pStyle w:val="3"/>
        <w:jc w:val="center"/>
        <w:rPr>
          <w:rStyle w:val="28"/>
          <w:rFonts w:hint="default" w:ascii="Times New Roman" w:hAnsi="Times New Roman" w:eastAsia="方正小标宋简体" w:cs="Times New Roman"/>
          <w:b/>
          <w:bCs w:val="0"/>
        </w:rPr>
      </w:pPr>
      <w:r>
        <w:rPr>
          <w:rFonts w:hint="default" w:ascii="Times New Roman" w:hAnsi="Times New Roman" w:eastAsia="方正小标宋简体" w:cs="Times New Roman"/>
          <w:b w:val="0"/>
        </w:rPr>
        <w:t xml:space="preserve">第一部分  </w:t>
      </w:r>
      <w:r>
        <w:rPr>
          <w:rFonts w:hint="eastAsia" w:eastAsia="方正小标宋简体" w:cs="Times New Roman"/>
          <w:b w:val="0"/>
          <w:lang w:eastAsia="zh-CN"/>
        </w:rPr>
        <w:t>单位</w:t>
      </w:r>
      <w:r>
        <w:rPr>
          <w:rStyle w:val="28"/>
          <w:rFonts w:hint="default" w:ascii="Times New Roman" w:hAnsi="Times New Roman" w:eastAsia="方正小标宋简体" w:cs="Times New Roman"/>
          <w:b w:val="0"/>
          <w:bCs w:val="0"/>
        </w:rPr>
        <w:t>概况</w:t>
      </w:r>
      <w:bookmarkEnd w:id="12"/>
      <w:bookmarkEnd w:id="13"/>
    </w:p>
    <w:p>
      <w:pPr>
        <w:widowControl/>
        <w:jc w:val="left"/>
        <w:rPr>
          <w:rFonts w:hint="default" w:ascii="Times New Roman" w:hAnsi="Times New Roman" w:eastAsia="黑体" w:cs="Times New Roman"/>
          <w:sz w:val="32"/>
          <w:szCs w:val="32"/>
        </w:rPr>
      </w:pPr>
    </w:p>
    <w:p>
      <w:pPr>
        <w:pStyle w:val="4"/>
        <w:numPr>
          <w:ilvl w:val="0"/>
          <w:numId w:val="1"/>
        </w:numPr>
        <w:rPr>
          <w:rFonts w:hint="default" w:ascii="Times New Roman" w:hAnsi="Times New Roman" w:eastAsia="黑体" w:cs="Times New Roman"/>
          <w:b w:val="0"/>
        </w:rPr>
      </w:pPr>
      <w:r>
        <w:rPr>
          <w:rFonts w:hint="eastAsia" w:ascii="Times New Roman" w:hAnsi="Times New Roman" w:eastAsia="黑体" w:cs="Times New Roman"/>
          <w:b w:val="0"/>
          <w:lang w:eastAsia="zh-CN"/>
        </w:rPr>
        <w:t>单位</w:t>
      </w:r>
      <w:r>
        <w:rPr>
          <w:rFonts w:hint="default" w:ascii="Times New Roman" w:hAnsi="Times New Roman" w:eastAsia="黑体" w:cs="Times New Roman"/>
          <w:b w:val="0"/>
        </w:rPr>
        <w:t>职责</w:t>
      </w:r>
    </w:p>
    <w:p>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lang w:eastAsia="zh-CN"/>
        </w:rPr>
      </w:pPr>
      <w:r>
        <w:rPr>
          <w:rFonts w:hint="default" w:ascii="Times New Roman" w:hAnsi="Times New Roman" w:eastAsia="仿宋_GB2312" w:cs="Times New Roman"/>
          <w:sz w:val="32"/>
          <w:szCs w:val="32"/>
        </w:rPr>
        <w:t>攀枝花市人才服务中心（市人才评价推荐中心、市非国有单位经营管理人才服务中心、市高校毕业生就业指导服务中心）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前身为渡口市人才交流咨询服务中心，成立于1984年8月，隶属于攀枝花市人力资源和社会保障局，主要从事流动人员人事档案管理服务、人才资源开发、高层次人才服务、专家服务基层行动、人力资源市场化配置的综合性人才服务机构</w:t>
      </w:r>
      <w:r>
        <w:rPr>
          <w:rFonts w:hint="default" w:ascii="Times New Roman" w:hAnsi="Times New Roman" w:eastAsia="仿宋_GB2312" w:cs="Times New Roman"/>
          <w:sz w:val="32"/>
          <w:szCs w:val="32"/>
          <w:lang w:eastAsia="zh-CN"/>
        </w:rPr>
        <w:t>。</w:t>
      </w:r>
    </w:p>
    <w:p>
      <w:pPr>
        <w:pStyle w:val="4"/>
        <w:rPr>
          <w:rStyle w:val="29"/>
          <w:rFonts w:hint="default" w:ascii="Times New Roman" w:hAnsi="Times New Roman" w:cs="Times New Roman"/>
          <w:b w:val="0"/>
          <w:bCs w:val="0"/>
        </w:rPr>
      </w:pPr>
      <w:bookmarkStart w:id="14" w:name="_Toc15377200"/>
      <w:bookmarkStart w:id="15" w:name="_Toc15396601"/>
      <w:r>
        <w:rPr>
          <w:rFonts w:hint="default" w:ascii="Times New Roman" w:hAnsi="Times New Roman" w:eastAsia="黑体" w:cs="Times New Roman"/>
          <w:b w:val="0"/>
        </w:rPr>
        <w:t>二、机</w:t>
      </w:r>
      <w:r>
        <w:rPr>
          <w:rStyle w:val="29"/>
          <w:rFonts w:hint="default" w:ascii="Times New Roman" w:hAnsi="Times New Roman" w:eastAsia="黑体" w:cs="Times New Roman"/>
          <w:b w:val="0"/>
          <w:bCs w:val="0"/>
        </w:rPr>
        <w:t>构设置</w:t>
      </w:r>
      <w:bookmarkEnd w:id="14"/>
      <w:bookmarkEnd w:id="15"/>
    </w:p>
    <w:p>
      <w:pPr>
        <w:pStyle w:val="4"/>
        <w:numPr>
          <w:ilvl w:val="0"/>
          <w:numId w:val="0"/>
        </w:num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rPr>
        <w:t>攀枝花市人才服务中心</w:t>
      </w:r>
      <w:r>
        <w:rPr>
          <w:rFonts w:hint="default" w:ascii="Times New Roman" w:hAnsi="Times New Roman" w:eastAsia="仿宋_GB2312" w:cs="Times New Roman"/>
          <w:b w:val="0"/>
          <w:bCs w:val="0"/>
          <w:sz w:val="32"/>
          <w:szCs w:val="32"/>
          <w:lang w:eastAsia="zh-CN"/>
        </w:rPr>
        <w:t>无</w:t>
      </w:r>
      <w:r>
        <w:rPr>
          <w:rFonts w:hint="default" w:ascii="Times New Roman" w:hAnsi="Times New Roman" w:eastAsia="仿宋_GB2312" w:cs="Times New Roman"/>
          <w:b w:val="0"/>
          <w:bCs w:val="0"/>
          <w:sz w:val="32"/>
          <w:szCs w:val="32"/>
        </w:rPr>
        <w:t>下属二级</w:t>
      </w:r>
      <w:r>
        <w:rPr>
          <w:rFonts w:hint="default" w:ascii="Times New Roman" w:hAnsi="Times New Roman" w:eastAsia="仿宋_GB2312" w:cs="Times New Roman"/>
          <w:b w:val="0"/>
          <w:bCs w:val="0"/>
          <w:sz w:val="32"/>
          <w:szCs w:val="32"/>
          <w:lang w:eastAsia="zh-CN"/>
        </w:rPr>
        <w:t>预算</w:t>
      </w:r>
      <w:r>
        <w:rPr>
          <w:rFonts w:hint="default" w:ascii="Times New Roman" w:hAnsi="Times New Roman" w:eastAsia="仿宋_GB2312" w:cs="Times New Roman"/>
          <w:b w:val="0"/>
          <w:bCs w:val="0"/>
          <w:sz w:val="32"/>
          <w:szCs w:val="32"/>
        </w:rPr>
        <w:t>单位</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中心下设办公室、人事代理部、专业技术人才服务部、人才市场部、高校毕业生就业指导服务部、信息部。</w:t>
      </w:r>
    </w:p>
    <w:p>
      <w:pPr>
        <w:widowControl/>
        <w:jc w:val="left"/>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pPr>
        <w:pStyle w:val="3"/>
        <w:jc w:val="center"/>
        <w:rPr>
          <w:rFonts w:hint="default" w:ascii="Times New Roman" w:hAnsi="Times New Roman" w:eastAsia="方正小标宋简体" w:cs="Times New Roman"/>
          <w:b w:val="0"/>
        </w:rPr>
      </w:pPr>
      <w:bookmarkStart w:id="16" w:name="_Toc15396602"/>
      <w:bookmarkStart w:id="17" w:name="_Toc15377204"/>
      <w:r>
        <w:rPr>
          <w:rFonts w:hint="default" w:ascii="Times New Roman" w:hAnsi="Times New Roman" w:eastAsia="方正小标宋简体" w:cs="Times New Roman"/>
          <w:b w:val="0"/>
        </w:rPr>
        <w:t>第二部分  2025年度</w:t>
      </w:r>
      <w:r>
        <w:rPr>
          <w:rFonts w:hint="eastAsia" w:eastAsia="方正小标宋简体" w:cs="Times New Roman"/>
          <w:b w:val="0"/>
          <w:lang w:eastAsia="zh-CN"/>
        </w:rPr>
        <w:t>单位</w:t>
      </w:r>
      <w:r>
        <w:rPr>
          <w:rFonts w:hint="default" w:ascii="Times New Roman" w:hAnsi="Times New Roman" w:eastAsia="方正小标宋简体" w:cs="Times New Roman"/>
          <w:b w:val="0"/>
        </w:rPr>
        <w:t>决算情况说明</w:t>
      </w:r>
      <w:bookmarkEnd w:id="16"/>
      <w:bookmarkEnd w:id="17"/>
    </w:p>
    <w:p>
      <w:pPr>
        <w:rPr>
          <w:rFonts w:hint="default" w:ascii="Times New Roman" w:hAnsi="Times New Roman" w:cs="Times New Roman"/>
        </w:rPr>
      </w:pPr>
    </w:p>
    <w:p>
      <w:pPr>
        <w:pStyle w:val="27"/>
        <w:spacing w:line="600" w:lineRule="exact"/>
        <w:ind w:firstLine="640"/>
        <w:outlineLvl w:val="1"/>
        <w:rPr>
          <w:rStyle w:val="29"/>
          <w:rFonts w:hint="default" w:ascii="Times New Roman" w:hAnsi="Times New Roman" w:eastAsia="黑体" w:cs="Times New Roman"/>
          <w:b w:val="0"/>
        </w:rPr>
      </w:pPr>
      <w:bookmarkStart w:id="18" w:name="_Toc15377205"/>
      <w:bookmarkStart w:id="19" w:name="_Toc15396603"/>
      <w:r>
        <w:rPr>
          <w:rFonts w:hint="default" w:ascii="Times New Roman" w:hAnsi="Times New Roman" w:eastAsia="黑体" w:cs="Times New Roman"/>
          <w:sz w:val="32"/>
          <w:szCs w:val="32"/>
        </w:rPr>
        <w:t>一、收</w:t>
      </w:r>
      <w:r>
        <w:rPr>
          <w:rStyle w:val="29"/>
          <w:rFonts w:hint="default" w:ascii="Times New Roman" w:hAnsi="Times New Roman" w:eastAsia="黑体" w:cs="Times New Roman"/>
          <w:b w:val="0"/>
        </w:rPr>
        <w:t>入支出决算总体情况说明</w:t>
      </w:r>
      <w:bookmarkEnd w:id="18"/>
      <w:bookmarkEnd w:id="19"/>
    </w:p>
    <w:p>
      <w:pPr>
        <w:pStyle w:val="27"/>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2025年度收入、支出总计均为597.88万元。与上年度相比，收入、支出总计各增加</w:t>
      </w:r>
      <w:r>
        <w:rPr>
          <w:rFonts w:hint="default" w:ascii="Times New Roman" w:hAnsi="Times New Roman" w:eastAsia="仿宋_GB2312" w:cs="Times New Roman"/>
          <w:sz w:val="32"/>
          <w:szCs w:val="32"/>
          <w:lang w:val="en-US" w:eastAsia="zh-CN"/>
        </w:rPr>
        <w:t>11.02</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eastAsia="zh-CN"/>
        </w:rPr>
        <w:t>新招录两名正式职工，人员经费增加。</w:t>
      </w:r>
    </w:p>
    <w:p>
      <w:pPr>
        <w:pStyle w:val="27"/>
        <w:spacing w:line="600" w:lineRule="exact"/>
        <w:ind w:firstLine="640"/>
        <w:outlineLvl w:val="1"/>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59264" behindDoc="0" locked="0" layoutInCell="1" allowOverlap="1">
            <wp:simplePos x="0" y="0"/>
            <wp:positionH relativeFrom="column">
              <wp:posOffset>156845</wp:posOffset>
            </wp:positionH>
            <wp:positionV relativeFrom="paragraph">
              <wp:posOffset>184785</wp:posOffset>
            </wp:positionV>
            <wp:extent cx="4981575" cy="2823845"/>
            <wp:effectExtent l="4445" t="4445" r="5080" b="10160"/>
            <wp:wrapSquare wrapText="bothSides"/>
            <wp:docPr id="104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7"/>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（图1：收入、支出决算总计变动情况图）</w:t>
      </w:r>
    </w:p>
    <w:p>
      <w:pPr>
        <w:pStyle w:val="27"/>
        <w:spacing w:line="600" w:lineRule="exact"/>
        <w:ind w:firstLine="640"/>
        <w:outlineLvl w:val="1"/>
        <w:rPr>
          <w:rFonts w:hint="default" w:ascii="Times New Roman" w:hAnsi="Times New Roman" w:eastAsia="黑体" w:cs="Times New Roman"/>
          <w:sz w:val="32"/>
          <w:szCs w:val="32"/>
        </w:rPr>
      </w:pPr>
      <w:bookmarkStart w:id="20" w:name="_Toc15377206"/>
      <w:bookmarkStart w:id="21" w:name="_Toc15396604"/>
      <w:r>
        <w:rPr>
          <w:rFonts w:hint="default" w:ascii="Times New Roman" w:hAnsi="Times New Roman" w:eastAsia="黑体" w:cs="Times New Roman"/>
          <w:sz w:val="32"/>
          <w:szCs w:val="32"/>
        </w:rPr>
        <w:t>二、收入决算情况说明</w:t>
      </w:r>
      <w:bookmarkEnd w:id="20"/>
      <w:bookmarkEnd w:id="21"/>
    </w:p>
    <w:p>
      <w:pPr>
        <w:pStyle w:val="27"/>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2025年度本年收入合计597.88万元，其中：一般公共预算财政拨款收入597.88万元，占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rPr>
      </w:pPr>
    </w:p>
    <w:p>
      <w:pPr>
        <w:pStyle w:val="27"/>
        <w:spacing w:line="600" w:lineRule="exact"/>
        <w:ind w:firstLine="640"/>
        <w:outlineLvl w:val="1"/>
        <w:rPr>
          <w:rFonts w:hint="default" w:ascii="Times New Roman" w:hAnsi="Times New Roman" w:eastAsia="仿宋_GB2312" w:cs="Times New Roman"/>
          <w:sz w:val="32"/>
          <w:szCs w:val="32"/>
          <w:lang w:val="en-US" w:eastAsia="zh-CN"/>
        </w:rPr>
      </w:pP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271145</wp:posOffset>
            </wp:positionH>
            <wp:positionV relativeFrom="paragraph">
              <wp:posOffset>-2529205</wp:posOffset>
            </wp:positionV>
            <wp:extent cx="4572000" cy="2815590"/>
            <wp:effectExtent l="4445" t="4445" r="14605" b="18415"/>
            <wp:wrapSquare wrapText="bothSides"/>
            <wp:docPr id="104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default" w:ascii="Times New Roman" w:hAnsi="Times New Roman" w:eastAsia="仿宋_GB2312" w:cs="Times New Roman"/>
          <w:sz w:val="32"/>
          <w:szCs w:val="32"/>
          <w:lang w:val="en-US" w:eastAsia="zh-CN"/>
        </w:rPr>
        <w:t xml:space="preserve"> </w:t>
      </w:r>
    </w:p>
    <w:p>
      <w:pPr>
        <w:pStyle w:val="27"/>
        <w:spacing w:line="600" w:lineRule="exact"/>
        <w:ind w:firstLine="640"/>
        <w:outlineLvl w:val="1"/>
        <w:rPr>
          <w:rFonts w:hint="default" w:ascii="Times New Roman" w:hAnsi="Times New Roman" w:eastAsia="仿宋_GB2312" w:cs="Times New Roman"/>
          <w:sz w:val="32"/>
          <w:szCs w:val="32"/>
          <w:lang w:val="en-US" w:eastAsia="zh-CN"/>
        </w:rPr>
      </w:pPr>
    </w:p>
    <w:p>
      <w:pPr>
        <w:pStyle w:val="27"/>
        <w:spacing w:line="600" w:lineRule="exact"/>
        <w:ind w:firstLine="640"/>
        <w:jc w:val="center"/>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（图2：收入决算结构图）</w:t>
      </w:r>
    </w:p>
    <w:p>
      <w:pPr>
        <w:pStyle w:val="27"/>
        <w:spacing w:line="600" w:lineRule="exact"/>
        <w:ind w:firstLine="640"/>
        <w:outlineLvl w:val="1"/>
        <w:rPr>
          <w:rStyle w:val="29"/>
          <w:rFonts w:hint="default" w:ascii="Times New Roman" w:hAnsi="Times New Roman" w:eastAsia="黑体" w:cs="Times New Roman"/>
          <w:b w:val="0"/>
        </w:rPr>
      </w:pPr>
      <w:bookmarkStart w:id="22" w:name="_Toc15396605"/>
      <w:bookmarkStart w:id="23" w:name="_Toc15377207"/>
      <w:r>
        <w:rPr>
          <w:rFonts w:hint="default" w:ascii="Times New Roman" w:hAnsi="Times New Roman" w:eastAsia="黑体" w:cs="Times New Roman"/>
          <w:sz w:val="32"/>
          <w:szCs w:val="32"/>
        </w:rPr>
        <w:t>三、支</w:t>
      </w:r>
      <w:r>
        <w:rPr>
          <w:rStyle w:val="29"/>
          <w:rFonts w:hint="default" w:ascii="Times New Roman" w:hAnsi="Times New Roman" w:eastAsia="黑体" w:cs="Times New Roman"/>
          <w:b w:val="0"/>
        </w:rPr>
        <w:t>出决算情况说明</w:t>
      </w:r>
      <w:bookmarkEnd w:id="22"/>
      <w:bookmarkEnd w:id="23"/>
    </w:p>
    <w:p>
      <w:pPr>
        <w:pStyle w:val="27"/>
        <w:spacing w:line="600" w:lineRule="exact"/>
        <w:ind w:firstLine="640"/>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597.88</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404.13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67.</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193.75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32.4</w:t>
      </w:r>
      <w:r>
        <w:rPr>
          <w:rFonts w:hint="default" w:ascii="Times New Roman" w:hAnsi="Times New Roman" w:eastAsia="仿宋_GB2312" w:cs="Times New Roman"/>
          <w:color w:val="auto"/>
          <w:sz w:val="32"/>
          <w:szCs w:val="32"/>
          <w:highlight w:val="none"/>
          <w:lang w:eastAsia="zh-CN"/>
        </w:rPr>
        <w:t>%。</w:t>
      </w:r>
    </w:p>
    <w:p>
      <w:pPr>
        <w:pStyle w:val="27"/>
        <w:spacing w:line="600" w:lineRule="exact"/>
        <w:ind w:firstLine="640"/>
        <w:outlineLvl w:val="1"/>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499745</wp:posOffset>
            </wp:positionH>
            <wp:positionV relativeFrom="paragraph">
              <wp:posOffset>189230</wp:posOffset>
            </wp:positionV>
            <wp:extent cx="4826000" cy="2742565"/>
            <wp:effectExtent l="4445" t="4445" r="8255" b="15240"/>
            <wp:wrapSquare wrapText="bothSides"/>
            <wp:docPr id="922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spacing w:line="600" w:lineRule="exact"/>
        <w:ind w:firstLine="640"/>
        <w:outlineLvl w:val="1"/>
        <w:rPr>
          <w:rFonts w:hint="default" w:ascii="Times New Roman" w:hAnsi="Times New Roman" w:cs="Times New Roman"/>
        </w:rPr>
      </w:pPr>
    </w:p>
    <w:p>
      <w:pPr>
        <w:pStyle w:val="27"/>
        <w:spacing w:line="600" w:lineRule="exact"/>
        <w:ind w:firstLine="640"/>
        <w:outlineLvl w:val="1"/>
        <w:rPr>
          <w:rFonts w:hint="default" w:ascii="Times New Roman" w:hAnsi="Times New Roman" w:cs="Times New Roman"/>
        </w:rPr>
      </w:pPr>
    </w:p>
    <w:p>
      <w:pPr>
        <w:pStyle w:val="27"/>
        <w:spacing w:line="600" w:lineRule="exact"/>
        <w:ind w:firstLine="640"/>
        <w:outlineLvl w:val="1"/>
        <w:rPr>
          <w:rFonts w:hint="default" w:ascii="Times New Roman" w:hAnsi="Times New Roman" w:cs="Times New Roman"/>
        </w:rPr>
      </w:pPr>
    </w:p>
    <w:p>
      <w:pPr>
        <w:pStyle w:val="27"/>
        <w:spacing w:line="600" w:lineRule="exact"/>
        <w:ind w:firstLine="640"/>
        <w:outlineLvl w:val="1"/>
        <w:rPr>
          <w:rFonts w:hint="default" w:ascii="Times New Roman" w:hAnsi="Times New Roman" w:cs="Times New Roman"/>
        </w:rPr>
      </w:pPr>
    </w:p>
    <w:p>
      <w:pPr>
        <w:pStyle w:val="27"/>
        <w:spacing w:line="600" w:lineRule="exact"/>
        <w:ind w:firstLine="640"/>
        <w:outlineLvl w:val="1"/>
        <w:rPr>
          <w:rFonts w:hint="default" w:ascii="Times New Roman" w:hAnsi="Times New Roman" w:cs="Times New Roman"/>
        </w:rPr>
      </w:pPr>
    </w:p>
    <w:p>
      <w:pPr>
        <w:pStyle w:val="27"/>
        <w:spacing w:line="600" w:lineRule="exact"/>
        <w:ind w:firstLine="640"/>
        <w:outlineLvl w:val="1"/>
        <w:rPr>
          <w:rFonts w:hint="default" w:ascii="Times New Roman" w:hAnsi="Times New Roman" w:cs="Times New Roman"/>
        </w:rPr>
      </w:pPr>
    </w:p>
    <w:p>
      <w:pPr>
        <w:pStyle w:val="27"/>
        <w:spacing w:line="600" w:lineRule="exact"/>
        <w:ind w:firstLine="640"/>
        <w:jc w:val="center"/>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图3：支出决算结构图）</w:t>
      </w:r>
    </w:p>
    <w:p>
      <w:pPr>
        <w:spacing w:line="600" w:lineRule="exact"/>
        <w:ind w:firstLine="640" w:firstLineChars="200"/>
        <w:outlineLvl w:val="1"/>
        <w:rPr>
          <w:rStyle w:val="29"/>
          <w:rFonts w:hint="default" w:ascii="Times New Roman" w:hAnsi="Times New Roman" w:eastAsia="黑体" w:cs="Times New Roman"/>
          <w:b w:val="0"/>
        </w:rPr>
      </w:pPr>
      <w:bookmarkStart w:id="24" w:name="_Toc15377208"/>
      <w:bookmarkStart w:id="25" w:name="_Toc15396606"/>
      <w:r>
        <w:rPr>
          <w:rFonts w:hint="default" w:ascii="Times New Roman" w:hAnsi="Times New Roman" w:eastAsia="黑体" w:cs="Times New Roman"/>
          <w:sz w:val="32"/>
          <w:szCs w:val="32"/>
        </w:rPr>
        <w:t>四、财</w:t>
      </w:r>
      <w:r>
        <w:rPr>
          <w:rStyle w:val="29"/>
          <w:rFonts w:hint="default" w:ascii="Times New Roman" w:hAnsi="Times New Roman" w:eastAsia="黑体" w:cs="Times New Roman"/>
          <w:b w:val="0"/>
        </w:rPr>
        <w:t>政拨款收入支出决算总体情况说明</w:t>
      </w:r>
      <w:bookmarkEnd w:id="24"/>
      <w:bookmarkEnd w:id="25"/>
    </w:p>
    <w:p>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597.88</w:t>
      </w:r>
      <w:r>
        <w:rPr>
          <w:rFonts w:hint="default" w:ascii="Times New Roman" w:hAnsi="Times New Roman" w:eastAsia="仿宋_GB2312" w:cs="Times New Roman"/>
          <w:color w:val="auto"/>
          <w:kern w:val="2"/>
          <w:sz w:val="32"/>
          <w:szCs w:val="32"/>
          <w:highlight w:val="none"/>
          <w:lang w:val="en-US" w:eastAsia="zh-CN" w:bidi="ar-SA"/>
        </w:rPr>
        <w:t>万元。与</w:t>
      </w:r>
      <w:r>
        <w:rPr>
          <w:rFonts w:hint="default" w:ascii="Times New Roman" w:hAnsi="Times New Roman" w:eastAsia="仿宋_GB2312" w:cs="Times New Roman"/>
          <w:sz w:val="32"/>
          <w:szCs w:val="32"/>
        </w:rPr>
        <w:t>上年度</w:t>
      </w:r>
      <w:r>
        <w:rPr>
          <w:rFonts w:hint="default" w:ascii="Times New Roman" w:hAnsi="Times New Roman" w:eastAsia="仿宋_GB2312" w:cs="Times New Roman"/>
          <w:color w:val="auto"/>
          <w:kern w:val="2"/>
          <w:sz w:val="32"/>
          <w:szCs w:val="32"/>
          <w:highlight w:val="none"/>
          <w:lang w:val="en-US" w:eastAsia="zh-CN" w:bidi="ar-SA"/>
        </w:rPr>
        <w:t>相比，财政拨款收入总计、支出总计各增加11.02万元，增长1.9%。</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eastAsia="zh-CN"/>
        </w:rPr>
        <w:t>新招录两名正式职工，人员经费增加。</w:t>
      </w:r>
    </w:p>
    <w:p>
      <w:pPr>
        <w:pStyle w:val="2"/>
        <w:rPr>
          <w:rFonts w:hint="default" w:ascii="Times New Roman" w:hAnsi="Times New Roman" w:cs="Times New Roman"/>
        </w:rPr>
      </w:pPr>
      <w:r>
        <w:rPr>
          <w:rFonts w:hint="default" w:ascii="Times New Roman" w:hAnsi="Times New Roman" w:cs="Times New Roman"/>
        </w:rPr>
        <w:drawing>
          <wp:inline distT="0" distB="0" distL="114300" distR="114300">
            <wp:extent cx="5274310" cy="2700020"/>
            <wp:effectExtent l="4445" t="4445" r="17145" b="1968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（图4：财政拨款收、支决算总计变动情况）</w:t>
      </w:r>
    </w:p>
    <w:p>
      <w:pPr>
        <w:spacing w:line="600" w:lineRule="exact"/>
        <w:ind w:firstLine="640" w:firstLineChars="200"/>
        <w:outlineLvl w:val="1"/>
        <w:rPr>
          <w:rStyle w:val="29"/>
          <w:rFonts w:hint="default" w:ascii="Times New Roman" w:hAnsi="Times New Roman" w:eastAsia="黑体" w:cs="Times New Roman"/>
          <w:b w:val="0"/>
        </w:rPr>
      </w:pPr>
      <w:bookmarkStart w:id="26" w:name="_Toc15377209"/>
      <w:bookmarkStart w:id="27" w:name="_Toc15396607"/>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29"/>
          <w:rFonts w:hint="default" w:ascii="Times New Roman" w:hAnsi="Times New Roman" w:eastAsia="黑体" w:cs="Times New Roman"/>
          <w:b w:val="0"/>
        </w:rPr>
        <w:t>般公共预算财政拨款支出决算情况说明</w:t>
      </w:r>
      <w:bookmarkEnd w:id="26"/>
      <w:bookmarkEnd w:id="27"/>
    </w:p>
    <w:p>
      <w:pPr>
        <w:spacing w:line="600" w:lineRule="exact"/>
        <w:ind w:firstLine="643" w:firstLineChars="200"/>
        <w:outlineLvl w:val="2"/>
        <w:rPr>
          <w:rFonts w:hint="default" w:ascii="Times New Roman" w:hAnsi="Times New Roman" w:eastAsia="楷体_GB2312" w:cs="Times New Roman"/>
          <w:b/>
          <w:sz w:val="32"/>
          <w:szCs w:val="32"/>
        </w:rPr>
      </w:pPr>
      <w:bookmarkStart w:id="28" w:name="_Toc15377210"/>
      <w:r>
        <w:rPr>
          <w:rFonts w:hint="default" w:ascii="Times New Roman" w:hAnsi="Times New Roman" w:eastAsia="楷体_GB2312" w:cs="Times New Roman"/>
          <w:b/>
          <w:sz w:val="32"/>
          <w:szCs w:val="32"/>
        </w:rPr>
        <w:t>（一）一般公共预算财政拨款支出决算总体情况</w:t>
      </w:r>
      <w:bookmarkEnd w:id="28"/>
    </w:p>
    <w:p>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597.88</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%。与</w:t>
      </w:r>
      <w:r>
        <w:rPr>
          <w:rFonts w:hint="default" w:ascii="Times New Roman" w:hAnsi="Times New Roman" w:eastAsia="仿宋_GB2312" w:cs="Times New Roman"/>
          <w:sz w:val="32"/>
          <w:szCs w:val="32"/>
        </w:rPr>
        <w:t>上年度</w:t>
      </w:r>
      <w:r>
        <w:rPr>
          <w:rFonts w:hint="default" w:ascii="Times New Roman" w:hAnsi="Times New Roman" w:eastAsia="仿宋_GB2312" w:cs="Times New Roman"/>
          <w:color w:val="auto"/>
          <w:kern w:val="2"/>
          <w:sz w:val="32"/>
          <w:szCs w:val="32"/>
          <w:highlight w:val="none"/>
          <w:lang w:val="en-US" w:eastAsia="zh-CN" w:bidi="ar-SA"/>
        </w:rPr>
        <w:t>相比，财政拨款收入总计、支出总计各增加11.02万元，增长1.9%。</w:t>
      </w:r>
      <w:r>
        <w:rPr>
          <w:rFonts w:hint="default" w:ascii="Times New Roman" w:hAnsi="Times New Roman" w:eastAsia="仿宋_GB2312" w:cs="Times New Roman"/>
          <w:sz w:val="32"/>
          <w:szCs w:val="32"/>
          <w:lang w:eastAsia="zh-CN"/>
        </w:rPr>
        <w:t>新招录两名正式职工，人员经费增加。</w:t>
      </w:r>
    </w:p>
    <w:p>
      <w:pPr>
        <w:pStyle w:val="2"/>
        <w:rPr>
          <w:rFonts w:hint="default" w:ascii="Times New Roman" w:hAnsi="Times New Roman" w:eastAsia="仿宋_GB2312" w:cs="Times New Roman"/>
          <w:sz w:val="32"/>
          <w:szCs w:val="32"/>
          <w:lang w:eastAsia="zh-CN"/>
        </w:rPr>
      </w:pPr>
      <w:r>
        <w:rPr>
          <w:rFonts w:hint="default" w:ascii="Times New Roman" w:hAnsi="Times New Roman" w:cs="Times New Roman"/>
        </w:rPr>
        <w:drawing>
          <wp:anchor distT="0" distB="0" distL="114300" distR="114300" simplePos="0" relativeHeight="251662336" behindDoc="0" locked="0" layoutInCell="1" allowOverlap="1">
            <wp:simplePos x="0" y="0"/>
            <wp:positionH relativeFrom="column">
              <wp:posOffset>496570</wp:posOffset>
            </wp:positionH>
            <wp:positionV relativeFrom="paragraph">
              <wp:posOffset>137160</wp:posOffset>
            </wp:positionV>
            <wp:extent cx="4572000" cy="2814320"/>
            <wp:effectExtent l="4445" t="4445" r="14605" b="19685"/>
            <wp:wrapSquare wrapText="bothSides"/>
            <wp:docPr id="1127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
        <w:rPr>
          <w:rFonts w:hint="default" w:ascii="Times New Roman" w:hAnsi="Times New Roman" w:eastAsia="仿宋_GB2312" w:cs="Times New Roman"/>
          <w:sz w:val="32"/>
          <w:szCs w:val="32"/>
          <w:lang w:eastAsia="zh-CN"/>
        </w:rPr>
      </w:pPr>
    </w:p>
    <w:p>
      <w:pPr>
        <w:pStyle w:val="2"/>
        <w:rPr>
          <w:rFonts w:hint="default" w:ascii="Times New Roman" w:hAnsi="Times New Roman" w:eastAsia="仿宋_GB2312" w:cs="Times New Roman"/>
          <w:sz w:val="32"/>
          <w:szCs w:val="32"/>
          <w:lang w:eastAsia="zh-CN"/>
        </w:rPr>
      </w:pPr>
    </w:p>
    <w:p>
      <w:pPr>
        <w:pStyle w:val="2"/>
        <w:rPr>
          <w:rFonts w:hint="default" w:ascii="Times New Roman" w:hAnsi="Times New Roman" w:eastAsia="仿宋_GB2312" w:cs="Times New Roman"/>
          <w:sz w:val="32"/>
          <w:szCs w:val="32"/>
          <w:lang w:eastAsia="zh-CN"/>
        </w:rPr>
      </w:pPr>
    </w:p>
    <w:p>
      <w:pPr>
        <w:pStyle w:val="2"/>
        <w:rPr>
          <w:rFonts w:hint="default" w:ascii="Times New Roman" w:hAnsi="Times New Roman" w:eastAsia="仿宋_GB2312" w:cs="Times New Roman"/>
          <w:sz w:val="32"/>
          <w:szCs w:val="32"/>
          <w:lang w:val="en-US" w:eastAsia="zh-CN"/>
        </w:rPr>
      </w:pPr>
    </w:p>
    <w:p>
      <w:pPr>
        <w:spacing w:line="600" w:lineRule="exact"/>
        <w:ind w:firstLine="640"/>
        <w:rPr>
          <w:rFonts w:hint="default" w:ascii="Times New Roman" w:hAnsi="Times New Roman" w:cs="Times New Roman"/>
        </w:rPr>
      </w:pPr>
    </w:p>
    <w:p>
      <w:pPr>
        <w:spacing w:line="600" w:lineRule="exact"/>
        <w:ind w:firstLine="64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（图5：一般公共预算财政拨款支出决算变动情况）</w:t>
      </w:r>
    </w:p>
    <w:p>
      <w:pPr>
        <w:spacing w:line="600" w:lineRule="exact"/>
        <w:ind w:firstLine="643" w:firstLineChars="200"/>
        <w:outlineLvl w:val="2"/>
        <w:rPr>
          <w:rFonts w:hint="default" w:ascii="Times New Roman" w:hAnsi="Times New Roman" w:eastAsia="楷体_GB2312" w:cs="Times New Roman"/>
          <w:b/>
          <w:sz w:val="32"/>
          <w:szCs w:val="32"/>
        </w:rPr>
      </w:pPr>
      <w:bookmarkStart w:id="29" w:name="_Toc15377211"/>
      <w:r>
        <w:rPr>
          <w:rFonts w:hint="default" w:ascii="Times New Roman" w:hAnsi="Times New Roman" w:eastAsia="楷体_GB2312" w:cs="Times New Roman"/>
          <w:b/>
          <w:sz w:val="32"/>
          <w:szCs w:val="32"/>
        </w:rPr>
        <w:t>（二）一般公共预算财政拨款支出决算结构情况</w:t>
      </w:r>
      <w:bookmarkEnd w:id="29"/>
    </w:p>
    <w:p>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2025年度一般公共预算财政拨款支出597.88万元，主要用于以下方面：社会保障和就业支出550.55万元，占</w:t>
      </w:r>
      <w:r>
        <w:rPr>
          <w:rFonts w:hint="default" w:ascii="Times New Roman" w:hAnsi="Times New Roman" w:eastAsia="仿宋_GB2312" w:cs="Times New Roman"/>
          <w:sz w:val="32"/>
          <w:szCs w:val="32"/>
          <w:lang w:val="en-US" w:eastAsia="zh-CN"/>
        </w:rPr>
        <w:t>92.1</w:t>
      </w:r>
      <w:r>
        <w:rPr>
          <w:rFonts w:hint="default" w:ascii="Times New Roman" w:hAnsi="Times New Roman" w:eastAsia="仿宋_GB2312" w:cs="Times New Roman"/>
          <w:sz w:val="32"/>
          <w:szCs w:val="32"/>
        </w:rPr>
        <w:t>%；卫生健康支出</w:t>
      </w:r>
      <w:r>
        <w:rPr>
          <w:rFonts w:hint="default" w:ascii="Times New Roman" w:hAnsi="Times New Roman" w:eastAsia="仿宋_GB2312" w:cs="Times New Roman"/>
          <w:sz w:val="32"/>
          <w:szCs w:val="32"/>
          <w:lang w:val="en-US" w:eastAsia="zh-CN"/>
        </w:rPr>
        <w:t>22.03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3.7</w:t>
      </w:r>
      <w:r>
        <w:rPr>
          <w:rFonts w:hint="default" w:ascii="Times New Roman" w:hAnsi="Times New Roman" w:eastAsia="仿宋_GB2312" w:cs="Times New Roman"/>
          <w:sz w:val="32"/>
          <w:szCs w:val="32"/>
        </w:rPr>
        <w:t>%；住房保障支出</w:t>
      </w:r>
      <w:r>
        <w:rPr>
          <w:rFonts w:hint="default" w:ascii="Times New Roman" w:hAnsi="Times New Roman" w:eastAsia="仿宋_GB2312" w:cs="Times New Roman"/>
          <w:sz w:val="32"/>
          <w:szCs w:val="32"/>
          <w:lang w:val="en-US" w:eastAsia="zh-CN"/>
        </w:rPr>
        <w:t>25.3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4.2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pStyle w:val="2"/>
        <w:rPr>
          <w:rFonts w:hint="default" w:ascii="Times New Roman" w:hAnsi="Times New Roman" w:eastAsia="仿宋_GB2312" w:cs="Times New Roman"/>
          <w:sz w:val="32"/>
          <w:szCs w:val="32"/>
          <w:lang w:eastAsia="zh-CN"/>
        </w:rPr>
      </w:pPr>
      <w:r>
        <w:rPr>
          <w:rFonts w:hint="default" w:ascii="Times New Roman" w:hAnsi="Times New Roman" w:cs="Times New Roman"/>
        </w:rPr>
        <w:drawing>
          <wp:inline distT="0" distB="0" distL="114300" distR="114300">
            <wp:extent cx="4819650" cy="2799080"/>
            <wp:effectExtent l="4445" t="4445" r="14605" b="15875"/>
            <wp:docPr id="1229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（图6：一般公共预算财政拨款支出决算结构）</w:t>
      </w:r>
    </w:p>
    <w:p>
      <w:pPr>
        <w:spacing w:line="600" w:lineRule="exact"/>
        <w:ind w:firstLine="643" w:firstLineChars="200"/>
        <w:outlineLvl w:val="2"/>
        <w:rPr>
          <w:rFonts w:hint="default" w:ascii="Times New Roman" w:hAnsi="Times New Roman" w:eastAsia="楷体_GB2312" w:cs="Times New Roman"/>
          <w:b/>
          <w:sz w:val="32"/>
          <w:szCs w:val="32"/>
        </w:rPr>
      </w:pPr>
      <w:bookmarkStart w:id="30" w:name="_Toc15377212"/>
      <w:r>
        <w:rPr>
          <w:rFonts w:hint="default" w:ascii="Times New Roman" w:hAnsi="Times New Roman" w:eastAsia="楷体_GB2312" w:cs="Times New Roman"/>
          <w:b/>
          <w:sz w:val="32"/>
          <w:szCs w:val="32"/>
        </w:rPr>
        <w:t>（三）一般公共预算财政拨款支出决算具体情况</w:t>
      </w:r>
      <w:bookmarkEnd w:id="30"/>
    </w:p>
    <w:p>
      <w:pPr>
        <w:spacing w:line="600" w:lineRule="exact"/>
        <w:ind w:firstLine="640"/>
        <w:rPr>
          <w:rFonts w:hint="default" w:ascii="Times New Roman" w:hAnsi="Times New Roman" w:eastAsia="仿宋_GB2312" w:cs="Times New Roman"/>
          <w:sz w:val="32"/>
          <w:szCs w:val="32"/>
        </w:rPr>
      </w:pPr>
      <w:bookmarkStart w:id="31" w:name="_Toc15377213"/>
      <w:bookmarkStart w:id="32" w:name="_Toc15377444"/>
      <w:bookmarkStart w:id="33" w:name="_Toc15378460"/>
      <w:r>
        <w:rPr>
          <w:rFonts w:hint="default" w:ascii="Times New Roman" w:hAnsi="Times New Roman" w:eastAsia="仿宋_GB2312" w:cs="Times New Roman"/>
          <w:sz w:val="32"/>
          <w:szCs w:val="32"/>
        </w:rPr>
        <w:t>2025年度一般公共预算支出决算数为597.88</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w:t>
      </w:r>
      <w:bookmarkEnd w:id="31"/>
      <w:bookmarkEnd w:id="32"/>
      <w:bookmarkEnd w:id="33"/>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1.社会保障和就业（类）人力资源和社会保障管理事务（款）事业运行（项）: 支出决算为290.69万元，完成预算100%，决算数与预算数持平。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2.社会保障和就业（类）人力资源和社会保障管理事务（款）其他人力资源和社会保障管理事务支出（项）: 支出决算为171.88万元，完成预算100%，决算数与预算数持平。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3.社会保障和就业（类）行政事业单位养老支出（款） 事业单位离退休（项）: 支出决算为22.12万元，完成预算100%，决算数与预算数持平。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4.社会保障和就业（类）行政事业单位养老支出（款） 机关事业单位基本养老保险缴费支出（项）: 支出决算为34.54万元，完成预算100%，决算数与预算数持平。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5.社会保障和就业（类）行政事业单位养老支出（款） 机关事业单位职业年金缴费支出（项）: 支出决算为9.46万元，完成预算100%，决算数与预算数持平。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6.社会保障和就业（类）就业补助（款）其他就业补助支出（项）: 支出决算为21.87万元，完成预算100%，决算数与预算数持平。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7.卫生健康（类）行政事业单位医疗（款）事业单位医疗（项）:支出决算为17.84万元，完成预算100%，决算数与预算数持平。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8.卫生健康（类）行政事业单位医疗（款）公务员医疗补助（项）:支出决算为2.16万元，完成预算100%，决算数与预算数持平。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9.卫生健康（类）行政事业单位医疗（款）其他行政事业单位医疗支出（项）:支出决算为2.03万元，完成预算100%，决算数与预算数持平。</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10.住房保障支出（类）住房改革支出（款）住房公积金（项）:支出决算为25.3万元，完成预算100%，决算数与预算数持平。</w:t>
      </w:r>
    </w:p>
    <w:p>
      <w:pPr>
        <w:tabs>
          <w:tab w:val="right" w:pos="8306"/>
        </w:tabs>
        <w:spacing w:line="600" w:lineRule="exact"/>
        <w:ind w:firstLine="640"/>
        <w:outlineLvl w:val="1"/>
        <w:rPr>
          <w:rStyle w:val="29"/>
          <w:rFonts w:hint="default" w:ascii="Times New Roman" w:hAnsi="Times New Roman" w:cs="Times New Roman"/>
        </w:rPr>
      </w:pPr>
      <w:bookmarkStart w:id="34" w:name="_Toc15377214"/>
      <w:bookmarkStart w:id="35" w:name="_Toc15396608"/>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29"/>
          <w:rFonts w:hint="default" w:ascii="Times New Roman" w:hAnsi="Times New Roman" w:eastAsia="黑体" w:cs="Times New Roman"/>
          <w:b w:val="0"/>
        </w:rPr>
        <w:t>般公共预算财政拨款基本支出决算情况说明</w:t>
      </w:r>
      <w:bookmarkEnd w:id="34"/>
      <w:bookmarkEnd w:id="35"/>
      <w:r>
        <w:rPr>
          <w:rStyle w:val="29"/>
          <w:rFonts w:hint="default" w:ascii="Times New Roman" w:hAnsi="Times New Roman" w:eastAsia="黑体" w:cs="Times New Roman"/>
          <w:b w:val="0"/>
        </w:rPr>
        <w:tab/>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2025年度一般公共预算财政拨款基本支出</w:t>
      </w:r>
      <w:r>
        <w:rPr>
          <w:rFonts w:hint="default" w:ascii="Times New Roman" w:hAnsi="Times New Roman" w:eastAsia="仿宋_GB2312" w:cs="Times New Roman"/>
          <w:sz w:val="32"/>
          <w:szCs w:val="32"/>
          <w:lang w:val="en-US" w:eastAsia="zh-CN"/>
        </w:rPr>
        <w:t>404.13</w:t>
      </w:r>
      <w:r>
        <w:rPr>
          <w:rFonts w:hint="default" w:ascii="Times New Roman" w:hAnsi="Times New Roman" w:eastAsia="仿宋_GB2312" w:cs="Times New Roman"/>
          <w:sz w:val="32"/>
          <w:szCs w:val="32"/>
        </w:rPr>
        <w:t>万元，其中：</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人员经费</w:t>
      </w:r>
      <w:r>
        <w:rPr>
          <w:rFonts w:hint="default" w:ascii="Times New Roman" w:hAnsi="Times New Roman" w:eastAsia="仿宋_GB2312" w:cs="Times New Roman"/>
          <w:sz w:val="32"/>
          <w:szCs w:val="32"/>
          <w:lang w:val="en-US" w:eastAsia="zh-CN"/>
        </w:rPr>
        <w:t>378.01</w:t>
      </w:r>
      <w:r>
        <w:rPr>
          <w:rFonts w:hint="default" w:ascii="Times New Roman" w:hAnsi="Times New Roman" w:eastAsia="仿宋_GB2312" w:cs="Times New Roman"/>
          <w:sz w:val="32"/>
          <w:szCs w:val="32"/>
        </w:rPr>
        <w:t>万元，主要包括：</w:t>
      </w:r>
      <w:r>
        <w:rPr>
          <w:rFonts w:hint="default" w:ascii="Times New Roman" w:hAnsi="Times New Roman" w:eastAsia="仿宋_GB2312" w:cs="Times New Roman"/>
          <w:color w:val="auto"/>
          <w:kern w:val="2"/>
          <w:sz w:val="32"/>
          <w:szCs w:val="32"/>
          <w:highlight w:val="none"/>
          <w:lang w:val="en-US" w:eastAsia="zh-CN" w:bidi="ar-SA"/>
        </w:rPr>
        <w:t>基本工资、津贴补贴、绩效工资、机关事业单位基本养老保险缴费、职业年金缴费、职工基本医疗保险缴费、公务员医疗补助缴费、其他社会保障缴费、住房公积金、其他工资福利支出、生活补助、医疗费补助</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rPr>
        <w:t>　　公用经费</w:t>
      </w:r>
      <w:r>
        <w:rPr>
          <w:rFonts w:hint="default" w:ascii="Times New Roman" w:hAnsi="Times New Roman" w:eastAsia="仿宋_GB2312" w:cs="Times New Roman"/>
          <w:sz w:val="32"/>
          <w:szCs w:val="32"/>
          <w:lang w:val="en-US" w:eastAsia="zh-CN"/>
        </w:rPr>
        <w:t>26.12</w:t>
      </w:r>
      <w:r>
        <w:rPr>
          <w:rFonts w:hint="default" w:ascii="Times New Roman" w:hAnsi="Times New Roman" w:eastAsia="仿宋_GB2312" w:cs="Times New Roman"/>
          <w:sz w:val="32"/>
          <w:szCs w:val="32"/>
        </w:rPr>
        <w:t>万元，主要包括：</w:t>
      </w:r>
      <w:r>
        <w:rPr>
          <w:rFonts w:hint="default" w:ascii="Times New Roman" w:hAnsi="Times New Roman" w:eastAsia="仿宋_GB2312" w:cs="Times New Roman"/>
          <w:color w:val="auto"/>
          <w:kern w:val="2"/>
          <w:sz w:val="32"/>
          <w:szCs w:val="32"/>
          <w:highlight w:val="none"/>
          <w:lang w:val="en-US" w:eastAsia="zh-CN" w:bidi="ar-SA"/>
        </w:rPr>
        <w:t>办公费、水费、邮电费、差旅费、维修（护）费、租赁费、公务接待费、劳务费、委托业务费、工会经费、福利费、其他交通费、其他商品和服务支出。</w:t>
      </w:r>
    </w:p>
    <w:p>
      <w:pPr>
        <w:spacing w:line="600" w:lineRule="exact"/>
        <w:ind w:firstLine="640"/>
        <w:outlineLvl w:val="1"/>
        <w:rPr>
          <w:rStyle w:val="29"/>
          <w:rFonts w:hint="default" w:ascii="Times New Roman" w:hAnsi="Times New Roman" w:eastAsia="黑体" w:cs="Times New Roman"/>
          <w:b w:val="0"/>
        </w:rPr>
      </w:pPr>
      <w:bookmarkStart w:id="36" w:name="_Toc15396609"/>
      <w:bookmarkStart w:id="37" w:name="_Toc15377215"/>
      <w:r>
        <w:rPr>
          <w:rFonts w:hint="default" w:ascii="Times New Roman" w:hAnsi="Times New Roman" w:eastAsia="黑体" w:cs="Times New Roman"/>
          <w:sz w:val="32"/>
          <w:szCs w:val="32"/>
        </w:rPr>
        <w:t>七、</w:t>
      </w:r>
      <w:r>
        <w:rPr>
          <w:rStyle w:val="29"/>
          <w:rFonts w:hint="default" w:ascii="Times New Roman" w:hAnsi="Times New Roman" w:eastAsia="黑体" w:cs="Times New Roman"/>
          <w:b w:val="0"/>
        </w:rPr>
        <w:t>财政拨款</w:t>
      </w:r>
      <w:r>
        <w:rPr>
          <w:rStyle w:val="29"/>
          <w:rFonts w:hint="default" w:ascii="Times New Roman" w:hAnsi="Times New Roman" w:eastAsia="黑体" w:cs="Times New Roman"/>
        </w:rPr>
        <w:t>“</w:t>
      </w:r>
      <w:r>
        <w:rPr>
          <w:rStyle w:val="29"/>
          <w:rFonts w:hint="default" w:ascii="Times New Roman" w:hAnsi="Times New Roman" w:eastAsia="黑体" w:cs="Times New Roman"/>
          <w:b w:val="0"/>
        </w:rPr>
        <w:t>三公”经费支出决算情况说明</w:t>
      </w:r>
      <w:bookmarkEnd w:id="36"/>
      <w:bookmarkEnd w:id="37"/>
    </w:p>
    <w:p>
      <w:pPr>
        <w:spacing w:line="600" w:lineRule="exact"/>
        <w:ind w:firstLine="643" w:firstLineChars="200"/>
        <w:outlineLvl w:val="2"/>
        <w:rPr>
          <w:rFonts w:hint="default" w:ascii="Times New Roman" w:hAnsi="Times New Roman" w:eastAsia="楷体_GB2312" w:cs="Times New Roman"/>
          <w:b/>
          <w:sz w:val="32"/>
          <w:szCs w:val="32"/>
        </w:rPr>
      </w:pPr>
      <w:bookmarkStart w:id="38" w:name="_Toc15377216"/>
      <w:r>
        <w:rPr>
          <w:rFonts w:hint="default" w:ascii="Times New Roman" w:hAnsi="Times New Roman" w:eastAsia="楷体_GB2312" w:cs="Times New Roman"/>
          <w:b/>
          <w:sz w:val="32"/>
          <w:szCs w:val="32"/>
        </w:rPr>
        <w:t>（一）财政拨款“三公”经费支出决算总体情况说明</w:t>
      </w:r>
      <w:bookmarkEnd w:id="38"/>
    </w:p>
    <w:p>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2025年度财政拨款“三公”经费支出决算为</w:t>
      </w:r>
      <w:r>
        <w:rPr>
          <w:rFonts w:hint="default" w:ascii="Times New Roman" w:hAnsi="Times New Roman" w:eastAsia="仿宋_GB2312" w:cs="Times New Roman"/>
          <w:sz w:val="32"/>
          <w:szCs w:val="32"/>
          <w:lang w:val="en-US" w:eastAsia="zh-CN"/>
        </w:rPr>
        <w:t>0.24</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%，较上年度增加</w:t>
      </w:r>
      <w:r>
        <w:rPr>
          <w:rFonts w:hint="default" w:ascii="Times New Roman" w:hAnsi="Times New Roman" w:eastAsia="仿宋_GB2312" w:cs="Times New Roman"/>
          <w:sz w:val="32"/>
          <w:szCs w:val="32"/>
          <w:lang w:val="en-US" w:eastAsia="zh-CN"/>
        </w:rPr>
        <w:t>0.03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14.3</w:t>
      </w:r>
      <w:r>
        <w:rPr>
          <w:rFonts w:hint="default" w:ascii="Times New Roman" w:hAnsi="Times New Roman" w:eastAsia="仿宋_GB2312" w:cs="Times New Roman"/>
          <w:sz w:val="32"/>
          <w:szCs w:val="32"/>
        </w:rPr>
        <w:t>%。决算数预算数持平</w:t>
      </w:r>
      <w:r>
        <w:rPr>
          <w:rFonts w:hint="default" w:ascii="Times New Roman" w:hAnsi="Times New Roman" w:eastAsia="仿宋_GB2312" w:cs="Times New Roman"/>
          <w:sz w:val="32"/>
          <w:szCs w:val="32"/>
          <w:lang w:eastAsia="zh-CN"/>
        </w:rPr>
        <w:t>。</w:t>
      </w:r>
    </w:p>
    <w:p>
      <w:pPr>
        <w:spacing w:line="600" w:lineRule="exact"/>
        <w:ind w:firstLine="643" w:firstLineChars="200"/>
        <w:outlineLvl w:val="2"/>
        <w:rPr>
          <w:rFonts w:hint="default" w:ascii="Times New Roman" w:hAnsi="Times New Roman" w:eastAsia="楷体_GB2312" w:cs="Times New Roman"/>
          <w:b/>
          <w:sz w:val="32"/>
          <w:szCs w:val="32"/>
        </w:rPr>
      </w:pPr>
      <w:bookmarkStart w:id="39" w:name="_Toc15377217"/>
      <w:r>
        <w:rPr>
          <w:rFonts w:hint="default" w:ascii="Times New Roman" w:hAnsi="Times New Roman" w:eastAsia="楷体_GB2312" w:cs="Times New Roman"/>
          <w:b/>
          <w:sz w:val="32"/>
          <w:szCs w:val="32"/>
        </w:rPr>
        <w:t>（二）财政拨款“三公”经费支出决算具体情况说明</w:t>
      </w:r>
      <w:bookmarkEnd w:id="39"/>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2025年度财政拨款“三公”经费支出决算中，因公出国（境）费支出决算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%；公务用车购置及运行维护费支出决算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%；公务接待费支出决算</w:t>
      </w:r>
      <w:r>
        <w:rPr>
          <w:rFonts w:hint="default" w:ascii="Times New Roman" w:hAnsi="Times New Roman" w:eastAsia="仿宋_GB2312" w:cs="Times New Roman"/>
          <w:sz w:val="32"/>
          <w:szCs w:val="32"/>
          <w:lang w:val="en-US" w:eastAsia="zh-CN"/>
        </w:rPr>
        <w:t>0.24</w:t>
      </w:r>
      <w:r>
        <w:rPr>
          <w:rFonts w:hint="default" w:ascii="Times New Roman" w:hAnsi="Times New Roman" w:eastAsia="仿宋_GB2312" w:cs="Times New Roman"/>
          <w:sz w:val="32"/>
          <w:szCs w:val="32"/>
        </w:rPr>
        <w:t>万</w:t>
      </w: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429895</wp:posOffset>
            </wp:positionH>
            <wp:positionV relativeFrom="paragraph">
              <wp:posOffset>433070</wp:posOffset>
            </wp:positionV>
            <wp:extent cx="4676775" cy="2724150"/>
            <wp:effectExtent l="4445" t="4445" r="5080" b="14605"/>
            <wp:wrapSquare wrapText="bothSides"/>
            <wp:docPr id="1332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default" w:ascii="Times New Roman" w:hAnsi="Times New Roman" w:eastAsia="仿宋_GB2312" w:cs="Times New Roman"/>
          <w:sz w:val="32"/>
          <w:szCs w:val="32"/>
        </w:rPr>
        <w:t>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%。具体情况如下：</w:t>
      </w: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p>
      <w:pPr>
        <w:spacing w:line="600" w:lineRule="exact"/>
        <w:ind w:firstLine="640"/>
        <w:jc w:val="center"/>
        <w:rPr>
          <w:rFonts w:hint="default" w:ascii="Times New Roman" w:hAnsi="Times New Roman" w:eastAsia="仿宋_GB2312" w:cs="Times New Roman"/>
          <w:sz w:val="32"/>
          <w:szCs w:val="32"/>
        </w:rPr>
      </w:pPr>
    </w:p>
    <w:p>
      <w:pPr>
        <w:spacing w:line="600" w:lineRule="exact"/>
        <w:ind w:firstLine="640"/>
        <w:jc w:val="center"/>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图7：财政拨款“三公”经费支出结构）</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sz w:val="32"/>
          <w:szCs w:val="32"/>
        </w:rPr>
        <w:t>1.因公出国（境）经费支出</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全年安排因公出国（境）团组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次，出国（境）</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w:t>
      </w:r>
      <w:r>
        <w:rPr>
          <w:rFonts w:hint="default" w:ascii="Times New Roman" w:hAnsi="Times New Roman" w:eastAsia="仿宋_GB2312" w:cs="Times New Roman"/>
          <w:color w:val="auto"/>
          <w:kern w:val="2"/>
          <w:sz w:val="32"/>
          <w:szCs w:val="32"/>
          <w:highlight w:val="none"/>
          <w:lang w:val="en-US" w:eastAsia="zh-CN" w:bidi="ar-SA"/>
        </w:rPr>
        <w:t>因公出国（境）支出决算与</w:t>
      </w:r>
      <w:r>
        <w:rPr>
          <w:rFonts w:hint="default" w:ascii="Times New Roman" w:hAnsi="Times New Roman" w:eastAsia="仿宋_GB2312" w:cs="Times New Roman"/>
          <w:sz w:val="32"/>
          <w:szCs w:val="32"/>
        </w:rPr>
        <w:t>上年度</w:t>
      </w:r>
      <w:r>
        <w:rPr>
          <w:rFonts w:hint="default" w:ascii="Times New Roman" w:hAnsi="Times New Roman" w:eastAsia="仿宋_GB2312" w:cs="Times New Roman"/>
          <w:color w:val="auto"/>
          <w:kern w:val="2"/>
          <w:sz w:val="32"/>
          <w:szCs w:val="32"/>
          <w:highlight w:val="none"/>
          <w:lang w:val="en-US" w:eastAsia="zh-CN" w:bidi="ar-SA"/>
        </w:rPr>
        <w:t>持平。主要原因是2025没有安排因公出国（境）经费预算。</w:t>
      </w:r>
    </w:p>
    <w:p>
      <w:pPr>
        <w:spacing w:line="600" w:lineRule="exact"/>
        <w:ind w:firstLine="640"/>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bCs/>
          <w:sz w:val="32"/>
          <w:szCs w:val="32"/>
        </w:rPr>
        <w:t>2.公务用车购置及运行维护费支出</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val="0"/>
          <w:bCs w:val="0"/>
          <w:color w:val="auto"/>
          <w:kern w:val="2"/>
          <w:sz w:val="32"/>
          <w:szCs w:val="32"/>
          <w:highlight w:val="none"/>
          <w:lang w:val="en-US" w:eastAsia="zh-CN" w:bidi="ar-SA"/>
        </w:rPr>
        <w:t>公务用车购置及运行维护费支出决算与</w:t>
      </w:r>
      <w:r>
        <w:rPr>
          <w:rFonts w:hint="default" w:ascii="Times New Roman" w:hAnsi="Times New Roman" w:eastAsia="仿宋_GB2312" w:cs="Times New Roman"/>
          <w:sz w:val="32"/>
          <w:szCs w:val="32"/>
        </w:rPr>
        <w:t>上年度</w:t>
      </w:r>
      <w:r>
        <w:rPr>
          <w:rFonts w:hint="default" w:ascii="Times New Roman" w:hAnsi="Times New Roman" w:eastAsia="仿宋_GB2312" w:cs="Times New Roman"/>
          <w:b w:val="0"/>
          <w:bCs w:val="0"/>
          <w:color w:val="auto"/>
          <w:kern w:val="2"/>
          <w:sz w:val="32"/>
          <w:szCs w:val="32"/>
          <w:highlight w:val="none"/>
          <w:lang w:val="en-US" w:eastAsia="zh-CN" w:bidi="ar-SA"/>
        </w:rPr>
        <w:t>持平。主要原因单位无公务用车，2025未安排公务用车购置及运行维护费预算。</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其中：公务用车购置支出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万元。全年按规定更新购置公务用车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万元。截至2025年</w:t>
      </w:r>
      <w:r>
        <w:rPr>
          <w:rFonts w:hint="default" w:ascii="Times New Roman" w:hAnsi="Times New Roman" w:eastAsia="仿宋_GB2312" w:cs="Times New Roman"/>
          <w:sz w:val="32"/>
          <w:szCs w:val="32"/>
          <w:lang w:eastAsia="zh-CN"/>
        </w:rPr>
        <w:t>末</w:t>
      </w:r>
      <w:r>
        <w:rPr>
          <w:rFonts w:hint="default" w:ascii="Times New Roman" w:hAnsi="Times New Roman" w:eastAsia="仿宋_GB2312" w:cs="Times New Roman"/>
          <w:sz w:val="32"/>
          <w:szCs w:val="32"/>
        </w:rPr>
        <w:t>，单位共有公务用车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公务用车运行维护费支出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3.公务接待费支出</w:t>
      </w:r>
      <w:r>
        <w:rPr>
          <w:rFonts w:hint="default" w:ascii="Times New Roman" w:hAnsi="Times New Roman" w:eastAsia="仿宋_GB2312" w:cs="Times New Roman"/>
          <w:b/>
          <w:bCs/>
          <w:sz w:val="32"/>
          <w:szCs w:val="32"/>
          <w:lang w:val="en-US" w:eastAsia="zh-CN"/>
        </w:rPr>
        <w:t>0.24</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公务接待费</w:t>
      </w:r>
      <w:r>
        <w:rPr>
          <w:rFonts w:hint="default" w:ascii="Times New Roman" w:hAnsi="Times New Roman" w:eastAsia="仿宋_GB2312" w:cs="Times New Roman"/>
          <w:sz w:val="32"/>
          <w:szCs w:val="32"/>
          <w:lang w:eastAsia="zh-CN"/>
        </w:rPr>
        <w:t>支出</w:t>
      </w:r>
      <w:r>
        <w:rPr>
          <w:rFonts w:hint="default" w:ascii="Times New Roman" w:hAnsi="Times New Roman" w:eastAsia="仿宋_GB2312" w:cs="Times New Roman"/>
          <w:sz w:val="32"/>
          <w:szCs w:val="32"/>
        </w:rPr>
        <w:t>较上年度增加</w:t>
      </w:r>
      <w:r>
        <w:rPr>
          <w:rFonts w:hint="default" w:ascii="Times New Roman" w:hAnsi="Times New Roman" w:eastAsia="仿宋_GB2312" w:cs="Times New Roman"/>
          <w:sz w:val="32"/>
          <w:szCs w:val="32"/>
          <w:lang w:val="en-US" w:eastAsia="zh-CN"/>
        </w:rPr>
        <w:t>0.03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14.3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color w:val="auto"/>
          <w:kern w:val="2"/>
          <w:sz w:val="32"/>
          <w:szCs w:val="32"/>
          <w:highlight w:val="none"/>
          <w:lang w:val="en-US" w:eastAsia="zh-CN" w:bidi="ar-SA"/>
        </w:rPr>
        <w:t>本年度公务接待人次增多</w:t>
      </w:r>
      <w:r>
        <w:rPr>
          <w:rFonts w:hint="default" w:ascii="Times New Roman" w:hAnsi="Times New Roman" w:eastAsia="仿宋_GB2312" w:cs="Times New Roman"/>
          <w:sz w:val="32"/>
          <w:szCs w:val="32"/>
        </w:rPr>
        <w:t>。</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国内公务接待支出</w:t>
      </w:r>
      <w:r>
        <w:rPr>
          <w:rFonts w:hint="default" w:ascii="Times New Roman" w:hAnsi="Times New Roman" w:eastAsia="仿宋_GB2312" w:cs="Times New Roman"/>
          <w:sz w:val="32"/>
          <w:szCs w:val="32"/>
          <w:lang w:val="en-US" w:eastAsia="zh-CN"/>
        </w:rPr>
        <w:t>0.24</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color w:val="auto"/>
          <w:kern w:val="2"/>
          <w:sz w:val="32"/>
          <w:szCs w:val="32"/>
          <w:highlight w:val="none"/>
          <w:lang w:val="en-US" w:eastAsia="zh-CN" w:bidi="ar-SA"/>
        </w:rPr>
        <w:t>支付来攀考察团队用餐费</w:t>
      </w:r>
      <w:r>
        <w:rPr>
          <w:rFonts w:hint="default" w:ascii="Times New Roman" w:hAnsi="Times New Roman" w:eastAsia="仿宋_GB2312" w:cs="Times New Roman"/>
          <w:sz w:val="32"/>
          <w:szCs w:val="32"/>
        </w:rPr>
        <w:t>。国内公务接待</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0.24</w:t>
      </w:r>
      <w:r>
        <w:rPr>
          <w:rFonts w:hint="default" w:ascii="Times New Roman" w:hAnsi="Times New Roman" w:eastAsia="仿宋_GB2312" w:cs="Times New Roman"/>
          <w:sz w:val="32"/>
          <w:szCs w:val="32"/>
        </w:rPr>
        <w:t>万元，具体内容包括：</w:t>
      </w:r>
      <w:r>
        <w:rPr>
          <w:rFonts w:hint="default" w:ascii="Times New Roman" w:hAnsi="Times New Roman" w:eastAsia="仿宋_GB2312" w:cs="Times New Roman"/>
          <w:color w:val="auto"/>
          <w:kern w:val="2"/>
          <w:sz w:val="32"/>
          <w:szCs w:val="32"/>
          <w:highlight w:val="none"/>
          <w:lang w:val="en-US" w:eastAsia="zh-CN" w:bidi="ar-SA"/>
        </w:rPr>
        <w:t>支付2025年5月28日接待西昌市人力资源和社会保障局赴攀枝花市考察学习“直播带岗”招聘先进经验餐费1563元，支付2025年12月8日接待西南林业大学赴攀开展访企拓岗促就业活动餐费860元</w:t>
      </w:r>
      <w:r>
        <w:rPr>
          <w:rFonts w:hint="default" w:ascii="Times New Roman" w:hAnsi="Times New Roman" w:eastAsia="仿宋_GB2312" w:cs="Times New Roman"/>
          <w:sz w:val="32"/>
          <w:szCs w:val="32"/>
        </w:rPr>
        <w:t>。</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外事接待支出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万元，外事接待</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bookmarkStart w:id="40" w:name="_Toc15396610"/>
      <w:bookmarkStart w:id="41" w:name="_Toc15377218"/>
    </w:p>
    <w:p>
      <w:pPr>
        <w:spacing w:line="600" w:lineRule="exact"/>
        <w:ind w:firstLine="640"/>
        <w:outlineLvl w:val="1"/>
        <w:rPr>
          <w:rStyle w:val="29"/>
          <w:rFonts w:hint="default" w:ascii="Times New Roman" w:hAnsi="Times New Roman" w:eastAsia="黑体" w:cs="Times New Roman"/>
        </w:rPr>
      </w:pPr>
      <w:r>
        <w:rPr>
          <w:rFonts w:hint="default" w:ascii="Times New Roman" w:hAnsi="Times New Roman" w:eastAsia="黑体" w:cs="Times New Roman"/>
          <w:sz w:val="32"/>
          <w:szCs w:val="32"/>
        </w:rPr>
        <w:t>八、</w:t>
      </w:r>
      <w:r>
        <w:rPr>
          <w:rStyle w:val="29"/>
          <w:rFonts w:hint="default" w:ascii="Times New Roman" w:hAnsi="Times New Roman" w:eastAsia="黑体" w:cs="Times New Roman"/>
          <w:b w:val="0"/>
        </w:rPr>
        <w:t>政府性基金预算支出决算情况说明</w:t>
      </w:r>
      <w:bookmarkEnd w:id="40"/>
      <w:bookmarkEnd w:id="41"/>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2025年度政府性基金预算财政拨款支出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%。与上年度相比，</w:t>
      </w:r>
      <w:r>
        <w:rPr>
          <w:rFonts w:hint="default" w:ascii="Times New Roman" w:hAnsi="Times New Roman" w:eastAsia="仿宋_GB2312" w:cs="Times New Roman"/>
          <w:color w:val="auto"/>
          <w:kern w:val="2"/>
          <w:sz w:val="32"/>
          <w:szCs w:val="32"/>
          <w:highlight w:val="none"/>
          <w:lang w:val="en-US" w:eastAsia="zh-CN" w:bidi="ar-SA"/>
        </w:rPr>
        <w:t>政府性基金预算财政拨款支出与之持平</w:t>
      </w:r>
      <w:r>
        <w:rPr>
          <w:rFonts w:hint="default" w:ascii="Times New Roman" w:hAnsi="Times New Roman" w:eastAsia="仿宋_GB2312" w:cs="Times New Roman"/>
          <w:sz w:val="32"/>
          <w:szCs w:val="32"/>
        </w:rPr>
        <w:t>。</w:t>
      </w:r>
    </w:p>
    <w:p>
      <w:pPr>
        <w:spacing w:line="600" w:lineRule="exact"/>
        <w:ind w:left="630"/>
        <w:outlineLvl w:val="1"/>
        <w:rPr>
          <w:rStyle w:val="29"/>
          <w:rFonts w:hint="default" w:ascii="Times New Roman" w:hAnsi="Times New Roman" w:eastAsia="黑体" w:cs="Times New Roman"/>
          <w:b w:val="0"/>
        </w:rPr>
      </w:pPr>
      <w:bookmarkStart w:id="42" w:name="_Toc15396611"/>
      <w:bookmarkStart w:id="43" w:name="_Toc15377219"/>
      <w:r>
        <w:rPr>
          <w:rStyle w:val="29"/>
          <w:rFonts w:hint="default" w:ascii="Times New Roman" w:hAnsi="Times New Roman" w:eastAsia="黑体" w:cs="Times New Roman"/>
          <w:b w:val="0"/>
        </w:rPr>
        <w:t>九、国有资本经营预算支出决算情况说明</w:t>
      </w:r>
      <w:bookmarkEnd w:id="42"/>
      <w:bookmarkEnd w:id="43"/>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%。与上年度相比，国有资本经营预算财政拨款支出</w:t>
      </w:r>
      <w:r>
        <w:rPr>
          <w:rFonts w:hint="default" w:ascii="Times New Roman" w:hAnsi="Times New Roman" w:eastAsia="仿宋_GB2312" w:cs="Times New Roman"/>
          <w:color w:val="auto"/>
          <w:kern w:val="2"/>
          <w:sz w:val="32"/>
          <w:szCs w:val="32"/>
          <w:highlight w:val="none"/>
          <w:lang w:val="en-US" w:eastAsia="zh-CN" w:bidi="ar-SA"/>
        </w:rPr>
        <w:t>与之持平</w:t>
      </w:r>
      <w:r>
        <w:rPr>
          <w:rFonts w:hint="default" w:ascii="Times New Roman" w:hAnsi="Times New Roman" w:eastAsia="仿宋_GB2312" w:cs="Times New Roman"/>
          <w:sz w:val="32"/>
          <w:szCs w:val="32"/>
        </w:rPr>
        <w:t>。</w:t>
      </w:r>
    </w:p>
    <w:p>
      <w:pPr>
        <w:spacing w:line="600" w:lineRule="exact"/>
        <w:ind w:left="630"/>
        <w:outlineLvl w:val="1"/>
        <w:rPr>
          <w:rStyle w:val="29"/>
          <w:rFonts w:hint="default" w:ascii="Times New Roman" w:hAnsi="Times New Roman" w:eastAsia="黑体" w:cs="Times New Roman"/>
          <w:b w:val="0"/>
        </w:rPr>
      </w:pPr>
      <w:bookmarkStart w:id="44" w:name="_Toc15377221"/>
      <w:bookmarkStart w:id="45" w:name="_Toc15396612"/>
      <w:r>
        <w:rPr>
          <w:rStyle w:val="29"/>
          <w:rFonts w:hint="default" w:ascii="Times New Roman" w:hAnsi="Times New Roman" w:eastAsia="黑体" w:cs="Times New Roman"/>
          <w:b w:val="0"/>
        </w:rPr>
        <w:t>十、其他重要事项的情况说明</w:t>
      </w:r>
      <w:bookmarkEnd w:id="44"/>
      <w:bookmarkEnd w:id="45"/>
    </w:p>
    <w:p>
      <w:pPr>
        <w:spacing w:line="600" w:lineRule="exact"/>
        <w:ind w:firstLine="643" w:firstLineChars="200"/>
        <w:outlineLvl w:val="2"/>
        <w:rPr>
          <w:rFonts w:hint="default" w:ascii="Times New Roman" w:hAnsi="Times New Roman" w:eastAsia="楷体_GB2312" w:cs="Times New Roman"/>
          <w:b/>
          <w:sz w:val="32"/>
          <w:szCs w:val="32"/>
        </w:rPr>
      </w:pPr>
      <w:bookmarkStart w:id="46" w:name="_Toc15377222"/>
      <w:r>
        <w:rPr>
          <w:rFonts w:hint="default" w:ascii="Times New Roman" w:hAnsi="Times New Roman" w:eastAsia="楷体_GB2312" w:cs="Times New Roman"/>
          <w:b/>
          <w:sz w:val="32"/>
          <w:szCs w:val="32"/>
        </w:rPr>
        <w:t>（一）机关运行经费支出情况</w:t>
      </w:r>
      <w:bookmarkEnd w:id="46"/>
    </w:p>
    <w:p>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攀枝花市人才服务中心为事业单位，无机关运行经费。</w:t>
      </w:r>
    </w:p>
    <w:p>
      <w:pPr>
        <w:spacing w:line="600" w:lineRule="exact"/>
        <w:ind w:firstLine="643" w:firstLineChars="200"/>
        <w:outlineLvl w:val="2"/>
        <w:rPr>
          <w:rFonts w:hint="default" w:ascii="Times New Roman" w:hAnsi="Times New Roman" w:eastAsia="楷体_GB2312" w:cs="Times New Roman"/>
          <w:b/>
          <w:sz w:val="32"/>
          <w:szCs w:val="32"/>
        </w:rPr>
      </w:pPr>
      <w:bookmarkStart w:id="47" w:name="_Toc15377223"/>
      <w:r>
        <w:rPr>
          <w:rFonts w:hint="default" w:ascii="Times New Roman" w:hAnsi="Times New Roman" w:eastAsia="楷体_GB2312" w:cs="Times New Roman"/>
          <w:b/>
          <w:sz w:val="32"/>
          <w:szCs w:val="32"/>
        </w:rPr>
        <w:t>（二）政府采购支出情况</w:t>
      </w:r>
      <w:bookmarkEnd w:id="47"/>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w:t>
      </w:r>
      <w:r>
        <w:rPr>
          <w:rFonts w:hint="default" w:ascii="Times New Roman" w:hAnsi="Times New Roman" w:eastAsia="仿宋_GB2312" w:cs="Times New Roman"/>
          <w:color w:val="auto"/>
          <w:kern w:val="2"/>
          <w:sz w:val="32"/>
          <w:szCs w:val="32"/>
          <w:highlight w:val="none"/>
          <w:lang w:val="en-US" w:eastAsia="zh-CN" w:bidi="ar-SA"/>
        </w:rPr>
        <w:t>攀枝花市人才服务中心</w:t>
      </w:r>
      <w:r>
        <w:rPr>
          <w:rFonts w:hint="default" w:ascii="Times New Roman" w:hAnsi="Times New Roman" w:eastAsia="仿宋_GB2312" w:cs="Times New Roman"/>
          <w:sz w:val="32"/>
          <w:szCs w:val="32"/>
        </w:rPr>
        <w:t>政府采购支出总额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万元。授予中小企业合同金额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%，其中：授予小微企业合同金额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p>
    <w:p>
      <w:pPr>
        <w:spacing w:line="600" w:lineRule="exact"/>
        <w:ind w:firstLine="643" w:firstLineChars="200"/>
        <w:outlineLvl w:val="2"/>
        <w:rPr>
          <w:rFonts w:hint="default" w:ascii="Times New Roman" w:hAnsi="Times New Roman" w:eastAsia="楷体_GB2312" w:cs="Times New Roman"/>
          <w:b/>
          <w:sz w:val="32"/>
          <w:szCs w:val="32"/>
        </w:rPr>
      </w:pPr>
      <w:bookmarkStart w:id="48" w:name="_Toc15377224"/>
      <w:r>
        <w:rPr>
          <w:rFonts w:hint="default" w:ascii="Times New Roman" w:hAnsi="Times New Roman" w:eastAsia="楷体_GB2312" w:cs="Times New Roman"/>
          <w:b/>
          <w:sz w:val="32"/>
          <w:szCs w:val="32"/>
        </w:rPr>
        <w:t>（三）国有资产占有使用情况</w:t>
      </w:r>
      <w:bookmarkEnd w:id="48"/>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截至2025年</w:t>
      </w:r>
      <w:r>
        <w:rPr>
          <w:rFonts w:hint="eastAsia" w:ascii="Times New Roman" w:hAnsi="Times New Roman" w:eastAsia="仿宋_GB2312" w:cs="Times New Roman"/>
          <w:sz w:val="32"/>
          <w:szCs w:val="32"/>
          <w:lang w:eastAsia="zh-CN"/>
        </w:rPr>
        <w:t>年末</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kern w:val="2"/>
          <w:sz w:val="32"/>
          <w:szCs w:val="32"/>
          <w:highlight w:val="none"/>
          <w:lang w:val="en-US" w:eastAsia="zh-CN" w:bidi="ar-SA"/>
        </w:rPr>
        <w:t>攀枝花市人才服务中心</w:t>
      </w:r>
      <w:r>
        <w:rPr>
          <w:rFonts w:hint="default" w:ascii="Times New Roman" w:hAnsi="Times New Roman" w:eastAsia="仿宋_GB2312" w:cs="Times New Roman"/>
          <w:sz w:val="32"/>
          <w:szCs w:val="32"/>
        </w:rPr>
        <w:t>共有车辆</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辆，其中：副部（省）级及以上领导用车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辆、主要负责人用车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辆、执法执勤用车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辆、特种专业技术用车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辆、离退休干部服务用车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辆、其他用车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辆。单价100万元（含）以上设备（不含车辆）</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w:t>
      </w:r>
    </w:p>
    <w:p>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w:t>
      </w:r>
      <w:r>
        <w:rPr>
          <w:rFonts w:hint="default" w:ascii="Times New Roman" w:hAnsi="Times New Roman" w:eastAsia="仿宋_GB2312" w:cs="Times New Roman"/>
          <w:color w:val="auto"/>
          <w:kern w:val="2"/>
          <w:sz w:val="32"/>
          <w:szCs w:val="32"/>
          <w:highlight w:val="none"/>
          <w:lang w:val="en-US" w:eastAsia="zh-CN" w:bidi="ar-SA"/>
        </w:rPr>
        <w:t>攀枝花市人才服务中心</w:t>
      </w:r>
      <w:r>
        <w:rPr>
          <w:rFonts w:hint="default" w:ascii="Times New Roman" w:hAnsi="Times New Roman" w:eastAsia="仿宋_GB2312" w:cs="Times New Roman"/>
          <w:sz w:val="32"/>
          <w:szCs w:val="32"/>
        </w:rPr>
        <w:t>在2025年度，组织对</w:t>
      </w:r>
      <w:r>
        <w:rPr>
          <w:rFonts w:hint="default" w:ascii="Times New Roman" w:hAnsi="Times New Roman" w:eastAsia="仿宋_GB2312" w:cs="Times New Roman"/>
          <w:color w:val="auto"/>
          <w:kern w:val="2"/>
          <w:sz w:val="32"/>
          <w:szCs w:val="32"/>
          <w:highlight w:val="none"/>
          <w:lang w:val="en-US" w:eastAsia="zh-CN" w:bidi="ar-SA"/>
        </w:rPr>
        <w:t>档案管理费、就业创业补助、和人才专项经费（全市）3</w:t>
      </w:r>
      <w:r>
        <w:rPr>
          <w:rFonts w:hint="default" w:ascii="Times New Roman" w:hAnsi="Times New Roman" w:eastAsia="仿宋_GB2312" w:cs="Times New Roman"/>
          <w:sz w:val="32"/>
          <w:szCs w:val="32"/>
        </w:rPr>
        <w:t>个项目涉及金额</w:t>
      </w:r>
      <w:r>
        <w:rPr>
          <w:rFonts w:hint="default" w:ascii="Times New Roman" w:hAnsi="Times New Roman" w:eastAsia="仿宋_GB2312" w:cs="Times New Roman"/>
          <w:sz w:val="32"/>
          <w:szCs w:val="32"/>
          <w:lang w:val="en-US" w:eastAsia="zh-CN"/>
        </w:rPr>
        <w:t>193.75</w:t>
      </w:r>
      <w:r>
        <w:rPr>
          <w:rFonts w:hint="default" w:ascii="Times New Roman" w:hAnsi="Times New Roman" w:eastAsia="仿宋_GB2312" w:cs="Times New Roman"/>
          <w:sz w:val="32"/>
          <w:szCs w:val="32"/>
        </w:rPr>
        <w:t>万元开展了事前绩效评估，对</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个项目编制了绩效目标，预算执行过程中，选取</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个项目开展绩效监控。</w:t>
      </w:r>
    </w:p>
    <w:p>
      <w:pPr>
        <w:spacing w:line="600" w:lineRule="exact"/>
        <w:ind w:firstLine="640"/>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jc w:val="center"/>
        <w:outlineLvl w:val="0"/>
        <w:rPr>
          <w:rFonts w:hint="default" w:ascii="Times New Roman" w:hAnsi="Times New Roman" w:eastAsia="黑体" w:cs="Times New Roman"/>
          <w:sz w:val="44"/>
          <w:szCs w:val="44"/>
        </w:rPr>
      </w:pPr>
      <w:bookmarkStart w:id="49" w:name="_Toc15396613"/>
      <w:bookmarkStart w:id="50" w:name="_Toc15377225"/>
      <w:r>
        <w:rPr>
          <w:rFonts w:hint="default" w:ascii="Times New Roman" w:hAnsi="Times New Roman" w:eastAsia="黑体" w:cs="Times New Roman"/>
          <w:sz w:val="44"/>
          <w:szCs w:val="44"/>
        </w:rPr>
        <w:t>第三部分  名词解释</w:t>
      </w:r>
      <w:bookmarkEnd w:id="49"/>
      <w:bookmarkEnd w:id="50"/>
    </w:p>
    <w:p>
      <w:pPr>
        <w:spacing w:line="600" w:lineRule="exact"/>
        <w:jc w:val="left"/>
        <w:rPr>
          <w:rFonts w:hint="default" w:ascii="Times New Roman" w:hAnsi="Times New Roman" w:cs="Times New Roman"/>
          <w:b/>
          <w:sz w:val="44"/>
          <w:szCs w:val="44"/>
        </w:rPr>
      </w:pP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1.财政拨款收入：指单位从同级财政部门取得的财政预算资金。</w:t>
      </w:r>
    </w:p>
    <w:p>
      <w:pPr>
        <w:pStyle w:val="26"/>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.事业收入：指事业单位开展专业业务活动及辅助活动取得的收入。</w:t>
      </w:r>
    </w:p>
    <w:p>
      <w:pPr>
        <w:pStyle w:val="26"/>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.经营收入：指事业单位在专业业务活动及其辅助活动之外开展非独立核算经营活动取得的收入。</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lang w:val="en-US" w:eastAsia="zh-CN"/>
        </w:rPr>
        <w:t>4</w:t>
      </w:r>
      <w:r>
        <w:rPr>
          <w:rFonts w:hint="default" w:ascii="Times New Roman" w:hAnsi="Times New Roman" w:cs="Times New Roman"/>
          <w:color w:val="auto"/>
          <w:sz w:val="32"/>
          <w:szCs w:val="32"/>
        </w:rPr>
        <w:t>.其他收入：指单位取得的除上述收入以外的各项收入。主要是银行存款利息收入。</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.社会保障和就业（类）人力资源和社会保障管理事务（款）事业运行（项）:指反映事业单位的基本支出，不包括行政单位(包括实行公务员管理的事业单位)后勤服务中心、医务室等附属事业单位 。</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.社会保障和就业（类）人力资源和社会保障管理事务（款）其他人力资源和社会保障管理事务支出（项）: 指反映除上述项目以外其他</w:t>
      </w:r>
      <w:r>
        <w:rPr>
          <w:rFonts w:hint="default" w:ascii="Times New Roman" w:hAnsi="Times New Roman" w:eastAsia="仿宋" w:cs="Times New Roman"/>
          <w:sz w:val="32"/>
          <w:szCs w:val="32"/>
          <w:lang w:eastAsia="zh-CN"/>
        </w:rPr>
        <w:t>用于</w:t>
      </w:r>
      <w:r>
        <w:rPr>
          <w:rFonts w:hint="default" w:ascii="Times New Roman" w:hAnsi="Times New Roman" w:eastAsia="仿宋" w:cs="Times New Roman"/>
          <w:sz w:val="32"/>
          <w:szCs w:val="32"/>
        </w:rPr>
        <w:t>人力资源</w:t>
      </w:r>
      <w:r>
        <w:rPr>
          <w:rFonts w:hint="default" w:ascii="Times New Roman" w:hAnsi="Times New Roman" w:eastAsia="仿宋" w:cs="Times New Roman"/>
          <w:sz w:val="32"/>
          <w:szCs w:val="32"/>
          <w:lang w:eastAsia="zh-CN"/>
        </w:rPr>
        <w:t>和社会保障事务</w:t>
      </w:r>
      <w:r>
        <w:rPr>
          <w:rFonts w:hint="default" w:ascii="Times New Roman" w:hAnsi="Times New Roman" w:eastAsia="仿宋" w:cs="Times New Roman"/>
          <w:sz w:val="32"/>
          <w:szCs w:val="32"/>
        </w:rPr>
        <w:t>方面的支出。</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7</w:t>
      </w:r>
      <w:r>
        <w:rPr>
          <w:rFonts w:hint="default" w:ascii="Times New Roman" w:hAnsi="Times New Roman" w:eastAsia="仿宋" w:cs="Times New Roman"/>
          <w:sz w:val="32"/>
          <w:szCs w:val="32"/>
        </w:rPr>
        <w:t>.社会保障和就业（类）行政事业单位养老支出（款）事业单位离退休（项）: 指反映事业单位开支的离退休经费。</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8</w:t>
      </w:r>
      <w:r>
        <w:rPr>
          <w:rFonts w:hint="default" w:ascii="Times New Roman" w:hAnsi="Times New Roman" w:eastAsia="仿宋" w:cs="Times New Roman"/>
          <w:sz w:val="32"/>
          <w:szCs w:val="32"/>
        </w:rPr>
        <w:t xml:space="preserve">.社会保障和就业（类）行政事业单位养老支出（款）机关事业单位基本养老保险缴费支出（项）: </w:t>
      </w:r>
      <w:r>
        <w:rPr>
          <w:rFonts w:hint="default" w:ascii="Times New Roman" w:hAnsi="Times New Roman" w:eastAsia="仿宋" w:cs="Times New Roman"/>
          <w:color w:val="000000"/>
          <w:sz w:val="32"/>
          <w:szCs w:val="32"/>
        </w:rPr>
        <w:t>指反映机关事业单位实施养老保险制度由单位缴纳的基本养老保险费支出</w:t>
      </w:r>
      <w:r>
        <w:rPr>
          <w:rFonts w:hint="default" w:ascii="Times New Roman" w:hAnsi="Times New Roman" w:eastAsia="仿宋" w:cs="Times New Roman"/>
          <w:sz w:val="32"/>
          <w:szCs w:val="32"/>
        </w:rPr>
        <w:t>。</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9</w:t>
      </w:r>
      <w:r>
        <w:rPr>
          <w:rFonts w:hint="default" w:ascii="Times New Roman" w:hAnsi="Times New Roman" w:eastAsia="仿宋" w:cs="Times New Roman"/>
          <w:sz w:val="32"/>
          <w:szCs w:val="32"/>
        </w:rPr>
        <w:t xml:space="preserve">.社会保障和就业（类）就业补助（款）其他就业补助支出（项）: </w:t>
      </w:r>
      <w:r>
        <w:rPr>
          <w:rFonts w:hint="default" w:ascii="Times New Roman" w:hAnsi="Times New Roman" w:eastAsia="仿宋" w:cs="Times New Roman"/>
          <w:color w:val="000000"/>
          <w:sz w:val="32"/>
          <w:szCs w:val="32"/>
        </w:rPr>
        <w:t>指反映除上述项目以外按规定确定的其他用于促进就业的补助支出</w:t>
      </w:r>
      <w:r>
        <w:rPr>
          <w:rFonts w:hint="default" w:ascii="Times New Roman" w:hAnsi="Times New Roman" w:eastAsia="仿宋" w:cs="Times New Roman"/>
          <w:sz w:val="32"/>
          <w:szCs w:val="32"/>
        </w:rPr>
        <w:t>。</w:t>
      </w:r>
    </w:p>
    <w:p>
      <w:pPr>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10.卫生健康（类）行政事业单位医疗（款）事业单位医疗支出（项）:指反映财政部门安排的事业单位基本医疗保险缴费经费，未参加医疗保险的事业单位的公费医疗经费，按国家规定享受离休人员待遇的医疗经费。</w:t>
      </w:r>
    </w:p>
    <w:p>
      <w:pPr>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11.卫生健康（类）行政事业单位医疗（款）公务员医疗补助（项）:指反映财政部门安排的公务员医疗补助经费。</w:t>
      </w:r>
    </w:p>
    <w:p>
      <w:pPr>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12.卫生健康（类）行政事业单位医疗（款）其他行政事业单位医疗支出（项）:指反映除上述项目以外的其他用于行政事业单位医疗方面的支出。</w:t>
      </w:r>
    </w:p>
    <w:p>
      <w:pPr>
        <w:ind w:firstLine="640" w:firstLineChars="200"/>
        <w:rPr>
          <w:rFonts w:hint="default" w:ascii="Times New Roman" w:hAnsi="Times New Roman" w:eastAsia="仿宋" w:cs="Times New Roman"/>
          <w:color w:val="000000"/>
          <w:sz w:val="32"/>
          <w:szCs w:val="32"/>
        </w:rPr>
      </w:pPr>
      <w:r>
        <w:rPr>
          <w:rFonts w:hint="default" w:ascii="Times New Roman" w:hAnsi="Times New Roman" w:eastAsia="仿宋" w:cs="Times New Roman"/>
          <w:sz w:val="32"/>
          <w:szCs w:val="32"/>
          <w:lang w:val="en-US" w:eastAsia="zh-CN"/>
        </w:rPr>
        <w:t>13</w:t>
      </w:r>
      <w:r>
        <w:rPr>
          <w:rFonts w:hint="default" w:ascii="Times New Roman" w:hAnsi="Times New Roman" w:eastAsia="仿宋" w:cs="Times New Roman"/>
          <w:sz w:val="32"/>
          <w:szCs w:val="32"/>
        </w:rPr>
        <w:t>.住房保障支出（类）住房改革支出（款）住房公积金（项）:</w:t>
      </w:r>
      <w:r>
        <w:rPr>
          <w:rFonts w:hint="default" w:ascii="Times New Roman" w:hAnsi="Times New Roman" w:eastAsia="仿宋" w:cs="Times New Roman"/>
          <w:color w:val="000000"/>
          <w:sz w:val="32"/>
          <w:szCs w:val="32"/>
        </w:rPr>
        <w:t>指反映行政事业单位按人力资源和社会保障部、财政部规定的基本工资和津贴补贴以及规定比例为职工缴纳的住房公积金。</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14</w:t>
      </w:r>
      <w:r>
        <w:rPr>
          <w:rFonts w:hint="default" w:ascii="Times New Roman" w:hAnsi="Times New Roman" w:eastAsia="仿宋" w:cs="Times New Roman"/>
          <w:sz w:val="32"/>
          <w:szCs w:val="32"/>
        </w:rPr>
        <w:t>.基本支出：指为保障机构正常运转、完成日常工作任务而发生的人员支出和公用支出。</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 xml:space="preserve">.项目支出：指在基本支出之外为完成特定行政任务和事业发展目标所发生的支出。 </w:t>
      </w:r>
    </w:p>
    <w:p>
      <w:pPr>
        <w:pStyle w:val="26"/>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1</w:t>
      </w:r>
      <w:r>
        <w:rPr>
          <w:rFonts w:hint="default" w:ascii="Times New Roman" w:hAnsi="Times New Roman" w:cs="Times New Roman"/>
          <w:color w:val="auto"/>
          <w:sz w:val="32"/>
          <w:szCs w:val="32"/>
          <w:lang w:val="en-US" w:eastAsia="zh-CN"/>
        </w:rPr>
        <w:t>6</w:t>
      </w:r>
      <w:r>
        <w:rPr>
          <w:rFonts w:hint="default" w:ascii="Times New Roman" w:hAnsi="Times New Roman" w:cs="Times New Roman"/>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1</w:t>
      </w:r>
      <w:r>
        <w:rPr>
          <w:rFonts w:hint="default" w:ascii="Times New Roman" w:hAnsi="Times New Roman" w:cs="Times New Roman"/>
          <w:color w:val="auto"/>
          <w:sz w:val="32"/>
          <w:szCs w:val="32"/>
          <w:lang w:val="en-US" w:eastAsia="zh-CN"/>
        </w:rPr>
        <w:t>7</w:t>
      </w:r>
      <w:r>
        <w:rPr>
          <w:rFonts w:hint="default" w:ascii="Times New Roman" w:hAnsi="Times New Roman"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hint="default" w:ascii="Times New Roman" w:hAnsi="Times New Roman" w:eastAsia="黑体" w:cs="Times New Roman"/>
          <w:b w:val="0"/>
        </w:rPr>
      </w:pPr>
      <w:bookmarkStart w:id="51" w:name="_Toc15377226"/>
      <w:r>
        <w:rPr>
          <w:rFonts w:hint="default" w:ascii="Times New Roman" w:hAnsi="Times New Roman" w:eastAsia="仿宋_GB2312" w:cs="Times New Roman"/>
          <w:sz w:val="32"/>
          <w:szCs w:val="32"/>
        </w:rPr>
        <w:br w:type="page"/>
      </w:r>
      <w:bookmarkStart w:id="52" w:name="_Toc15396614"/>
      <w:r>
        <w:rPr>
          <w:rFonts w:hint="default" w:ascii="Times New Roman" w:hAnsi="Times New Roman" w:eastAsia="黑体" w:cs="Times New Roman"/>
          <w:sz w:val="44"/>
          <w:szCs w:val="44"/>
        </w:rPr>
        <w:t>第四部分  附件</w:t>
      </w:r>
      <w:bookmarkEnd w:id="52"/>
    </w:p>
    <w:p>
      <w:pPr>
        <w:pStyle w:val="13"/>
        <w:rPr>
          <w:rFonts w:hint="default" w:ascii="Times New Roman" w:hAnsi="Times New Roman" w:cs="Times New Roman"/>
        </w:rPr>
      </w:pPr>
    </w:p>
    <w:p>
      <w:pPr>
        <w:spacing w:line="572" w:lineRule="exact"/>
        <w:jc w:val="left"/>
        <w:outlineLvl w:val="0"/>
        <w:rPr>
          <w:rFonts w:hint="default" w:ascii="Times New Roman" w:hAnsi="Times New Roman" w:eastAsia="黑体" w:cs="Times New Roman"/>
          <w:sz w:val="44"/>
          <w:szCs w:val="44"/>
        </w:rPr>
      </w:pP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部门预算项目支出绩效自评表（202</w:t>
      </w:r>
      <w:r>
        <w:rPr>
          <w:rFonts w:hint="eastAsia" w:ascii="Times New Roman" w:cs="Times New Roman"/>
          <w:sz w:val="32"/>
          <w:szCs w:val="32"/>
          <w:highlight w:val="none"/>
          <w:lang w:val="en-US" w:eastAsia="zh-CN"/>
        </w:rPr>
        <w:t>5</w:t>
      </w:r>
      <w:r>
        <w:rPr>
          <w:rFonts w:hint="default" w:ascii="Times New Roman" w:hAnsi="Times New Roman" w:cs="Times New Roman"/>
          <w:sz w:val="32"/>
          <w:szCs w:val="32"/>
          <w:highlight w:val="none"/>
          <w:lang w:val="en-US" w:eastAsia="zh-CN"/>
        </w:rPr>
        <w:t>年度）见附件-攀枝花市人才服务中心部门预算项目支出绩效自评表。</w:t>
      </w:r>
    </w:p>
    <w:p>
      <w:pPr>
        <w:pStyle w:val="7"/>
        <w:spacing w:line="560" w:lineRule="exact"/>
        <w:ind w:left="0" w:leftChars="0" w:firstLine="0" w:firstLineChars="0"/>
        <w:rPr>
          <w:rFonts w:hint="default" w:ascii="Times New Roman" w:hAnsi="Times New Roman" w:eastAsia="仿宋_GB2312" w:cs="Times New Roman"/>
          <w:sz w:val="32"/>
          <w:lang w:val="zh-CN" w:bidi="ar"/>
        </w:rPr>
      </w:pPr>
    </w:p>
    <w:p>
      <w:pPr>
        <w:pStyle w:val="7"/>
        <w:spacing w:line="560" w:lineRule="exact"/>
        <w:ind w:left="0" w:leftChars="0" w:firstLine="0" w:firstLineChars="0"/>
        <w:rPr>
          <w:rFonts w:hint="default" w:ascii="Times New Roman" w:hAnsi="Times New Roman" w:cs="Times New Roman"/>
          <w:sz w:val="32"/>
          <w:highlight w:val="yellow"/>
          <w:lang w:val="zh-CN"/>
        </w:rPr>
      </w:pPr>
    </w:p>
    <w:p>
      <w:pPr>
        <w:pStyle w:val="2"/>
        <w:spacing w:before="93"/>
        <w:rPr>
          <w:rFonts w:hint="default" w:ascii="Times New Roman" w:hAnsi="Times New Roman" w:cs="Times New Roman"/>
          <w:color w:val="FF0000"/>
          <w:sz w:val="32"/>
          <w:szCs w:val="32"/>
          <w:highlight w:val="yellow"/>
          <w:shd w:val="clear" w:color="auto" w:fill="FFFFFF"/>
          <w:lang w:val="zh-CN"/>
        </w:rPr>
      </w:pPr>
    </w:p>
    <w:p>
      <w:pPr>
        <w:rPr>
          <w:rFonts w:hint="default" w:ascii="Times New Roman" w:hAnsi="Times New Roman" w:eastAsia="仿宋_GB2312" w:cs="Times New Roman"/>
          <w:kern w:val="0"/>
          <w:sz w:val="32"/>
          <w:szCs w:val="32"/>
        </w:rPr>
      </w:pPr>
      <w:r>
        <w:rPr>
          <w:rFonts w:hint="default" w:ascii="Times New Roman" w:hAnsi="Times New Roman" w:eastAsia="黑体" w:cs="Times New Roman"/>
          <w:kern w:val="0"/>
          <w:sz w:val="32"/>
          <w:szCs w:val="32"/>
          <w:shd w:val="clear" w:color="auto" w:fill="FFFFFF"/>
          <w:lang w:val="zh-CN"/>
        </w:rPr>
        <w:br w:type="page"/>
      </w:r>
      <w:bookmarkStart w:id="53" w:name="_Toc15396618"/>
    </w:p>
    <w:p>
      <w:pPr>
        <w:widowControl/>
        <w:jc w:val="center"/>
        <w:rPr>
          <w:rFonts w:hint="default" w:ascii="Times New Roman" w:hAnsi="Times New Roman" w:eastAsia="仿宋" w:cs="Times New Roman"/>
        </w:rPr>
      </w:pPr>
      <w:r>
        <w:rPr>
          <w:rFonts w:hint="default" w:ascii="Times New Roman" w:hAnsi="Times New Roman" w:eastAsia="黑体" w:cs="Times New Roman"/>
          <w:sz w:val="44"/>
          <w:szCs w:val="44"/>
        </w:rPr>
        <w:t>第</w:t>
      </w:r>
      <w:r>
        <w:rPr>
          <w:rStyle w:val="28"/>
          <w:rFonts w:hint="default" w:ascii="Times New Roman" w:hAnsi="Times New Roman" w:eastAsia="黑体" w:cs="Times New Roman"/>
          <w:b w:val="0"/>
        </w:rPr>
        <w:t>五部分 附表</w:t>
      </w:r>
      <w:bookmarkEnd w:id="51"/>
      <w:bookmarkEnd w:id="53"/>
      <w:bookmarkStart w:id="54" w:name="_Toc15396619"/>
    </w:p>
    <w:p>
      <w:pPr>
        <w:pStyle w:val="14"/>
        <w:adjustRightInd w:val="0"/>
        <w:snapToGrid w:val="0"/>
        <w:spacing w:line="560" w:lineRule="exact"/>
        <w:jc w:val="left"/>
        <w:rPr>
          <w:rFonts w:hint="default" w:ascii="Times New Roman" w:hAnsi="Times New Roman" w:eastAsia="仿宋_GB2312" w:cs="Times New Roman"/>
          <w:sz w:val="32"/>
          <w:szCs w:val="32"/>
        </w:rPr>
      </w:pPr>
    </w:p>
    <w:p>
      <w:pPr>
        <w:pStyle w:val="14"/>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54"/>
    </w:p>
    <w:p>
      <w:pPr>
        <w:pStyle w:val="14"/>
        <w:adjustRightInd w:val="0"/>
        <w:snapToGrid w:val="0"/>
        <w:spacing w:line="560" w:lineRule="exact"/>
        <w:jc w:val="left"/>
        <w:rPr>
          <w:rFonts w:hint="default" w:ascii="Times New Roman" w:hAnsi="Times New Roman" w:eastAsia="仿宋_GB2312" w:cs="Times New Roman"/>
          <w:sz w:val="32"/>
          <w:szCs w:val="32"/>
        </w:rPr>
      </w:pPr>
      <w:bookmarkStart w:id="55" w:name="_Toc15396620"/>
      <w:r>
        <w:rPr>
          <w:rFonts w:hint="default" w:ascii="Times New Roman" w:hAnsi="Times New Roman" w:eastAsia="仿宋_GB2312" w:cs="Times New Roman"/>
          <w:sz w:val="32"/>
          <w:szCs w:val="32"/>
        </w:rPr>
        <w:t>二、收入决算表</w:t>
      </w:r>
      <w:bookmarkEnd w:id="55"/>
    </w:p>
    <w:p>
      <w:pPr>
        <w:pStyle w:val="14"/>
        <w:adjustRightInd w:val="0"/>
        <w:snapToGrid w:val="0"/>
        <w:spacing w:line="560" w:lineRule="exact"/>
        <w:jc w:val="left"/>
        <w:rPr>
          <w:rFonts w:hint="default" w:ascii="Times New Roman" w:hAnsi="Times New Roman" w:eastAsia="仿宋_GB2312" w:cs="Times New Roman"/>
          <w:sz w:val="32"/>
          <w:szCs w:val="32"/>
        </w:rPr>
      </w:pPr>
      <w:bookmarkStart w:id="56" w:name="_Toc15396621"/>
      <w:r>
        <w:rPr>
          <w:rFonts w:hint="default" w:ascii="Times New Roman" w:hAnsi="Times New Roman" w:eastAsia="仿宋_GB2312" w:cs="Times New Roman"/>
          <w:sz w:val="32"/>
          <w:szCs w:val="32"/>
        </w:rPr>
        <w:t>三、支出决算表</w:t>
      </w:r>
      <w:bookmarkEnd w:id="56"/>
    </w:p>
    <w:p>
      <w:pPr>
        <w:pStyle w:val="14"/>
        <w:adjustRightInd w:val="0"/>
        <w:snapToGrid w:val="0"/>
        <w:spacing w:line="560" w:lineRule="exact"/>
        <w:jc w:val="left"/>
        <w:rPr>
          <w:rFonts w:hint="default" w:ascii="Times New Roman" w:hAnsi="Times New Roman" w:eastAsia="仿宋_GB2312" w:cs="Times New Roman"/>
          <w:sz w:val="32"/>
          <w:szCs w:val="32"/>
        </w:rPr>
      </w:pPr>
      <w:bookmarkStart w:id="57" w:name="_Toc15396622"/>
      <w:r>
        <w:rPr>
          <w:rFonts w:hint="default" w:ascii="Times New Roman" w:hAnsi="Times New Roman" w:eastAsia="仿宋_GB2312" w:cs="Times New Roman"/>
          <w:sz w:val="32"/>
          <w:szCs w:val="32"/>
        </w:rPr>
        <w:t>四、财政拨款收入支出决算总表</w:t>
      </w:r>
      <w:bookmarkEnd w:id="57"/>
    </w:p>
    <w:p>
      <w:pPr>
        <w:pStyle w:val="14"/>
        <w:adjustRightInd w:val="0"/>
        <w:snapToGrid w:val="0"/>
        <w:spacing w:line="560" w:lineRule="exact"/>
        <w:jc w:val="left"/>
        <w:rPr>
          <w:rFonts w:hint="default" w:ascii="Times New Roman" w:hAnsi="Times New Roman" w:eastAsia="仿宋_GB2312" w:cs="Times New Roman"/>
          <w:sz w:val="32"/>
          <w:szCs w:val="32"/>
        </w:rPr>
      </w:pPr>
      <w:bookmarkStart w:id="58" w:name="_Toc15396623"/>
      <w:r>
        <w:rPr>
          <w:rFonts w:hint="default" w:ascii="Times New Roman" w:hAnsi="Times New Roman" w:eastAsia="仿宋_GB2312" w:cs="Times New Roman"/>
          <w:sz w:val="32"/>
          <w:szCs w:val="32"/>
        </w:rPr>
        <w:t>五、财政拨款支出决算明细表</w:t>
      </w:r>
      <w:bookmarkEnd w:id="58"/>
      <w:bookmarkStart w:id="59" w:name="_Toc15396624"/>
    </w:p>
    <w:p>
      <w:pPr>
        <w:pStyle w:val="14"/>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59"/>
    </w:p>
    <w:p>
      <w:pPr>
        <w:pStyle w:val="14"/>
        <w:adjustRightInd w:val="0"/>
        <w:snapToGrid w:val="0"/>
        <w:spacing w:line="560" w:lineRule="exact"/>
        <w:jc w:val="left"/>
        <w:rPr>
          <w:rFonts w:hint="default" w:ascii="Times New Roman" w:hAnsi="Times New Roman" w:eastAsia="仿宋_GB2312" w:cs="Times New Roman"/>
          <w:sz w:val="32"/>
          <w:szCs w:val="32"/>
        </w:rPr>
      </w:pPr>
      <w:bookmarkStart w:id="60" w:name="_Toc15396625"/>
      <w:r>
        <w:rPr>
          <w:rFonts w:hint="default" w:ascii="Times New Roman" w:hAnsi="Times New Roman" w:eastAsia="仿宋_GB2312" w:cs="Times New Roman"/>
          <w:sz w:val="32"/>
          <w:szCs w:val="32"/>
        </w:rPr>
        <w:t>七、一般公共预算财政拨款支出决算明细表</w:t>
      </w:r>
      <w:bookmarkEnd w:id="60"/>
    </w:p>
    <w:p>
      <w:pPr>
        <w:pStyle w:val="14"/>
        <w:adjustRightInd w:val="0"/>
        <w:snapToGrid w:val="0"/>
        <w:spacing w:line="560" w:lineRule="exact"/>
        <w:jc w:val="left"/>
        <w:rPr>
          <w:rFonts w:hint="default" w:ascii="Times New Roman" w:hAnsi="Times New Roman" w:eastAsia="仿宋_GB2312" w:cs="Times New Roman"/>
          <w:sz w:val="32"/>
          <w:szCs w:val="32"/>
        </w:rPr>
      </w:pPr>
      <w:bookmarkStart w:id="61" w:name="_Toc15396626"/>
      <w:r>
        <w:rPr>
          <w:rFonts w:hint="default" w:ascii="Times New Roman" w:hAnsi="Times New Roman" w:eastAsia="仿宋_GB2312" w:cs="Times New Roman"/>
          <w:sz w:val="32"/>
          <w:szCs w:val="32"/>
        </w:rPr>
        <w:t>八、一般公共预算财政拨款基本支出决算表</w:t>
      </w:r>
      <w:bookmarkEnd w:id="61"/>
    </w:p>
    <w:p>
      <w:pPr>
        <w:pStyle w:val="14"/>
        <w:adjustRightInd w:val="0"/>
        <w:snapToGrid w:val="0"/>
        <w:spacing w:line="560" w:lineRule="exact"/>
        <w:jc w:val="left"/>
        <w:rPr>
          <w:rFonts w:hint="default" w:ascii="Times New Roman" w:hAnsi="Times New Roman" w:eastAsia="仿宋_GB2312" w:cs="Times New Roman"/>
          <w:sz w:val="32"/>
          <w:szCs w:val="32"/>
        </w:rPr>
      </w:pPr>
      <w:bookmarkStart w:id="62" w:name="_Toc15396627"/>
      <w:r>
        <w:rPr>
          <w:rFonts w:hint="default" w:ascii="Times New Roman" w:hAnsi="Times New Roman" w:eastAsia="仿宋_GB2312" w:cs="Times New Roman"/>
          <w:sz w:val="32"/>
          <w:szCs w:val="32"/>
        </w:rPr>
        <w:t>九、一般公共预算财政拨款项目支出决算表</w:t>
      </w:r>
      <w:bookmarkEnd w:id="62"/>
    </w:p>
    <w:p>
      <w:pPr>
        <w:pStyle w:val="14"/>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十、政府性基金预算财政拨款收入支出决算表（此表无数据）</w:t>
      </w:r>
    </w:p>
    <w:p>
      <w:pPr>
        <w:pStyle w:val="14"/>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十一、国有资本经营预算财政拨款收入支出决算表（此表无数据）</w:t>
      </w:r>
    </w:p>
    <w:p>
      <w:pPr>
        <w:pStyle w:val="14"/>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十二、国有资本经营预算财政拨款支出决算表（此表无数据）</w:t>
      </w:r>
    </w:p>
    <w:p>
      <w:pPr>
        <w:pStyle w:val="14"/>
        <w:adjustRightInd w:val="0"/>
        <w:snapToGrid w:val="0"/>
        <w:spacing w:line="560" w:lineRule="exact"/>
        <w:jc w:val="left"/>
        <w:rPr>
          <w:rFonts w:hint="default" w:ascii="Times New Roman" w:hAnsi="Times New Roman" w:eastAsia="仿宋_GB2312" w:cs="Times New Roman"/>
          <w:sz w:val="32"/>
          <w:szCs w:val="32"/>
        </w:rPr>
      </w:pPr>
      <w:bookmarkStart w:id="63" w:name="_Toc15396631"/>
      <w:r>
        <w:rPr>
          <w:rFonts w:hint="default" w:ascii="Times New Roman" w:hAnsi="Times New Roman" w:eastAsia="仿宋_GB2312" w:cs="Times New Roman"/>
          <w:sz w:val="32"/>
          <w:szCs w:val="32"/>
        </w:rPr>
        <w:t>十三、</w:t>
      </w:r>
      <w:bookmarkEnd w:id="63"/>
      <w:r>
        <w:rPr>
          <w:rFonts w:hint="default" w:ascii="Times New Roman" w:hAnsi="Times New Roman" w:eastAsia="仿宋_GB2312" w:cs="Times New Roman"/>
          <w:sz w:val="32"/>
          <w:szCs w:val="32"/>
        </w:rPr>
        <w:t>财政拨款“三公”经费支出决算表</w:t>
      </w:r>
    </w:p>
    <w:p>
      <w:pPr>
        <w:rPr>
          <w:rFonts w:hint="default" w:ascii="Times New Roman" w:hAnsi="Times New Roman" w:cs="Times New Roma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1"/>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09A21"/>
    <w:multiLevelType w:val="singleLevel"/>
    <w:tmpl w:val="E8D09A2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865199"/>
    <w:rsid w:val="0DE07E2B"/>
    <w:rsid w:val="0F98263C"/>
    <w:rsid w:val="101860EC"/>
    <w:rsid w:val="10C055FF"/>
    <w:rsid w:val="11772AA4"/>
    <w:rsid w:val="118107EC"/>
    <w:rsid w:val="120935E8"/>
    <w:rsid w:val="13D50BC4"/>
    <w:rsid w:val="14022904"/>
    <w:rsid w:val="152F2A07"/>
    <w:rsid w:val="165E0673"/>
    <w:rsid w:val="16BB723D"/>
    <w:rsid w:val="16FD7DF0"/>
    <w:rsid w:val="186504BB"/>
    <w:rsid w:val="1938089F"/>
    <w:rsid w:val="19A445FC"/>
    <w:rsid w:val="1B7D550C"/>
    <w:rsid w:val="1BE8440E"/>
    <w:rsid w:val="1D155CEE"/>
    <w:rsid w:val="1E740ACF"/>
    <w:rsid w:val="1FF35744"/>
    <w:rsid w:val="1FF6BC77"/>
    <w:rsid w:val="21962A9E"/>
    <w:rsid w:val="21AE7C77"/>
    <w:rsid w:val="22BC3C41"/>
    <w:rsid w:val="23860B96"/>
    <w:rsid w:val="240371BF"/>
    <w:rsid w:val="24396437"/>
    <w:rsid w:val="259E3040"/>
    <w:rsid w:val="260F557C"/>
    <w:rsid w:val="26C12C45"/>
    <w:rsid w:val="281408E2"/>
    <w:rsid w:val="29FD04D3"/>
    <w:rsid w:val="2ADC2444"/>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37A89"/>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EEB3A82"/>
    <w:rsid w:val="3FF4CAE0"/>
    <w:rsid w:val="3FF7B227"/>
    <w:rsid w:val="407B065F"/>
    <w:rsid w:val="40E54C45"/>
    <w:rsid w:val="430C1A8D"/>
    <w:rsid w:val="43A407DF"/>
    <w:rsid w:val="44515BEA"/>
    <w:rsid w:val="44E11D30"/>
    <w:rsid w:val="44E268DA"/>
    <w:rsid w:val="453F7E5B"/>
    <w:rsid w:val="467D1B09"/>
    <w:rsid w:val="478A3157"/>
    <w:rsid w:val="486A6C7A"/>
    <w:rsid w:val="487658F0"/>
    <w:rsid w:val="49176D9B"/>
    <w:rsid w:val="4A627F82"/>
    <w:rsid w:val="4B0E749A"/>
    <w:rsid w:val="4B4F25DA"/>
    <w:rsid w:val="4BDA0CFB"/>
    <w:rsid w:val="4BE068DB"/>
    <w:rsid w:val="4D3C0CCC"/>
    <w:rsid w:val="4D577224"/>
    <w:rsid w:val="4DBF1CEB"/>
    <w:rsid w:val="4EAB630A"/>
    <w:rsid w:val="4ECE2238"/>
    <w:rsid w:val="4F833267"/>
    <w:rsid w:val="4FE9BD67"/>
    <w:rsid w:val="4FFB052F"/>
    <w:rsid w:val="50252412"/>
    <w:rsid w:val="53083A92"/>
    <w:rsid w:val="537E6D0A"/>
    <w:rsid w:val="53AF27A2"/>
    <w:rsid w:val="53F74C96"/>
    <w:rsid w:val="54BE2A37"/>
    <w:rsid w:val="56E47B74"/>
    <w:rsid w:val="57BD3DD4"/>
    <w:rsid w:val="5AF92295"/>
    <w:rsid w:val="5BDD79E6"/>
    <w:rsid w:val="5BF561CA"/>
    <w:rsid w:val="5BFF5DFC"/>
    <w:rsid w:val="5CD71FC4"/>
    <w:rsid w:val="5D1F11B5"/>
    <w:rsid w:val="5DAE1B18"/>
    <w:rsid w:val="5DE7D9E5"/>
    <w:rsid w:val="5ECEC941"/>
    <w:rsid w:val="5F493CB7"/>
    <w:rsid w:val="5F867B30"/>
    <w:rsid w:val="5FBF9FF3"/>
    <w:rsid w:val="5FCD4E2C"/>
    <w:rsid w:val="5FD15F49"/>
    <w:rsid w:val="5FEF394A"/>
    <w:rsid w:val="5FF67715"/>
    <w:rsid w:val="61FB6662"/>
    <w:rsid w:val="62BF3928"/>
    <w:rsid w:val="647F5392"/>
    <w:rsid w:val="664B1D71"/>
    <w:rsid w:val="677347AD"/>
    <w:rsid w:val="67AA3209"/>
    <w:rsid w:val="67AA6136"/>
    <w:rsid w:val="67E62EAE"/>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2815989"/>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014CF"/>
    <w:rsid w:val="778769C8"/>
    <w:rsid w:val="77DC22F5"/>
    <w:rsid w:val="79086DAD"/>
    <w:rsid w:val="79974F09"/>
    <w:rsid w:val="79D7FD79"/>
    <w:rsid w:val="79EE5BA4"/>
    <w:rsid w:val="7A894339"/>
    <w:rsid w:val="7AFF7572"/>
    <w:rsid w:val="7B6C7DFB"/>
    <w:rsid w:val="7BBFBED0"/>
    <w:rsid w:val="7BC3E394"/>
    <w:rsid w:val="7C1F3737"/>
    <w:rsid w:val="7CBFC87B"/>
    <w:rsid w:val="7CF109DE"/>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2025&#24180;&#20915;&#31639;&#20844;&#24320;\&#22235;&#24029;&#30465;&#25856;&#26525;&#33457;&#24066;&#20154;&#25165;&#26381;&#21153;&#20013;&#24515;&#33609;&#31295;2025.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2025&#24180;&#20915;&#31639;&#20844;&#24320;\&#22235;&#24029;&#30465;&#25856;&#26525;&#33457;&#24066;&#20154;&#25165;&#26381;&#21153;&#20013;&#24515;&#33609;&#31295;2025.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2025&#24180;&#20915;&#31639;&#20844;&#24320;\&#22235;&#24029;&#30465;&#25856;&#26525;&#33457;&#24066;&#20154;&#25165;&#26381;&#21153;&#20013;&#24515;&#33609;&#31295;2025.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2025&#24180;&#20915;&#31639;&#20844;&#24320;\&#22235;&#24029;&#30465;&#25856;&#26525;&#33457;&#24066;&#20154;&#25165;&#26381;&#21153;&#20013;&#24515;&#33609;&#31295;2025.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esktop\2025&#24180;&#20915;&#31639;&#20844;&#24320;\&#22235;&#24029;&#30465;&#25856;&#26525;&#33457;&#24066;&#20154;&#25165;&#26381;&#21153;&#20013;&#24515;&#33609;&#31295;202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esktop\2025&#24180;&#20915;&#31639;&#20844;&#24320;\&#22235;&#24029;&#30465;&#25856;&#26525;&#33457;&#24066;&#20154;&#25165;&#26381;&#21153;&#20013;&#24515;&#33609;&#31295;2025.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esktop\2025&#24180;&#20915;&#31639;&#20844;&#24320;\&#22235;&#24029;&#30465;&#25856;&#26525;&#33457;&#24066;&#20154;&#25165;&#26381;&#21153;&#20013;&#24515;&#33609;&#31295;202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31739961759082"/>
          <c:y val="0.0657650912430919"/>
          <c:w val="0.903683875079669"/>
          <c:h val="0.837855327016409"/>
        </c:manualLayout>
      </c:layout>
      <c:barChart>
        <c:barDir val="col"/>
        <c:grouping val="clustered"/>
        <c:varyColors val="0"/>
        <c:ser>
          <c:idx val="0"/>
          <c:order val="0"/>
          <c:spPr>
            <a:solidFill>
              <a:srgbClr val="5B9BD5">
                <a:alpha val="100000"/>
              </a:srgbClr>
            </a:solidFill>
            <a:ln w="3175">
              <a:noFill/>
            </a:ln>
          </c:spPr>
          <c:invertIfNegative val="0"/>
          <c:dLbls>
            <c:numFmt formatCode="General" sourceLinked="1"/>
            <c:spPr>
              <a:noFill/>
              <a:ln w="3175">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33333">
                        <a:alpha val="100000"/>
                      </a:srgbClr>
                    </a:solidFill>
                    <a:latin typeface="等线" charset="-122"/>
                    <a:ea typeface="等线" charset="-122"/>
                    <a:cs typeface="等线"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'[四川省攀枝花市人才服务中心草稿2025.xls]Z01 收入支出决算总表(财决公开1表)'!$M$11:$M$14</c:f>
              <c:strCache>
                <c:ptCount val="4"/>
                <c:pt idx="0">
                  <c:v>2024年收入</c:v>
                </c:pt>
                <c:pt idx="1">
                  <c:v>2025年收入</c:v>
                </c:pt>
                <c:pt idx="2">
                  <c:v>2024年支出</c:v>
                </c:pt>
                <c:pt idx="3">
                  <c:v>2025年支出</c:v>
                </c:pt>
              </c:strCache>
            </c:strRef>
          </c:cat>
          <c:val>
            <c:numRef>
              <c:f>'[四川省攀枝花市人才服务中心草稿2025.xls]Z01 收入支出决算总表(财决公开1表)'!$N$11:$N$14</c:f>
              <c:numCache>
                <c:formatCode>General</c:formatCode>
                <c:ptCount val="4"/>
                <c:pt idx="0">
                  <c:v>586.86</c:v>
                </c:pt>
                <c:pt idx="1">
                  <c:v>597.88</c:v>
                </c:pt>
                <c:pt idx="2">
                  <c:v>586.86</c:v>
                </c:pt>
                <c:pt idx="3">
                  <c:v>597.88</c:v>
                </c:pt>
              </c:numCache>
            </c:numRef>
          </c:val>
        </c:ser>
        <c:dLbls>
          <c:showLegendKey val="0"/>
          <c:showVal val="0"/>
          <c:showCatName val="0"/>
          <c:showSerName val="0"/>
          <c:showPercent val="0"/>
          <c:showBubbleSize val="0"/>
        </c:dLbls>
        <c:gapWidth val="219"/>
        <c:overlap val="-27"/>
        <c:axId val="884096476"/>
        <c:axId val="280023985"/>
      </c:barChart>
      <c:catAx>
        <c:axId val="88409647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alpha val="100000"/>
                  </a:srgbClr>
                </a:solidFill>
                <a:latin typeface="等线" charset="-122"/>
                <a:ea typeface="等线" charset="-122"/>
                <a:cs typeface="等线" charset="-122"/>
              </a:defRPr>
            </a:pPr>
          </a:p>
        </c:txPr>
        <c:crossAx val="280023985"/>
        <c:crosses val="autoZero"/>
        <c:auto val="1"/>
        <c:lblAlgn val="ctr"/>
        <c:lblOffset val="100"/>
        <c:noMultiLvlLbl val="0"/>
      </c:catAx>
      <c:valAx>
        <c:axId val="280023985"/>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solid"/>
            <a:round/>
          </a:ln>
        </c:spPr>
        <c:txPr>
          <a:bodyPr rot="0" spcFirstLastPara="0" vertOverflow="ellipsis" vert="horz" wrap="square" anchor="ctr" anchorCtr="1"/>
          <a:lstStyle/>
          <a:p>
            <a:pPr>
              <a:defRPr lang="zh-CN" sz="900" b="0" i="0" u="none" strike="noStrike" kern="1200" baseline="0">
                <a:solidFill>
                  <a:srgbClr val="333333">
                    <a:alpha val="100000"/>
                  </a:srgbClr>
                </a:solidFill>
                <a:latin typeface="等线" charset="-122"/>
                <a:ea typeface="等线" charset="-122"/>
                <a:cs typeface="等线" charset="-122"/>
              </a:defRPr>
            </a:pPr>
          </a:p>
        </c:txPr>
        <c:crossAx val="884096476"/>
        <c:crosses val="autoZero"/>
        <c:crossBetween val="between"/>
      </c:valAx>
      <c:spPr>
        <a:noFill/>
        <a:ln w="3175">
          <a:noFill/>
        </a:ln>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1000" b="0" i="0" u="none" strike="noStrike" baseline="0">
          <a:solidFill>
            <a:srgbClr val="000000">
              <a:alpha val="100000"/>
            </a:srgbClr>
          </a:solidFill>
          <a:latin typeface="等线" charset="-122"/>
          <a:ea typeface="等线" charset="-122"/>
          <a:cs typeface="等线"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w="12700" cmpd="sng">
              <a:solidFill>
                <a:schemeClr val="accent2"/>
              </a:solidFill>
              <a:prstDash val="solid"/>
            </a:ln>
            <a:sp3d contourW="12700"/>
          </c:spPr>
          <c:explosion val="0"/>
          <c:dPt>
            <c:idx val="0"/>
            <c:bubble3D val="0"/>
            <c:explosion val="0"/>
            <c:spPr>
              <a:solidFill>
                <a:srgbClr val="5B9BD5">
                  <a:alpha val="100000"/>
                </a:srgbClr>
              </a:solidFill>
              <a:ln w="12700" cmpd="sng">
                <a:solidFill>
                  <a:schemeClr val="accent2"/>
                </a:solidFill>
                <a:prstDash val="solid"/>
              </a:ln>
              <a:sp3d contourW="12700"/>
            </c:spPr>
          </c:dPt>
          <c:dPt>
            <c:idx val="1"/>
            <c:bubble3D val="0"/>
            <c:explosion val="0"/>
            <c:spPr>
              <a:solidFill>
                <a:srgbClr val="ED7D31">
                  <a:alpha val="100000"/>
                </a:srgbClr>
              </a:solidFill>
              <a:ln w="12700" cmpd="sng">
                <a:solidFill>
                  <a:schemeClr val="accent2"/>
                </a:solidFill>
                <a:prstDash val="solid"/>
              </a:ln>
              <a:sp3d contourW="12700"/>
            </c:spPr>
          </c:dPt>
          <c:dLbls>
            <c:dLbl>
              <c:idx val="1"/>
              <c:layout>
                <c:manualLayout>
                  <c:x val="-0.0550103783469807"/>
                  <c:y val="0.048801808348689"/>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33333">
                          <a:alpha val="100000"/>
                        </a:srgbClr>
                      </a:solidFill>
                      <a:latin typeface="等线" charset="-122"/>
                      <a:ea typeface="等线" charset="-122"/>
                      <a:cs typeface="等线" charset="-122"/>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33333">
                        <a:alpha val="100000"/>
                      </a:srgbClr>
                    </a:solidFill>
                    <a:latin typeface="等线" charset="-122"/>
                    <a:ea typeface="等线" charset="-122"/>
                    <a:cs typeface="等线"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'[四川省攀枝花市人才服务中心草稿2025.xls]Z01 收入支出决算总表(财决公开1表)'!$K$33:$K$34</c:f>
              <c:strCache>
                <c:ptCount val="2"/>
                <c:pt idx="0">
                  <c:v>一般公共预算财政拨款收入</c:v>
                </c:pt>
              </c:strCache>
            </c:strRef>
          </c:cat>
          <c:val>
            <c:numRef>
              <c:f>'[四川省攀枝花市人才服务中心草稿2025.xls]Z01 收入支出决算总表(财决公开1表)'!$L$33:$L$34</c:f>
              <c:numCache>
                <c:formatCode>General</c:formatCode>
                <c:ptCount val="2"/>
                <c:pt idx="0">
                  <c:v>597.88</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b"/>
      <c:legendEntry>
        <c:idx val="1"/>
        <c:delete val="1"/>
      </c:legendEntry>
      <c:layout>
        <c:manualLayout>
          <c:xMode val="edge"/>
          <c:yMode val="edge"/>
          <c:x val="0.323888888888889"/>
          <c:y val="0.90533212833258"/>
          <c:w val="0.314027777777778"/>
          <c:h val="0.0675553547220967"/>
        </c:manualLayout>
      </c:layout>
      <c:overlay val="0"/>
      <c:spPr>
        <a:noFill/>
        <a:ln w="3175">
          <a:noFill/>
        </a:ln>
      </c:spPr>
      <c:txPr>
        <a:bodyPr rot="0" spcFirstLastPara="0" vertOverflow="ellipsis" vert="horz" wrap="square" anchor="ctr" anchorCtr="1"/>
        <a:lstStyle/>
        <a:p>
          <a:pPr>
            <a:defRPr lang="zh-CN" sz="825" b="0" i="0" u="none" strike="noStrike" kern="1200" baseline="0">
              <a:solidFill>
                <a:srgbClr val="333333"/>
              </a:solidFill>
              <a:latin typeface="等线"/>
              <a:ea typeface="等线"/>
              <a:cs typeface="等线"/>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900" b="0" i="0" u="none" strike="noStrike" baseline="0">
          <a:solidFill>
            <a:srgbClr val="000000">
              <a:alpha val="100000"/>
            </a:srgbClr>
          </a:solidFill>
          <a:latin typeface="等线" charset="-122"/>
          <a:ea typeface="等线" charset="-122"/>
          <a:cs typeface="等线"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multiLvlStrRef>
              <c:f>'[四川省攀枝花市人才服务中心草稿2025.xls]Z03 支出决算表(财决公开03表)'!$O$13:$P$14</c:f>
              <c:multiLvlStrCache>
                <c:ptCount val="2"/>
                <c:lvl>
                  <c:pt idx="0" c:formatCode="0.00_);[Red]\(0.00\)">
                    <c:v>404.13</c:v>
                  </c:pt>
                  <c:pt idx="1" c:formatCode="0.00_);[Red]\(0.00\)">
                    <c:v>193.75</c:v>
                  </c:pt>
                </c:lvl>
                <c:lvl>
                  <c:pt idx="0">
                    <c:v>基本支出</c:v>
                  </c:pt>
                  <c:pt idx="1">
                    <c:v>项目支出</c:v>
                  </c:pt>
                </c:lvl>
              </c:multiLvlStrCache>
            </c:multiLvlStrRef>
          </c:cat>
          <c:val>
            <c:numRef>
              <c:f>'[四川省攀枝花市人才服务中心草稿2025.xls]Z03 支出决算表(财决公开03表)'!$O$15:$P$15</c:f>
              <c:numCache>
                <c:formatCode>0.00%</c:formatCode>
                <c:ptCount val="2"/>
                <c:pt idx="0">
                  <c:v>0.675938315381013</c:v>
                </c:pt>
                <c:pt idx="1">
                  <c:v>0.324061684618987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'[四川省攀枝花市人才服务中心草稿2025.xls]Z04 财政拨款收入支出决算总表(财决公开04表)'!$M$26:$M$29</c:f>
              <c:strCache>
                <c:ptCount val="4"/>
                <c:pt idx="0">
                  <c:v>2024年财政拨款收入</c:v>
                </c:pt>
                <c:pt idx="1">
                  <c:v>2025年财政拨款收入</c:v>
                </c:pt>
                <c:pt idx="2">
                  <c:v>2024年财政拨款支出</c:v>
                </c:pt>
                <c:pt idx="3">
                  <c:v>2025年财政拨款支出</c:v>
                </c:pt>
              </c:strCache>
            </c:strRef>
          </c:cat>
          <c:val>
            <c:numRef>
              <c:f>'[四川省攀枝花市人才服务中心草稿2025.xls]Z04 财政拨款收入支出决算总表(财决公开04表)'!$N$26:$N$29</c:f>
              <c:numCache>
                <c:formatCode>General</c:formatCode>
                <c:ptCount val="4"/>
                <c:pt idx="0">
                  <c:v>586.86</c:v>
                </c:pt>
                <c:pt idx="1">
                  <c:v>597.88</c:v>
                </c:pt>
                <c:pt idx="2">
                  <c:v>586.86</c:v>
                </c:pt>
                <c:pt idx="3">
                  <c:v>597.88</c:v>
                </c:pt>
              </c:numCache>
            </c:numRef>
          </c:val>
        </c:ser>
        <c:dLbls>
          <c:showLegendKey val="0"/>
          <c:showVal val="0"/>
          <c:showCatName val="0"/>
          <c:showSerName val="0"/>
          <c:showPercent val="0"/>
          <c:showBubbleSize val="0"/>
        </c:dLbls>
        <c:gapWidth val="219"/>
        <c:overlap val="-27"/>
        <c:axId val="571800034"/>
        <c:axId val="183591563"/>
      </c:barChart>
      <c:catAx>
        <c:axId val="57180003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3591563"/>
        <c:crosses val="autoZero"/>
        <c:auto val="1"/>
        <c:lblAlgn val="ctr"/>
        <c:lblOffset val="100"/>
        <c:noMultiLvlLbl val="0"/>
      </c:catAx>
      <c:valAx>
        <c:axId val="18359156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180003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638888888889"/>
          <c:y val="0.0671296296296296"/>
          <c:w val="0.863111111111111"/>
          <c:h val="0.83712962962963"/>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'[四川省攀枝花市人才服务中心草稿2025.xls]Z05 财政拨款支出决算明细表(财决公开05表)'!$R$23:$R$24</c:f>
              <c:strCache>
                <c:ptCount val="2"/>
                <c:pt idx="0">
                  <c:v>2024年一般公共预算财政拨款支出</c:v>
                </c:pt>
                <c:pt idx="1">
                  <c:v>2025年一般公共预算财政拨款支出</c:v>
                </c:pt>
              </c:strCache>
            </c:strRef>
          </c:cat>
          <c:val>
            <c:numRef>
              <c:f>'[四川省攀枝花市人才服务中心草稿2025.xls]Z05 财政拨款支出决算明细表(财决公开05表)'!$S$23:$S$24</c:f>
              <c:numCache>
                <c:formatCode>General</c:formatCode>
                <c:ptCount val="2"/>
                <c:pt idx="0">
                  <c:v>586.86</c:v>
                </c:pt>
                <c:pt idx="1">
                  <c:v>597.88</c:v>
                </c:pt>
              </c:numCache>
            </c:numRef>
          </c:val>
        </c:ser>
        <c:dLbls>
          <c:showLegendKey val="0"/>
          <c:showVal val="0"/>
          <c:showCatName val="0"/>
          <c:showSerName val="0"/>
          <c:showPercent val="0"/>
          <c:showBubbleSize val="0"/>
        </c:dLbls>
        <c:gapWidth val="219"/>
        <c:overlap val="-27"/>
        <c:axId val="549962781"/>
        <c:axId val="555841898"/>
      </c:barChart>
      <c:catAx>
        <c:axId val="54996278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841898"/>
        <c:crosses val="autoZero"/>
        <c:auto val="1"/>
        <c:lblAlgn val="ctr"/>
        <c:lblOffset val="100"/>
        <c:noMultiLvlLbl val="0"/>
      </c:catAx>
      <c:valAx>
        <c:axId val="55584189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9627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w="19050">
              <a:noFill/>
            </a:ln>
          </c:spPr>
          <c:explosion val="0"/>
          <c:dPt>
            <c:idx val="0"/>
            <c:bubble3D val="0"/>
            <c:explosion val="0"/>
            <c:spPr>
              <a:solidFill>
                <a:schemeClr val="accent1"/>
              </a:solidFill>
              <a:ln w="19050">
                <a:noFill/>
              </a:ln>
              <a:effectLst/>
            </c:spPr>
          </c:dPt>
          <c:dPt>
            <c:idx val="1"/>
            <c:bubble3D val="0"/>
            <c:explosion val="0"/>
            <c:spPr>
              <a:solidFill>
                <a:schemeClr val="accent2"/>
              </a:solidFill>
              <a:ln w="19050">
                <a:noFill/>
              </a:ln>
              <a:effectLst/>
            </c:spPr>
          </c:dPt>
          <c:dPt>
            <c:idx val="2"/>
            <c:bubble3D val="0"/>
            <c:explosion val="0"/>
            <c:spPr>
              <a:ln w="19050">
                <a:noFill/>
              </a:ln>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'[四川省攀枝花市人才服务中心草稿2025.xls]Z06 一般公共预算财政拨款支出决算表(财决公开06表)'!$L$9:$L$11</c:f>
              <c:strCache>
                <c:ptCount val="3"/>
                <c:pt idx="0">
                  <c:v>社会保障和就业支出</c:v>
                </c:pt>
                <c:pt idx="1">
                  <c:v>卫生健康支出</c:v>
                </c:pt>
                <c:pt idx="2">
                  <c:v>住房保障支出</c:v>
                </c:pt>
              </c:strCache>
            </c:strRef>
          </c:cat>
          <c:val>
            <c:numRef>
              <c:f>'[四川省攀枝花市人才服务中心草稿2025.xls]Z06 一般公共预算财政拨款支出决算表(财决公开06表)'!$M$9:$M$11</c:f>
              <c:numCache>
                <c:formatCode>General</c:formatCode>
                <c:ptCount val="3"/>
                <c:pt idx="0">
                  <c:v>550.55</c:v>
                </c:pt>
                <c:pt idx="1">
                  <c:v>22.03</c:v>
                </c:pt>
                <c:pt idx="2">
                  <c:v>25.3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w="19050">
              <a:noFill/>
            </a:ln>
          </c:spPr>
          <c:explosion val="0"/>
          <c:dPt>
            <c:idx val="0"/>
            <c:bubble3D val="0"/>
            <c:explosion val="0"/>
            <c:spPr>
              <a:solidFill>
                <a:schemeClr val="accent1"/>
              </a:solidFill>
              <a:ln w="19050">
                <a:noFill/>
              </a:ln>
              <a:effectLst/>
            </c:spPr>
          </c:dPt>
          <c:dPt>
            <c:idx val="1"/>
            <c:bubble3D val="0"/>
            <c:explosion val="0"/>
            <c:spPr>
              <a:solidFill>
                <a:schemeClr val="accent2"/>
              </a:solidFill>
              <a:ln w="19050">
                <a:noFill/>
              </a:ln>
              <a:effectLst/>
            </c:spPr>
          </c:dPt>
          <c:dPt>
            <c:idx val="2"/>
            <c:bubble3D val="0"/>
            <c:explosion val="0"/>
            <c:spPr>
              <a:solidFill>
                <a:schemeClr val="accent3"/>
              </a:solidFill>
              <a:ln w="19050">
                <a:noFill/>
              </a:ln>
              <a:effectLst/>
            </c:spPr>
          </c:dPt>
          <c:dLbls>
            <c:dLbl>
              <c:idx val="2"/>
              <c:layout>
                <c:manualLayout>
                  <c:x val="0"/>
                  <c:y val="-0.00347222222222222"/>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'[四川省攀枝花市人才服务中心草稿2025.xls]Z10 一般公共预算财政拨款“三公”经费支出决算表(财决公开1'!$I$21:$I$23</c:f>
              <c:strCache>
                <c:ptCount val="3"/>
                <c:pt idx="0">
                  <c:v>公务接待</c:v>
                </c:pt>
                <c:pt idx="1">
                  <c:v>因公出国（境）费</c:v>
                </c:pt>
                <c:pt idx="2">
                  <c:v>公务用车购置及运行费</c:v>
                </c:pt>
              </c:strCache>
            </c:strRef>
          </c:cat>
          <c:val>
            <c:numRef>
              <c:f>'[四川省攀枝花市人才服务中心草稿2025.xls]Z10 一般公共预算财政拨款“三公”经费支出决算表(财决公开1'!$J$21:$J$23</c:f>
              <c:numCache>
                <c:formatCode>General</c:formatCode>
                <c:ptCount val="3"/>
                <c:pt idx="0">
                  <c:v>0.24</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71944444444444"/>
          <c:y val="0.891666666666667"/>
          <c:w val="0.656111111111111"/>
          <c:h val="0.07708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403</Words>
  <Characters>2120</Characters>
  <Lines>63</Lines>
  <Paragraphs>17</Paragraphs>
  <TotalTime>0</TotalTime>
  <ScaleCrop>false</ScaleCrop>
  <LinksUpToDate>false</LinksUpToDate>
  <CharactersWithSpaces>2127</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2026-08-27T00:27:00Z</cp:lastPrinted>
  <dcterms:modified xsi:type="dcterms:W3CDTF">2026-09-04T01:50:28Z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3BF536824C220DA3E40E8B68BA118B1C_42</vt:lpwstr>
  </property>
  <property fmtid="{D5CDD505-2E9C-101B-9397-08002B2CF9AE}" pid="4" name="KSOTemplateDocerSaveRecord">
    <vt:lpwstr>eyJoZGlkIjoiODc0MGRlMTUyMzU3NjdkM2MwODYxZmEyNWU5NmZlM2IiLCJ1c2VySWQiOiIxMTUwNjk1MDU5In0=</vt:lpwstr>
  </property>
</Properties>
</file>