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rPr>
          <w:rFonts w:hint="eastAsia" w:ascii="黑体" w:hAnsi="黑体" w:eastAsia="黑体" w:cs="黑体"/>
          <w:color w:val="auto"/>
          <w:kern w:val="2"/>
          <w:sz w:val="32"/>
          <w:szCs w:val="32"/>
          <w:highlight w:val="none"/>
          <w:lang w:val="en-US" w:eastAsia="zh-CN" w:bidi="ar-SA"/>
        </w:rPr>
      </w:pPr>
      <w:bookmarkStart w:id="0" w:name="_Toc15377193"/>
      <w:bookmarkStart w:id="1" w:name="_Toc15378441"/>
      <w:bookmarkStart w:id="2" w:name="_Toc15396597"/>
      <w:bookmarkStart w:id="3" w:name="_Toc15396475"/>
      <w:bookmarkStart w:id="4" w:name="_Toc15306267"/>
      <w:bookmarkStart w:id="5" w:name="_Toc15377425"/>
    </w:p>
    <w:p>
      <w:pPr>
        <w:pStyle w:val="2"/>
        <w:jc w:val="center"/>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rPr>
          <w:rFonts w:hint="eastAsia" w:ascii="Times New Roman" w:hAnsi="Times New Roman" w:eastAsia="方正小标宋简体" w:cs="Times New Roman"/>
          <w:color w:val="auto"/>
          <w:kern w:val="2"/>
          <w:sz w:val="72"/>
          <w:szCs w:val="72"/>
          <w:highlight w:val="none"/>
          <w:lang w:val="en-US" w:eastAsia="zh-CN" w:bidi="ar-SA"/>
        </w:rPr>
      </w:pPr>
    </w:p>
    <w:p>
      <w:pPr>
        <w:pStyle w:val="2"/>
        <w:jc w:val="center"/>
        <w:rPr>
          <w:rFonts w:hint="default" w:ascii="Times New Roman" w:eastAsia="方正小标宋简体" w:cs="Times New Roman"/>
          <w:color w:val="auto"/>
          <w:kern w:val="2"/>
          <w:sz w:val="44"/>
          <w:szCs w:val="44"/>
          <w:highlight w:val="none"/>
          <w:lang w:val="en-US" w:eastAsia="zh-CN" w:bidi="ar-SA"/>
        </w:rPr>
      </w:pPr>
      <w:r>
        <w:rPr>
          <w:rFonts w:hint="eastAsia" w:ascii="Times New Roman" w:eastAsia="方正小标宋简体" w:cs="Times New Roman"/>
          <w:color w:val="auto"/>
          <w:kern w:val="2"/>
          <w:sz w:val="44"/>
          <w:szCs w:val="44"/>
          <w:highlight w:val="none"/>
          <w:lang w:val="en-US" w:eastAsia="zh-CN" w:bidi="ar-SA"/>
        </w:rPr>
        <w:t>攀枝花市人力资源和社会保障信息中心2025年度单位决算公开编制说明</w:t>
      </w:r>
    </w:p>
    <w:p>
      <w:pPr>
        <w:spacing w:line="600" w:lineRule="exact"/>
        <w:jc w:val="center"/>
        <w:outlineLvl w:val="0"/>
        <w:rPr>
          <w:rFonts w:ascii="Times New Roman" w:hAnsi="Times New Roman" w:eastAsia="方正小标宋简体"/>
          <w:color w:val="auto"/>
          <w:sz w:val="72"/>
          <w:szCs w:val="72"/>
          <w:highlight w:val="none"/>
        </w:rPr>
      </w:pPr>
    </w:p>
    <w:p>
      <w:pPr>
        <w:pStyle w:val="19"/>
        <w:rPr>
          <w:rFonts w:ascii="Times New Roman" w:hAnsi="Times New Roman"/>
          <w:highlight w:val="none"/>
        </w:rPr>
        <w:sectPr>
          <w:headerReference r:id="rId3" w:type="default"/>
          <w:footerReference r:id="rId4" w:type="default"/>
          <w:pgSz w:w="11906" w:h="16838"/>
          <w:pgMar w:top="1440" w:right="1800" w:bottom="1440" w:left="1800" w:header="851" w:footer="992" w:gutter="0"/>
          <w:pgNumType w:fmt="decimal" w:start="1"/>
          <w:cols w:space="425" w:num="1"/>
          <w:titlePg/>
          <w:docGrid w:type="lines" w:linePitch="312" w:charSpace="0"/>
        </w:sectPr>
      </w:pPr>
    </w:p>
    <w:p>
      <w:pPr>
        <w:rPr>
          <w:rFonts w:ascii="Times New Roman" w:hAnsi="Times New Roman"/>
          <w:highlight w:val="none"/>
        </w:rPr>
      </w:pPr>
    </w:p>
    <w:p>
      <w:pPr>
        <w:pStyle w:val="2"/>
        <w:jc w:val="center"/>
        <w:rPr>
          <w:rFonts w:hint="eastAsia" w:ascii="Times New Roman" w:hAnsi="Times New Roman" w:eastAsia="方正小标宋简体" w:cs="Times New Roman"/>
          <w:color w:val="auto"/>
          <w:kern w:val="2"/>
          <w:sz w:val="44"/>
          <w:szCs w:val="44"/>
          <w:highlight w:val="none"/>
          <w:lang w:val="en-US" w:eastAsia="zh-CN" w:bidi="ar-SA"/>
        </w:rPr>
      </w:pPr>
    </w:p>
    <w:bookmarkEnd w:id="0"/>
    <w:bookmarkEnd w:id="1"/>
    <w:bookmarkEnd w:id="2"/>
    <w:bookmarkEnd w:id="3"/>
    <w:bookmarkEnd w:id="4"/>
    <w:bookmarkEnd w:id="5"/>
    <w:p>
      <w:pPr>
        <w:widowControl/>
        <w:jc w:val="center"/>
        <w:rPr>
          <w:rFonts w:ascii="Times New Roman" w:hAnsi="Times New Roman" w:eastAsia="黑体"/>
          <w:color w:val="auto"/>
          <w:sz w:val="48"/>
          <w:szCs w:val="48"/>
          <w:highlight w:val="none"/>
        </w:rPr>
      </w:pPr>
      <w:r>
        <w:rPr>
          <w:rFonts w:hint="eastAsia" w:ascii="Times New Roman" w:hAnsi="Times New Roman" w:eastAsia="黑体"/>
          <w:color w:val="auto"/>
          <w:sz w:val="48"/>
          <w:szCs w:val="48"/>
          <w:highlight w:val="none"/>
        </w:rPr>
        <w:t>目录</w:t>
      </w:r>
    </w:p>
    <w:p>
      <w:pPr>
        <w:widowControl/>
        <w:jc w:val="center"/>
        <w:rPr>
          <w:rFonts w:ascii="Times New Roman" w:hAnsi="Times New Roman" w:eastAsia="黑体" w:cstheme="minorBidi"/>
          <w:color w:val="auto"/>
          <w:sz w:val="28"/>
          <w:szCs w:val="28"/>
          <w:highlight w:val="none"/>
        </w:rPr>
      </w:pPr>
    </w:p>
    <w:p>
      <w:pPr>
        <w:pStyle w:val="12"/>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公开时间：20</w:t>
      </w:r>
      <w:r>
        <w:rPr>
          <w:rFonts w:hint="eastAsia" w:ascii="Times New Roman" w:hAnsi="Times New Roman" w:eastAsia="仿宋_GB2312" w:cs="仿宋_GB2312"/>
          <w:color w:val="auto"/>
          <w:sz w:val="32"/>
          <w:szCs w:val="32"/>
          <w:highlight w:val="none"/>
          <w:lang w:val="en-US" w:eastAsia="zh-CN"/>
        </w:rPr>
        <w:t>26</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val="en-US" w:eastAsia="zh-CN"/>
        </w:rPr>
        <w:t xml:space="preserve"> 9 </w:t>
      </w:r>
      <w:r>
        <w:rPr>
          <w:rFonts w:hint="eastAsia" w:ascii="Times New Roman" w:hAnsi="Times New Roman" w:eastAsia="仿宋_GB2312" w:cs="仿宋_GB2312"/>
          <w:color w:val="auto"/>
          <w:sz w:val="32"/>
          <w:szCs w:val="32"/>
          <w:highlight w:val="none"/>
        </w:rPr>
        <w:t>月</w:t>
      </w:r>
      <w:r>
        <w:rPr>
          <w:rFonts w:hint="eastAsia" w:ascii="Times New Roman" w:hAnsi="Times New Roman" w:eastAsia="仿宋_GB2312" w:cs="仿宋_GB2312"/>
          <w:color w:val="auto"/>
          <w:sz w:val="32"/>
          <w:szCs w:val="32"/>
          <w:highlight w:val="none"/>
          <w:lang w:val="en-US" w:eastAsia="zh-CN"/>
        </w:rPr>
        <w:t xml:space="preserve"> 15 </w:t>
      </w:r>
      <w:r>
        <w:rPr>
          <w:rFonts w:hint="eastAsia" w:ascii="Times New Roman" w:hAnsi="Times New Roman" w:eastAsia="仿宋_GB2312" w:cs="仿宋_GB2312"/>
          <w:color w:val="auto"/>
          <w:sz w:val="32"/>
          <w:szCs w:val="32"/>
          <w:highlight w:val="none"/>
        </w:rPr>
        <w:t>日</w:t>
      </w:r>
    </w:p>
    <w:p>
      <w:pPr>
        <w:rPr>
          <w:rFonts w:ascii="Times New Roman" w:hAnsi="Times New Roman"/>
          <w:color w:val="auto"/>
          <w:highlight w:val="none"/>
        </w:rPr>
      </w:pP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 xml:space="preserve">第一部分 </w:t>
      </w:r>
      <w:r>
        <w:rPr>
          <w:rFonts w:hint="eastAsia" w:ascii="Times New Roman" w:hAnsi="Times New Roman" w:eastAsia="黑体" w:cs="黑体"/>
          <w:color w:val="auto"/>
          <w:sz w:val="32"/>
          <w:szCs w:val="32"/>
          <w:highlight w:val="none"/>
          <w:lang w:val="en-US" w:eastAsia="zh-CN"/>
        </w:rPr>
        <w:t>单位</w:t>
      </w:r>
      <w:r>
        <w:rPr>
          <w:rFonts w:hint="eastAsia" w:ascii="Times New Roman" w:hAnsi="Times New Roman" w:eastAsia="黑体" w:cs="黑体"/>
          <w:color w:val="auto"/>
          <w:sz w:val="32"/>
          <w:szCs w:val="32"/>
          <w:highlight w:val="none"/>
        </w:rPr>
        <w:t>概况</w:t>
      </w:r>
      <w:r>
        <w:rPr>
          <w:rFonts w:cs="Times New Roman"/>
          <w:color w:val="000000"/>
          <w:sz w:val="24"/>
          <w:szCs w:val="24"/>
          <w:highlight w:val="none"/>
        </w:rPr>
        <w:tab/>
      </w:r>
      <w:r>
        <w:rPr>
          <w:rFonts w:hint="eastAsia" w:cs="Times New Roman"/>
          <w:color w:val="000000"/>
          <w:sz w:val="24"/>
          <w:szCs w:val="24"/>
          <w:highlight w:val="none"/>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w:t>
      </w:r>
      <w:r>
        <w:rPr>
          <w:rFonts w:hint="eastAsia" w:eastAsia="仿宋_GB2312" w:cs="仿宋_GB2312"/>
          <w:color w:val="auto"/>
          <w:sz w:val="32"/>
          <w:szCs w:val="32"/>
          <w:highlight w:val="none"/>
          <w:lang w:val="en-US" w:eastAsia="zh-CN"/>
        </w:rPr>
        <w:t>单位</w:t>
      </w:r>
      <w:r>
        <w:rPr>
          <w:rFonts w:hint="eastAsia" w:ascii="Times New Roman" w:hAnsi="Times New Roman" w:eastAsia="仿宋_GB2312" w:cs="仿宋_GB2312"/>
          <w:color w:val="auto"/>
          <w:sz w:val="32"/>
          <w:szCs w:val="32"/>
          <w:highlight w:val="none"/>
          <w:lang w:eastAsia="zh-CN"/>
        </w:rPr>
        <w:t>职责</w:t>
      </w:r>
      <w:r>
        <w:rPr>
          <w:rFonts w:cs="Times New Roman"/>
          <w:color w:val="000000"/>
          <w:sz w:val="24"/>
          <w:szCs w:val="24"/>
          <w:highlight w:val="none"/>
        </w:rPr>
        <w:tab/>
      </w:r>
      <w:r>
        <w:rPr>
          <w:rFonts w:hint="eastAsia" w:cs="Times New Roman"/>
          <w:color w:val="000000"/>
          <w:sz w:val="24"/>
          <w:szCs w:val="24"/>
          <w:highlight w:val="none"/>
          <w:lang w:val="en-US" w:eastAsia="zh-CN"/>
        </w:rPr>
        <w:t>1</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二、机构设置</w:t>
      </w:r>
      <w:r>
        <w:rPr>
          <w:rFonts w:cs="Times New Roman"/>
          <w:color w:val="000000"/>
          <w:sz w:val="24"/>
          <w:szCs w:val="24"/>
          <w:highlight w:val="none"/>
        </w:rPr>
        <w:tab/>
      </w:r>
      <w:r>
        <w:rPr>
          <w:rFonts w:hint="eastAsia" w:cs="Times New Roman"/>
          <w:color w:val="000000"/>
          <w:sz w:val="24"/>
          <w:szCs w:val="24"/>
          <w:highlight w:val="none"/>
          <w:lang w:val="en-US" w:eastAsia="zh-CN"/>
        </w:rPr>
        <w:t>1</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仿宋" w:cs="黑体"/>
          <w:color w:val="auto"/>
          <w:sz w:val="32"/>
          <w:szCs w:val="32"/>
          <w:highlight w:val="none"/>
          <w:lang w:val="en-US" w:eastAsia="zh-CN"/>
        </w:rPr>
      </w:pPr>
      <w:r>
        <w:rPr>
          <w:rFonts w:hint="eastAsia" w:ascii="Times New Roman" w:hAnsi="Times New Roman" w:eastAsia="黑体" w:cs="黑体"/>
          <w:color w:val="auto"/>
          <w:sz w:val="32"/>
          <w:szCs w:val="32"/>
          <w:highlight w:val="none"/>
        </w:rPr>
        <w:t>第二部分</w:t>
      </w:r>
      <w:r>
        <w:rPr>
          <w:rFonts w:hint="eastAsia" w:ascii="Times New Roman" w:hAnsi="Times New Roman" w:eastAsia="黑体" w:cs="黑体"/>
          <w:color w:val="auto"/>
          <w:sz w:val="32"/>
          <w:szCs w:val="32"/>
          <w:highlight w:val="none"/>
          <w:lang w:val="en-US" w:eastAsia="zh-CN"/>
        </w:rPr>
        <w:t xml:space="preserve"> 2025年度单位</w:t>
      </w:r>
      <w:r>
        <w:rPr>
          <w:rFonts w:hint="eastAsia" w:ascii="Times New Roman" w:hAnsi="Times New Roman" w:eastAsia="黑体" w:cs="黑体"/>
          <w:color w:val="auto"/>
          <w:sz w:val="32"/>
          <w:szCs w:val="32"/>
          <w:highlight w:val="none"/>
        </w:rPr>
        <w:t>决算情况说明</w:t>
      </w:r>
      <w:r>
        <w:rPr>
          <w:rFonts w:cs="Times New Roman"/>
          <w:color w:val="000000"/>
          <w:sz w:val="24"/>
          <w:szCs w:val="24"/>
          <w:highlight w:val="none"/>
        </w:rPr>
        <w:tab/>
      </w:r>
      <w:r>
        <w:rPr>
          <w:rFonts w:hint="eastAsia" w:cs="Times New Roman"/>
          <w:color w:val="000000"/>
          <w:sz w:val="24"/>
          <w:szCs w:val="24"/>
          <w:highlight w:val="none"/>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一、收入支出决算总体情况说明</w:t>
      </w:r>
      <w:r>
        <w:rPr>
          <w:rFonts w:cs="Times New Roman"/>
          <w:color w:val="000000"/>
          <w:sz w:val="24"/>
          <w:szCs w:val="24"/>
          <w:highlight w:val="none"/>
        </w:rPr>
        <w:tab/>
      </w:r>
      <w:r>
        <w:rPr>
          <w:rFonts w:hint="eastAsia" w:cs="Times New Roman"/>
          <w:color w:val="000000"/>
          <w:sz w:val="24"/>
          <w:szCs w:val="24"/>
          <w:highlight w:val="none"/>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二、收入决算情况说明</w:t>
      </w:r>
      <w:r>
        <w:rPr>
          <w:rFonts w:cs="Times New Roman"/>
          <w:color w:val="000000"/>
          <w:sz w:val="24"/>
          <w:szCs w:val="24"/>
          <w:highlight w:val="none"/>
        </w:rPr>
        <w:tab/>
      </w:r>
      <w:r>
        <w:rPr>
          <w:rFonts w:hint="eastAsia" w:cs="Times New Roman"/>
          <w:color w:val="000000"/>
          <w:sz w:val="24"/>
          <w:szCs w:val="24"/>
          <w:highlight w:val="none"/>
          <w:lang w:val="en-US" w:eastAsia="zh-CN"/>
        </w:rPr>
        <w:t>2</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三、支出决算情况说明</w:t>
      </w:r>
      <w:r>
        <w:rPr>
          <w:rFonts w:cs="Times New Roman"/>
          <w:color w:val="000000"/>
          <w:sz w:val="24"/>
          <w:szCs w:val="24"/>
          <w:highlight w:val="none"/>
        </w:rPr>
        <w:tab/>
      </w:r>
      <w:r>
        <w:rPr>
          <w:rFonts w:hint="eastAsia" w:cs="Times New Roman"/>
          <w:color w:val="000000"/>
          <w:sz w:val="24"/>
          <w:szCs w:val="24"/>
          <w:highlight w:val="none"/>
          <w:lang w:val="en-US" w:eastAsia="zh-CN"/>
        </w:rPr>
        <w:t>3</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四、财政拨款收入支出决算总体情况说明</w:t>
      </w:r>
      <w:r>
        <w:rPr>
          <w:rFonts w:cs="Times New Roman"/>
          <w:color w:val="000000"/>
          <w:sz w:val="24"/>
          <w:szCs w:val="24"/>
          <w:highlight w:val="none"/>
        </w:rPr>
        <w:tab/>
      </w:r>
      <w:r>
        <w:rPr>
          <w:rFonts w:hint="eastAsia" w:cs="Times New Roman"/>
          <w:color w:val="000000"/>
          <w:sz w:val="24"/>
          <w:szCs w:val="24"/>
          <w:highlight w:val="none"/>
          <w:lang w:val="en-US" w:eastAsia="zh-CN"/>
        </w:rPr>
        <w:t>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五、一般公共预算财政拨款支出决算情况说明</w:t>
      </w:r>
      <w:r>
        <w:rPr>
          <w:rFonts w:cs="Times New Roman"/>
          <w:color w:val="000000"/>
          <w:sz w:val="24"/>
          <w:szCs w:val="24"/>
          <w:highlight w:val="none"/>
        </w:rPr>
        <w:tab/>
      </w:r>
      <w:r>
        <w:rPr>
          <w:rFonts w:hint="eastAsia" w:cs="Times New Roman"/>
          <w:color w:val="000000"/>
          <w:sz w:val="24"/>
          <w:szCs w:val="24"/>
          <w:highlight w:val="none"/>
          <w:lang w:val="en-US" w:eastAsia="zh-CN"/>
        </w:rPr>
        <w:t>5</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六、一般公共预算财政拨款基本支出决算情况说明</w:t>
      </w:r>
      <w:r>
        <w:rPr>
          <w:rFonts w:cs="Times New Roman"/>
          <w:color w:val="000000"/>
          <w:sz w:val="24"/>
          <w:szCs w:val="24"/>
          <w:highlight w:val="none"/>
        </w:rPr>
        <w:tab/>
      </w:r>
      <w:r>
        <w:rPr>
          <w:rFonts w:hint="eastAsia" w:cs="Times New Roman"/>
          <w:color w:val="000000"/>
          <w:sz w:val="24"/>
          <w:szCs w:val="24"/>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七、财政拨款</w:t>
      </w:r>
      <w:r>
        <w:rPr>
          <w:rFonts w:hint="eastAsia" w:ascii="Times New Roman" w:hAnsi="Times New Roman" w:eastAsia="仿宋_GB2312" w:cs="仿宋_GB2312"/>
          <w:color w:val="auto"/>
          <w:sz w:val="32"/>
          <w:szCs w:val="32"/>
          <w:highlight w:val="none"/>
          <w:lang w:eastAsia="zh-CN"/>
        </w:rPr>
        <w:t>“</w:t>
      </w:r>
      <w:r>
        <w:rPr>
          <w:rFonts w:hint="eastAsia" w:ascii="Times New Roman" w:hAnsi="Times New Roman" w:eastAsia="仿宋_GB2312" w:cs="仿宋_GB2312"/>
          <w:color w:val="auto"/>
          <w:sz w:val="32"/>
          <w:szCs w:val="32"/>
          <w:highlight w:val="none"/>
        </w:rPr>
        <w:t>三公”经费支出决算情况说明</w:t>
      </w:r>
      <w:r>
        <w:rPr>
          <w:rFonts w:cs="Times New Roman"/>
          <w:color w:val="000000"/>
          <w:sz w:val="24"/>
          <w:szCs w:val="24"/>
          <w:highlight w:val="none"/>
        </w:rPr>
        <w:tab/>
      </w:r>
      <w:r>
        <w:rPr>
          <w:rFonts w:hint="eastAsia" w:cs="Times New Roman"/>
          <w:color w:val="000000"/>
          <w:sz w:val="24"/>
          <w:szCs w:val="24"/>
          <w:highlight w:val="none"/>
          <w:lang w:val="en-US" w:eastAsia="zh-CN"/>
        </w:rPr>
        <w:t>7</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八、政府性基金预算支出决算情况说明</w:t>
      </w:r>
      <w:r>
        <w:rPr>
          <w:rFonts w:cs="Times New Roman"/>
          <w:color w:val="000000"/>
          <w:sz w:val="24"/>
          <w:szCs w:val="24"/>
          <w:highlight w:val="none"/>
        </w:rPr>
        <w:tab/>
      </w:r>
      <w:r>
        <w:rPr>
          <w:rFonts w:hint="eastAsia" w:cs="Times New Roman"/>
          <w:color w:val="000000"/>
          <w:sz w:val="24"/>
          <w:szCs w:val="24"/>
          <w:highlight w:val="none"/>
          <w:lang w:val="en-US" w:eastAsia="zh-CN"/>
        </w:rPr>
        <w:t>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rPr>
        <w:t>九、</w:t>
      </w:r>
      <w:r>
        <w:rPr>
          <w:rFonts w:hint="eastAsia" w:ascii="Times New Roman" w:hAnsi="Times New Roman" w:eastAsia="仿宋_GB2312" w:cs="仿宋_GB2312"/>
          <w:color w:val="auto"/>
          <w:sz w:val="32"/>
          <w:szCs w:val="32"/>
          <w:highlight w:val="none"/>
          <w:lang w:eastAsia="zh-CN"/>
        </w:rPr>
        <w:t>国</w:t>
      </w:r>
      <w:r>
        <w:rPr>
          <w:rFonts w:hint="eastAsia" w:ascii="Times New Roman" w:hAnsi="Times New Roman" w:eastAsia="仿宋_GB2312" w:cs="仿宋_GB2312"/>
          <w:color w:val="auto"/>
          <w:sz w:val="32"/>
          <w:szCs w:val="32"/>
          <w:highlight w:val="none"/>
        </w:rPr>
        <w:t>有资本经营预算支出决算情况说明</w:t>
      </w:r>
      <w:r>
        <w:rPr>
          <w:rFonts w:cs="Times New Roman"/>
          <w:color w:val="000000"/>
          <w:sz w:val="24"/>
          <w:szCs w:val="24"/>
          <w:highlight w:val="none"/>
        </w:rPr>
        <w:tab/>
      </w:r>
      <w:r>
        <w:rPr>
          <w:rFonts w:hint="eastAsia" w:cs="Times New Roman"/>
          <w:color w:val="000000"/>
          <w:sz w:val="24"/>
          <w:szCs w:val="24"/>
          <w:highlight w:val="none"/>
          <w:lang w:val="en-US" w:eastAsia="zh-CN"/>
        </w:rPr>
        <w:t>9</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eastAsia" w:ascii="Times New Roman" w:hAnsi="Times New Roman" w:eastAsia="宋体" w:cs="仿宋_GB2312"/>
          <w:color w:val="auto"/>
          <w:sz w:val="32"/>
          <w:szCs w:val="32"/>
          <w:highlight w:val="none"/>
          <w:lang w:val="en-US" w:eastAsia="zh-CN"/>
        </w:rPr>
      </w:pPr>
      <w:r>
        <w:rPr>
          <w:rFonts w:hint="eastAsia" w:ascii="Times New Roman" w:hAnsi="Times New Roman" w:eastAsia="仿宋_GB2312" w:cs="仿宋_GB2312"/>
          <w:color w:val="auto"/>
          <w:sz w:val="32"/>
          <w:szCs w:val="32"/>
          <w:highlight w:val="none"/>
          <w:lang w:eastAsia="zh-CN"/>
        </w:rPr>
        <w:t>十</w:t>
      </w:r>
      <w:r>
        <w:rPr>
          <w:rFonts w:hint="eastAsia" w:ascii="Times New Roman" w:hAnsi="Times New Roman" w:eastAsia="仿宋_GB2312" w:cs="仿宋_GB2312"/>
          <w:color w:val="auto"/>
          <w:sz w:val="32"/>
          <w:szCs w:val="32"/>
          <w:highlight w:val="none"/>
        </w:rPr>
        <w:t>、其他重要事项的情况说明</w:t>
      </w:r>
      <w:r>
        <w:rPr>
          <w:rFonts w:cs="Times New Roman"/>
          <w:color w:val="000000"/>
          <w:sz w:val="24"/>
          <w:szCs w:val="24"/>
          <w:highlight w:val="none"/>
        </w:rPr>
        <w:tab/>
      </w:r>
      <w:r>
        <w:rPr>
          <w:rFonts w:hint="eastAsia" w:cs="Times New Roman"/>
          <w:color w:val="000000"/>
          <w:sz w:val="24"/>
          <w:szCs w:val="24"/>
          <w:highlight w:val="none"/>
          <w:lang w:val="en-US" w:eastAsia="zh-CN"/>
        </w:rPr>
        <w:t>9</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eastAsia" w:ascii="Times New Roman" w:hAnsi="Times New Roman" w:eastAsia="黑体" w:cs="黑体"/>
          <w:color w:val="auto"/>
          <w:sz w:val="32"/>
          <w:szCs w:val="32"/>
          <w:highlight w:val="none"/>
        </w:rPr>
      </w:pPr>
      <w:r>
        <w:rPr>
          <w:rFonts w:hint="eastAsia" w:ascii="Times New Roman" w:hAnsi="Times New Roman" w:eastAsia="黑体" w:cs="黑体"/>
          <w:color w:val="auto"/>
          <w:sz w:val="32"/>
          <w:szCs w:val="32"/>
          <w:highlight w:val="none"/>
        </w:rPr>
        <w:t>第三部分 名词解释</w:t>
      </w:r>
      <w:r>
        <w:rPr>
          <w:rFonts w:cs="Times New Roman"/>
          <w:color w:val="000000"/>
          <w:sz w:val="24"/>
          <w:szCs w:val="24"/>
          <w:highlight w:val="none"/>
        </w:rPr>
        <w:tab/>
      </w:r>
      <w:r>
        <w:rPr>
          <w:rFonts w:hint="eastAsia" w:cs="Times New Roman"/>
          <w:color w:val="000000"/>
          <w:sz w:val="24"/>
          <w:szCs w:val="24"/>
          <w:highlight w:val="none"/>
          <w:lang w:val="en-US" w:eastAsia="zh-CN"/>
        </w:rPr>
        <w:t>11</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第四部分 附件</w:t>
      </w:r>
      <w:r>
        <w:rPr>
          <w:rFonts w:cs="Times New Roman"/>
          <w:color w:val="000000"/>
          <w:sz w:val="24"/>
          <w:szCs w:val="24"/>
          <w:highlight w:val="none"/>
        </w:rPr>
        <w:tab/>
      </w:r>
      <w:r>
        <w:rPr>
          <w:rFonts w:hint="eastAsia" w:cs="Times New Roman"/>
          <w:color w:val="000000"/>
          <w:sz w:val="24"/>
          <w:szCs w:val="24"/>
          <w:highlight w:val="none"/>
          <w:lang w:val="en-US" w:eastAsia="zh-CN"/>
        </w:rPr>
        <w:t>13</w:t>
      </w:r>
    </w:p>
    <w:p>
      <w:pPr>
        <w:pStyle w:val="12"/>
        <w:keepNext w:val="0"/>
        <w:keepLines w:val="0"/>
        <w:pageBreakBefore w:val="0"/>
        <w:kinsoku/>
        <w:wordWrap/>
        <w:overflowPunct/>
        <w:topLinePunct w:val="0"/>
        <w:autoSpaceDE/>
        <w:autoSpaceDN/>
        <w:bidi w:val="0"/>
        <w:adjustRightInd w:val="0"/>
        <w:snapToGrid w:val="0"/>
        <w:spacing w:before="0" w:line="560" w:lineRule="exact"/>
        <w:jc w:val="left"/>
        <w:textAlignment w:val="auto"/>
        <w:rPr>
          <w:rFonts w:hint="default" w:ascii="Times New Roman" w:hAnsi="Times New Roman" w:eastAsia="黑体" w:cs="黑体"/>
          <w:color w:val="auto"/>
          <w:sz w:val="32"/>
          <w:szCs w:val="32"/>
          <w:highlight w:val="none"/>
          <w:lang w:val="en-US"/>
        </w:rPr>
      </w:pPr>
      <w:r>
        <w:rPr>
          <w:rFonts w:hint="eastAsia" w:ascii="Times New Roman" w:hAnsi="Times New Roman" w:eastAsia="黑体" w:cs="黑体"/>
          <w:color w:val="auto"/>
          <w:sz w:val="32"/>
          <w:szCs w:val="32"/>
          <w:highlight w:val="none"/>
        </w:rPr>
        <w:t>第五部分 附表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一、收入支出决算总表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二、收入决算表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三、支出决算表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四、财政拨款收入支出决算总表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五、财政拨款支出决算明细表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六、一般公共预算财政拨款支出决算表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七、一般公共预算财政拨款支出决算明细表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八、一般公共预算财政拨款基本支出决算</w:t>
      </w:r>
      <w:r>
        <w:rPr>
          <w:rFonts w:hint="eastAsia" w:ascii="Times New Roman" w:hAnsi="Times New Roman" w:eastAsia="仿宋_GB2312" w:cs="仿宋_GB2312"/>
          <w:color w:val="auto"/>
          <w:sz w:val="32"/>
          <w:szCs w:val="32"/>
          <w:highlight w:val="none"/>
          <w:lang w:eastAsia="zh-CN"/>
        </w:rPr>
        <w:t>明细</w:t>
      </w:r>
      <w:r>
        <w:rPr>
          <w:rFonts w:hint="eastAsia" w:ascii="Times New Roman" w:hAnsi="Times New Roman" w:eastAsia="仿宋_GB2312" w:cs="仿宋_GB2312"/>
          <w:color w:val="auto"/>
          <w:sz w:val="32"/>
          <w:szCs w:val="32"/>
          <w:highlight w:val="none"/>
        </w:rPr>
        <w:t>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九、一般公共预算财政拨款项目支出决算表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十、政府性基金预算财政拨款收入支出决算表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十一、国有资本经营预算财政拨款收入支出决算表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十二、</w:t>
      </w:r>
      <w:r>
        <w:rPr>
          <w:rFonts w:hint="eastAsia" w:ascii="Times New Roman" w:hAnsi="Times New Roman" w:eastAsia="仿宋_GB2312" w:cs="仿宋_GB2312"/>
          <w:color w:val="auto"/>
          <w:sz w:val="32"/>
          <w:szCs w:val="32"/>
          <w:highlight w:val="none"/>
          <w:lang w:val="en-US" w:eastAsia="zh-CN"/>
        </w:rPr>
        <w:t>国有资本经营预算财政拨款支出决算表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14"/>
        <w:keepNext w:val="0"/>
        <w:keepLines w:val="0"/>
        <w:pageBreakBefore w:val="0"/>
        <w:widowControl w:val="0"/>
        <w:kinsoku/>
        <w:wordWrap/>
        <w:overflowPunct/>
        <w:topLinePunct w:val="0"/>
        <w:autoSpaceDE/>
        <w:autoSpaceDN/>
        <w:bidi w:val="0"/>
        <w:adjustRightInd w:val="0"/>
        <w:snapToGrid w:val="0"/>
        <w:spacing w:line="560" w:lineRule="exact"/>
        <w:ind w:left="0" w:leftChars="0" w:firstLine="640" w:firstLineChars="200"/>
        <w:jc w:val="left"/>
        <w:textAlignment w:val="auto"/>
        <w:rPr>
          <w:rFonts w:hint="default" w:ascii="Times New Roman" w:hAnsi="Times New Roman" w:eastAsia="仿宋_GB2312" w:cs="仿宋_GB2312"/>
          <w:color w:val="auto"/>
          <w:sz w:val="32"/>
          <w:szCs w:val="32"/>
          <w:highlight w:val="none"/>
          <w:lang w:val="en-US"/>
        </w:rPr>
      </w:pPr>
      <w:r>
        <w:rPr>
          <w:rFonts w:hint="eastAsia" w:ascii="Times New Roman" w:hAnsi="Times New Roman" w:eastAsia="仿宋_GB2312" w:cs="仿宋_GB2312"/>
          <w:color w:val="auto"/>
          <w:sz w:val="32"/>
          <w:szCs w:val="32"/>
          <w:highlight w:val="none"/>
        </w:rPr>
        <w:t>十三、财政拨款“三公”经费支出决算表</w:t>
      </w:r>
      <w:r>
        <w:rPr>
          <w:rFonts w:cs="Times New Roman"/>
          <w:color w:val="000000"/>
          <w:sz w:val="24"/>
          <w:szCs w:val="24"/>
          <w:highlight w:val="none"/>
        </w:rPr>
        <w:tab/>
      </w:r>
      <w:r>
        <w:rPr>
          <w:rFonts w:hint="eastAsia" w:cs="Times New Roman"/>
          <w:color w:val="000000"/>
          <w:sz w:val="24"/>
          <w:szCs w:val="24"/>
          <w:highlight w:val="none"/>
          <w:lang w:val="en-US" w:eastAsia="zh-CN"/>
        </w:rPr>
        <w:t>14</w:t>
      </w:r>
    </w:p>
    <w:p>
      <w:pPr>
        <w:pStyle w:val="3"/>
        <w:jc w:val="center"/>
        <w:rPr>
          <w:rFonts w:hint="eastAsia" w:ascii="Times New Roman" w:hAnsi="Times New Roman" w:eastAsia="方正小标宋简体" w:cs="方正小标宋简体"/>
          <w:b w:val="0"/>
          <w:color w:val="auto"/>
          <w:highlight w:val="none"/>
          <w:lang w:val="en-US" w:eastAsia="zh-CN"/>
        </w:rPr>
        <w:sectPr>
          <w:footerReference r:id="rId6" w:type="first"/>
          <w:footerReference r:id="rId5" w:type="default"/>
          <w:pgSz w:w="11906" w:h="16838"/>
          <w:pgMar w:top="1440" w:right="1800" w:bottom="1440" w:left="1800" w:header="851" w:footer="992" w:gutter="0"/>
          <w:pgNumType w:fmt="decimal" w:start="1"/>
          <w:cols w:space="425" w:num="1"/>
          <w:docGrid w:type="lines" w:linePitch="312" w:charSpace="0"/>
        </w:sectPr>
      </w:pPr>
      <w:bookmarkStart w:id="6" w:name="_Toc15377196"/>
      <w:bookmarkStart w:id="7" w:name="_Toc15396599"/>
    </w:p>
    <w:p>
      <w:pPr>
        <w:pStyle w:val="3"/>
        <w:jc w:val="center"/>
        <w:rPr>
          <w:rStyle w:val="28"/>
          <w:rFonts w:hint="eastAsia" w:ascii="Times New Roman" w:hAnsi="Times New Roman" w:eastAsia="方正小标宋简体" w:cs="方正小标宋简体"/>
          <w:b/>
          <w:bCs w:val="0"/>
          <w:color w:val="auto"/>
          <w:highlight w:val="none"/>
        </w:rPr>
      </w:pPr>
      <w:r>
        <w:rPr>
          <w:rFonts w:hint="eastAsia" w:ascii="Times New Roman" w:hAnsi="Times New Roman" w:eastAsia="方正小标宋简体" w:cs="方正小标宋简体"/>
          <w:b w:val="0"/>
          <w:color w:val="auto"/>
          <w:highlight w:val="none"/>
        </w:rPr>
        <w:t>第一部分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单位</w:t>
      </w:r>
      <w:r>
        <w:rPr>
          <w:rStyle w:val="28"/>
          <w:rFonts w:hint="eastAsia" w:ascii="Times New Roman" w:hAnsi="Times New Roman" w:eastAsia="方正小标宋简体" w:cs="方正小标宋简体"/>
          <w:b w:val="0"/>
          <w:bCs w:val="0"/>
          <w:color w:val="auto"/>
          <w:highlight w:val="none"/>
        </w:rPr>
        <w:t>概况</w:t>
      </w:r>
      <w:bookmarkEnd w:id="6"/>
      <w:bookmarkEnd w:id="7"/>
    </w:p>
    <w:p>
      <w:pPr>
        <w:widowControl/>
        <w:jc w:val="left"/>
        <w:rPr>
          <w:rFonts w:ascii="Times New Roman" w:hAnsi="Times New Roman" w:eastAsia="黑体"/>
          <w:color w:val="auto"/>
          <w:sz w:val="32"/>
          <w:szCs w:val="32"/>
          <w:highlight w:val="none"/>
        </w:rPr>
      </w:pPr>
    </w:p>
    <w:p>
      <w:pPr>
        <w:pStyle w:val="4"/>
        <w:numPr>
          <w:ilvl w:val="0"/>
          <w:numId w:val="1"/>
        </w:numPr>
        <w:rPr>
          <w:rFonts w:hint="eastAsia" w:ascii="Times New Roman" w:hAnsi="Times New Roman" w:eastAsia="黑体"/>
          <w:b w:val="0"/>
          <w:color w:val="auto"/>
          <w:highlight w:val="none"/>
          <w:lang w:eastAsia="zh-CN"/>
        </w:rPr>
      </w:pPr>
      <w:r>
        <w:rPr>
          <w:rFonts w:hint="eastAsia" w:ascii="Times New Roman" w:hAnsi="Times New Roman" w:eastAsia="黑体"/>
          <w:b w:val="0"/>
          <w:color w:val="auto"/>
          <w:highlight w:val="none"/>
          <w:lang w:val="en-US" w:eastAsia="zh-CN"/>
        </w:rPr>
        <w:t>单位</w:t>
      </w:r>
      <w:r>
        <w:rPr>
          <w:rFonts w:hint="eastAsia" w:ascii="Times New Roman" w:hAnsi="Times New Roman" w:eastAsia="黑体"/>
          <w:b w:val="0"/>
          <w:color w:val="auto"/>
          <w:highlight w:val="none"/>
          <w:lang w:eastAsia="zh-CN"/>
        </w:rPr>
        <w:t>职责</w:t>
      </w:r>
    </w:p>
    <w:p>
      <w:pPr>
        <w:widowControl/>
        <w:snapToGrid/>
        <w:spacing w:line="240" w:lineRule="auto"/>
        <w:ind w:firstLine="640" w:firstLineChars="200"/>
        <w:rPr>
          <w:rFonts w:hint="eastAsia"/>
          <w:highlight w:val="none"/>
          <w:lang w:eastAsia="zh-CN"/>
        </w:rPr>
      </w:pPr>
      <w:r>
        <w:rPr>
          <w:rFonts w:hint="eastAsia" w:ascii="仿宋_GB2312" w:hAnsi="仿宋_GB2312" w:eastAsia="仿宋_GB2312" w:cs="仿宋_GB2312"/>
          <w:kern w:val="0"/>
          <w:sz w:val="32"/>
          <w:szCs w:val="32"/>
          <w:highlight w:val="none"/>
          <w:lang w:val="en-US" w:eastAsia="zh-CN" w:bidi="ar"/>
        </w:rPr>
        <w:t>四川省</w:t>
      </w:r>
      <w:r>
        <w:rPr>
          <w:rFonts w:hint="eastAsia" w:ascii="仿宋_GB2312" w:hAnsi="仿宋_GB2312" w:eastAsia="仿宋_GB2312" w:cs="仿宋_GB2312"/>
          <w:kern w:val="0"/>
          <w:sz w:val="32"/>
          <w:szCs w:val="32"/>
          <w:highlight w:val="none"/>
          <w:lang w:bidi="ar"/>
        </w:rPr>
        <w:t>攀枝花市人力资源和社会保障信息中心是</w:t>
      </w:r>
      <w:r>
        <w:rPr>
          <w:rFonts w:hint="eastAsia" w:ascii="仿宋_GB2312" w:hAnsi="仿宋_GB2312" w:eastAsia="仿宋_GB2312" w:cs="仿宋_GB2312"/>
          <w:kern w:val="0"/>
          <w:sz w:val="32"/>
          <w:szCs w:val="32"/>
          <w:highlight w:val="none"/>
          <w:lang w:val="en-US" w:eastAsia="zh-CN" w:bidi="ar"/>
        </w:rPr>
        <w:t>四川省攀枝花</w:t>
      </w:r>
      <w:r>
        <w:rPr>
          <w:rFonts w:hint="eastAsia" w:ascii="仿宋_GB2312" w:hAnsi="仿宋_GB2312" w:eastAsia="仿宋_GB2312" w:cs="仿宋_GB2312"/>
          <w:kern w:val="0"/>
          <w:sz w:val="32"/>
          <w:szCs w:val="32"/>
          <w:highlight w:val="none"/>
          <w:lang w:bidi="ar"/>
        </w:rPr>
        <w:t>市人力资源和社会保障局下属公益一类事业单位。主要承担人力资源和社会保障系统的信息化建设和维护工作；负责攀枝花市社会保障卡管理及运行；负责攀枝花市12333人力资源和社会保障服务咨询热线</w:t>
      </w:r>
      <w:r>
        <w:rPr>
          <w:rFonts w:hint="eastAsia" w:ascii="仿宋_GB2312" w:hAnsi="仿宋_GB2312" w:eastAsia="仿宋_GB2312" w:cs="仿宋_GB2312"/>
          <w:kern w:val="0"/>
          <w:sz w:val="32"/>
          <w:szCs w:val="32"/>
          <w:highlight w:val="none"/>
          <w:lang w:val="en-US" w:eastAsia="zh-CN" w:bidi="ar"/>
        </w:rPr>
        <w:t>的</w:t>
      </w:r>
      <w:r>
        <w:rPr>
          <w:rFonts w:hint="eastAsia" w:ascii="仿宋_GB2312" w:hAnsi="仿宋_GB2312" w:eastAsia="仿宋_GB2312" w:cs="仿宋_GB2312"/>
          <w:kern w:val="0"/>
          <w:sz w:val="32"/>
          <w:szCs w:val="32"/>
          <w:highlight w:val="none"/>
          <w:lang w:bidi="ar"/>
        </w:rPr>
        <w:t>管理及运行等工作。</w:t>
      </w:r>
    </w:p>
    <w:p>
      <w:pPr>
        <w:pStyle w:val="4"/>
        <w:rPr>
          <w:rStyle w:val="29"/>
          <w:rFonts w:ascii="Times New Roman" w:hAnsi="Times New Roman"/>
          <w:b w:val="0"/>
          <w:bCs w:val="0"/>
          <w:color w:val="auto"/>
          <w:highlight w:val="none"/>
        </w:rPr>
      </w:pPr>
      <w:bookmarkStart w:id="8" w:name="_Toc15396601"/>
      <w:bookmarkStart w:id="9" w:name="_Toc15377200"/>
      <w:r>
        <w:rPr>
          <w:rFonts w:hint="eastAsia" w:ascii="Times New Roman" w:hAnsi="Times New Roman" w:eastAsia="黑体"/>
          <w:b w:val="0"/>
          <w:color w:val="auto"/>
          <w:highlight w:val="none"/>
        </w:rPr>
        <w:t>二、机</w:t>
      </w:r>
      <w:r>
        <w:rPr>
          <w:rStyle w:val="29"/>
          <w:rFonts w:hint="eastAsia" w:ascii="Times New Roman" w:hAnsi="Times New Roman" w:eastAsia="黑体"/>
          <w:b w:val="0"/>
          <w:bCs w:val="0"/>
          <w:color w:val="auto"/>
          <w:highlight w:val="none"/>
        </w:rPr>
        <w:t>构设置</w:t>
      </w:r>
      <w:bookmarkEnd w:id="8"/>
      <w:bookmarkEnd w:id="9"/>
    </w:p>
    <w:p>
      <w:pPr>
        <w:ind w:firstLine="800" w:firstLineChars="250"/>
        <w:rPr>
          <w:rFonts w:hint="eastAsia" w:ascii="仿宋_GB2312" w:hAnsi="方正仿宋_GBK" w:eastAsia="仿宋_GB2312" w:cs="方正仿宋_GBK"/>
          <w:color w:val="000000"/>
          <w:kern w:val="2"/>
          <w:sz w:val="32"/>
          <w:szCs w:val="32"/>
          <w:highlight w:val="none"/>
          <w:lang w:val="en-US" w:eastAsia="zh-CN" w:bidi="ar-SA"/>
        </w:rPr>
      </w:pPr>
      <w:r>
        <w:rPr>
          <w:rFonts w:hint="eastAsia" w:ascii="仿宋_GB2312" w:hAnsi="方正仿宋_GBK" w:eastAsia="仿宋_GB2312" w:cs="方正仿宋_GBK"/>
          <w:color w:val="000000"/>
          <w:kern w:val="2"/>
          <w:sz w:val="32"/>
          <w:szCs w:val="32"/>
          <w:highlight w:val="none"/>
          <w:lang w:val="en-US" w:eastAsia="zh-CN" w:bidi="ar-SA"/>
        </w:rPr>
        <w:t>攀枝花市人力资源和社会保障信息中心没有下属二级单位，没有内设科室。</w:t>
      </w:r>
    </w:p>
    <w:p>
      <w:pPr>
        <w:pStyle w:val="2"/>
        <w:adjustRightInd w:val="0"/>
        <w:snapToGrid w:val="0"/>
        <w:spacing w:before="93" w:line="600" w:lineRule="exact"/>
        <w:ind w:firstLine="672" w:firstLineChars="210"/>
        <w:rPr>
          <w:rFonts w:hint="eastAsia" w:ascii="仿宋_GB2312" w:hAnsi="方正仿宋_GBK" w:eastAsia="仿宋_GB2312" w:cs="方正仿宋_GBK"/>
          <w:color w:val="000000"/>
          <w:kern w:val="2"/>
          <w:sz w:val="32"/>
          <w:szCs w:val="32"/>
          <w:highlight w:val="none"/>
          <w:lang w:val="en-US" w:eastAsia="zh-CN" w:bidi="ar-SA"/>
        </w:rPr>
      </w:pPr>
      <w:r>
        <w:rPr>
          <w:rFonts w:hint="eastAsia" w:ascii="仿宋_GB2312" w:hAnsi="方正仿宋_GBK" w:eastAsia="仿宋_GB2312" w:cs="方正仿宋_GBK"/>
          <w:color w:val="000000"/>
          <w:kern w:val="2"/>
          <w:sz w:val="32"/>
          <w:szCs w:val="32"/>
          <w:highlight w:val="none"/>
          <w:lang w:val="en-US" w:eastAsia="zh-CN" w:bidi="ar-SA"/>
        </w:rPr>
        <w:t>我</w:t>
      </w:r>
      <w:r>
        <w:rPr>
          <w:rFonts w:hint="eastAsia" w:hAnsi="方正仿宋_GBK" w:cs="方正仿宋_GBK"/>
          <w:color w:val="000000"/>
          <w:kern w:val="2"/>
          <w:sz w:val="32"/>
          <w:szCs w:val="32"/>
          <w:highlight w:val="none"/>
          <w:lang w:val="en-US" w:eastAsia="zh-CN" w:bidi="ar-SA"/>
        </w:rPr>
        <w:t>单位</w:t>
      </w:r>
      <w:r>
        <w:rPr>
          <w:rFonts w:hint="eastAsia" w:ascii="仿宋_GB2312" w:hAnsi="方正仿宋_GBK" w:eastAsia="仿宋_GB2312" w:cs="方正仿宋_GBK"/>
          <w:color w:val="000000"/>
          <w:kern w:val="2"/>
          <w:sz w:val="32"/>
          <w:szCs w:val="32"/>
          <w:highlight w:val="none"/>
          <w:lang w:val="en-US" w:eastAsia="zh-CN" w:bidi="ar-SA"/>
        </w:rPr>
        <w:t>没有纳入202</w:t>
      </w:r>
      <w:r>
        <w:rPr>
          <w:rFonts w:hint="eastAsia" w:hAnsi="方正仿宋_GBK" w:cs="方正仿宋_GBK"/>
          <w:color w:val="000000"/>
          <w:kern w:val="2"/>
          <w:sz w:val="32"/>
          <w:szCs w:val="32"/>
          <w:highlight w:val="none"/>
          <w:lang w:val="en-US" w:eastAsia="zh-CN" w:bidi="ar-SA"/>
        </w:rPr>
        <w:t>5</w:t>
      </w:r>
      <w:r>
        <w:rPr>
          <w:rFonts w:hint="eastAsia" w:ascii="仿宋_GB2312" w:hAnsi="方正仿宋_GBK" w:eastAsia="仿宋_GB2312" w:cs="方正仿宋_GBK"/>
          <w:color w:val="000000"/>
          <w:kern w:val="2"/>
          <w:sz w:val="32"/>
          <w:szCs w:val="32"/>
          <w:highlight w:val="none"/>
          <w:lang w:val="en-US" w:eastAsia="zh-CN" w:bidi="ar-SA"/>
        </w:rPr>
        <w:t>年度部门决算编制范围的二级预算单位。</w:t>
      </w:r>
    </w:p>
    <w:p>
      <w:pPr>
        <w:pStyle w:val="2"/>
        <w:adjustRightInd w:val="0"/>
        <w:snapToGrid w:val="0"/>
        <w:spacing w:before="93" w:line="600" w:lineRule="exact"/>
        <w:ind w:firstLine="672" w:firstLineChars="210"/>
        <w:rPr>
          <w:rFonts w:hint="eastAsia" w:ascii="Times New Roman" w:hAnsi="Times New Roman" w:eastAsia="仿宋_GB2312" w:cs="仿宋_GB2312"/>
          <w:color w:val="auto"/>
          <w:sz w:val="32"/>
          <w:szCs w:val="32"/>
          <w:highlight w:val="none"/>
        </w:rPr>
      </w:pPr>
    </w:p>
    <w:p>
      <w:pPr>
        <w:pStyle w:val="2"/>
        <w:adjustRightInd w:val="0"/>
        <w:snapToGrid w:val="0"/>
        <w:spacing w:before="93" w:line="600" w:lineRule="exact"/>
        <w:rPr>
          <w:rFonts w:hint="eastAsia" w:ascii="Times New Roman" w:hAnsi="Times New Roman" w:eastAsia="仿宋_GB2312" w:cs="仿宋_GB2312"/>
          <w:color w:val="auto"/>
          <w:sz w:val="32"/>
          <w:szCs w:val="32"/>
          <w:highlight w:val="none"/>
        </w:rPr>
      </w:pPr>
    </w:p>
    <w:p>
      <w:pPr>
        <w:widowControl/>
        <w:jc w:val="left"/>
        <w:rPr>
          <w:rFonts w:ascii="Times New Roman" w:hAnsi="Times New Roman" w:eastAsia="仿宋"/>
          <w:color w:val="auto"/>
          <w:kern w:val="0"/>
          <w:sz w:val="32"/>
          <w:szCs w:val="32"/>
          <w:highlight w:val="none"/>
        </w:rPr>
      </w:pPr>
      <w:r>
        <w:rPr>
          <w:rFonts w:ascii="Times New Roman" w:hAnsi="Times New Roman" w:eastAsia="仿宋"/>
          <w:color w:val="auto"/>
          <w:sz w:val="32"/>
          <w:szCs w:val="32"/>
          <w:highlight w:val="none"/>
        </w:rPr>
        <w:br w:type="page"/>
      </w:r>
    </w:p>
    <w:p>
      <w:pPr>
        <w:pStyle w:val="3"/>
        <w:jc w:val="center"/>
        <w:rPr>
          <w:rFonts w:hint="eastAsia" w:ascii="Times New Roman" w:hAnsi="Times New Roman" w:eastAsia="方正小标宋简体" w:cs="方正小标宋简体"/>
          <w:b w:val="0"/>
          <w:color w:val="auto"/>
          <w:highlight w:val="none"/>
        </w:rPr>
      </w:pPr>
      <w:bookmarkStart w:id="10" w:name="_Toc15396602"/>
      <w:bookmarkStart w:id="11" w:name="_Toc15377204"/>
      <w:r>
        <w:rPr>
          <w:rFonts w:hint="eastAsia" w:ascii="Times New Roman" w:hAnsi="Times New Roman" w:eastAsia="方正小标宋简体" w:cs="方正小标宋简体"/>
          <w:b w:val="0"/>
          <w:color w:val="auto"/>
          <w:highlight w:val="none"/>
        </w:rPr>
        <w:t>第二部分</w:t>
      </w:r>
      <w:r>
        <w:rPr>
          <w:rFonts w:hint="eastAsia" w:ascii="Times New Roman" w:hAnsi="Times New Roman" w:eastAsia="方正小标宋简体" w:cs="方正小标宋简体"/>
          <w:b w:val="0"/>
          <w:color w:val="auto"/>
          <w:highlight w:val="none"/>
          <w:lang w:val="en-US" w:eastAsia="zh-CN"/>
        </w:rPr>
        <w:t xml:space="preserve"> </w:t>
      </w:r>
      <w:r>
        <w:rPr>
          <w:rFonts w:hint="eastAsia" w:ascii="Times New Roman" w:hAnsi="Times New Roman" w:eastAsia="方正小标宋简体" w:cs="方正小标宋简体"/>
          <w:b w:val="0"/>
          <w:color w:val="auto"/>
          <w:highlight w:val="none"/>
        </w:rPr>
        <w:t xml:space="preserve"> </w:t>
      </w:r>
      <w:r>
        <w:rPr>
          <w:rFonts w:hint="eastAsia" w:eastAsia="方正小标宋简体" w:cs="方正小标宋简体"/>
          <w:b w:val="0"/>
          <w:color w:val="auto"/>
          <w:highlight w:val="none"/>
          <w:lang w:val="en-US" w:eastAsia="zh-CN"/>
        </w:rPr>
        <w:t>2025年度单位</w:t>
      </w:r>
      <w:r>
        <w:rPr>
          <w:rFonts w:hint="eastAsia" w:ascii="Times New Roman" w:hAnsi="Times New Roman" w:eastAsia="方正小标宋简体" w:cs="方正小标宋简体"/>
          <w:b w:val="0"/>
          <w:color w:val="auto"/>
          <w:highlight w:val="none"/>
        </w:rPr>
        <w:t>决算情况说明</w:t>
      </w:r>
      <w:bookmarkEnd w:id="10"/>
      <w:bookmarkEnd w:id="11"/>
    </w:p>
    <w:p>
      <w:pPr>
        <w:rPr>
          <w:rFonts w:ascii="Times New Roman" w:hAnsi="Times New Roman"/>
          <w:color w:val="auto"/>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bookmarkStart w:id="12" w:name="_Toc15396603"/>
      <w:bookmarkStart w:id="13" w:name="_Toc15377205"/>
      <w:r>
        <w:rPr>
          <w:rFonts w:hint="eastAsia" w:ascii="Times New Roman" w:hAnsi="Times New Roman" w:eastAsia="黑体"/>
          <w:color w:val="auto"/>
          <w:sz w:val="32"/>
          <w:szCs w:val="32"/>
          <w:highlight w:val="none"/>
          <w:lang w:eastAsia="zh-CN"/>
        </w:rPr>
        <w:t>一、</w:t>
      </w:r>
      <w:r>
        <w:rPr>
          <w:rFonts w:hint="eastAsia" w:ascii="Times New Roman" w:hAnsi="Times New Roman" w:eastAsia="黑体"/>
          <w:color w:val="auto"/>
          <w:sz w:val="32"/>
          <w:szCs w:val="32"/>
          <w:highlight w:val="none"/>
        </w:rPr>
        <w:t>收</w:t>
      </w:r>
      <w:r>
        <w:rPr>
          <w:rStyle w:val="29"/>
          <w:rFonts w:hint="eastAsia" w:ascii="Times New Roman" w:hAnsi="Times New Roman" w:eastAsia="黑体"/>
          <w:b w:val="0"/>
          <w:color w:val="auto"/>
          <w:highlight w:val="none"/>
        </w:rPr>
        <w:t>入支出决算总体情况说明</w:t>
      </w:r>
      <w:bookmarkEnd w:id="12"/>
      <w:bookmarkEnd w:id="13"/>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default" w:eastAsia="仿宋_GB2312" w:cs="仿宋_GB2312"/>
          <w:color w:val="auto"/>
          <w:sz w:val="32"/>
          <w:szCs w:val="32"/>
          <w:highlight w:val="none"/>
          <w:lang w:val="en-US"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w:t>
      </w:r>
      <w:r>
        <w:rPr>
          <w:rFonts w:hint="eastAsia" w:ascii="Times New Roman" w:hAnsi="Times New Roman" w:eastAsia="仿宋_GB2312" w:cs="仿宋_GB2312"/>
          <w:color w:val="auto"/>
          <w:sz w:val="32"/>
          <w:szCs w:val="32"/>
          <w:highlight w:val="none"/>
          <w:lang w:eastAsia="zh-CN"/>
        </w:rPr>
        <w:t>均为</w:t>
      </w:r>
      <w:r>
        <w:rPr>
          <w:rFonts w:hint="eastAsia" w:ascii="仿宋_GB2312" w:hAnsi="仿宋_GB2312" w:eastAsia="仿宋_GB2312" w:cs="仿宋_GB2312"/>
          <w:sz w:val="32"/>
          <w:szCs w:val="32"/>
          <w:highlight w:val="none"/>
        </w:rPr>
        <w:t>272.65</w:t>
      </w:r>
      <w:r>
        <w:rPr>
          <w:rFonts w:hint="eastAsia" w:ascii="Times New Roman" w:hAnsi="Times New Roman" w:eastAsia="仿宋_GB2312" w:cs="仿宋_GB2312"/>
          <w:color w:val="auto"/>
          <w:sz w:val="32"/>
          <w:szCs w:val="32"/>
          <w:highlight w:val="none"/>
        </w:rPr>
        <w:t>万元。与</w:t>
      </w:r>
      <w:r>
        <w:rPr>
          <w:rFonts w:hint="eastAsia" w:eastAsia="仿宋_GB2312" w:cs="仿宋_GB2312"/>
          <w:color w:val="auto"/>
          <w:sz w:val="32"/>
          <w:szCs w:val="32"/>
          <w:highlight w:val="none"/>
          <w:lang w:eastAsia="zh-CN"/>
        </w:rPr>
        <w:t>上</w:t>
      </w:r>
      <w:r>
        <w:rPr>
          <w:rFonts w:hint="eastAsia" w:ascii="Times New Roman" w:hAnsi="Times New Roman" w:eastAsia="仿宋_GB2312" w:cs="仿宋_GB2312"/>
          <w:color w:val="auto"/>
          <w:sz w:val="32"/>
          <w:szCs w:val="32"/>
          <w:highlight w:val="none"/>
        </w:rPr>
        <w:t>年</w:t>
      </w:r>
      <w:r>
        <w:rPr>
          <w:rFonts w:hint="eastAsia" w:ascii="Times New Roman" w:hAnsi="Times New Roman" w:eastAsia="仿宋_GB2312" w:cs="仿宋_GB2312"/>
          <w:color w:val="auto"/>
          <w:sz w:val="32"/>
          <w:szCs w:val="32"/>
          <w:highlight w:val="none"/>
          <w:lang w:eastAsia="zh-CN"/>
        </w:rPr>
        <w:t>度</w:t>
      </w:r>
      <w:r>
        <w:rPr>
          <w:rFonts w:hint="eastAsia" w:ascii="Times New Roman" w:hAnsi="Times New Roman" w:eastAsia="仿宋_GB2312" w:cs="仿宋_GB2312"/>
          <w:color w:val="auto"/>
          <w:sz w:val="32"/>
          <w:szCs w:val="32"/>
          <w:highlight w:val="none"/>
        </w:rPr>
        <w:t>相比，</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总计各增加</w:t>
      </w:r>
      <w:r>
        <w:rPr>
          <w:rFonts w:hint="eastAsia" w:eastAsia="仿宋_GB2312" w:cs="仿宋_GB2312"/>
          <w:color w:val="auto"/>
          <w:sz w:val="32"/>
          <w:szCs w:val="32"/>
          <w:highlight w:val="none"/>
          <w:lang w:val="en-US" w:eastAsia="zh-CN"/>
        </w:rPr>
        <w:t>6.25</w:t>
      </w:r>
      <w:r>
        <w:rPr>
          <w:rFonts w:hint="eastAsia" w:ascii="Times New Roman" w:hAnsi="Times New Roman" w:eastAsia="仿宋_GB2312" w:cs="仿宋_GB2312"/>
          <w:color w:val="auto"/>
          <w:sz w:val="32"/>
          <w:szCs w:val="32"/>
          <w:highlight w:val="none"/>
        </w:rPr>
        <w:t>万元，增长</w:t>
      </w:r>
      <w:r>
        <w:rPr>
          <w:rFonts w:hint="eastAsia" w:eastAsia="仿宋_GB2312" w:cs="仿宋_GB2312"/>
          <w:color w:val="auto"/>
          <w:sz w:val="32"/>
          <w:szCs w:val="32"/>
          <w:highlight w:val="none"/>
          <w:lang w:val="en-US" w:eastAsia="zh-CN"/>
        </w:rPr>
        <w:t>2.4</w:t>
      </w:r>
      <w:r>
        <w:rPr>
          <w:rFonts w:hint="eastAsia" w:ascii="Times New Roman" w:hAnsi="Times New Roman" w:eastAsia="仿宋_GB2312" w:cs="仿宋_GB2312"/>
          <w:color w:val="auto"/>
          <w:sz w:val="32"/>
          <w:szCs w:val="32"/>
          <w:highlight w:val="none"/>
        </w:rPr>
        <w:t>%。主要变动原因是</w:t>
      </w:r>
      <w:r>
        <w:rPr>
          <w:rFonts w:hint="eastAsia" w:eastAsia="仿宋_GB2312" w:cs="仿宋_GB2312"/>
          <w:color w:val="auto"/>
          <w:sz w:val="32"/>
          <w:szCs w:val="32"/>
          <w:highlight w:val="none"/>
          <w:lang w:val="en-US" w:eastAsia="zh-CN"/>
        </w:rPr>
        <w:t>基本支出增加21.74万元（2025年新增1人，导致工资和福利支出增加），项目支出减少15.49万元。</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rPr>
      </w:pPr>
      <w:r>
        <w:rPr>
          <w:rFonts w:hint="eastAsia" w:eastAsia="仿宋_GB2312" w:cs="仿宋_GB2312"/>
          <w:color w:val="auto"/>
          <w:sz w:val="32"/>
          <w:szCs w:val="32"/>
          <w:highlight w:val="none"/>
          <w:lang w:val="en-US" w:eastAsia="zh-CN"/>
        </w:rPr>
        <w:drawing>
          <wp:anchor distT="0" distB="0" distL="114300" distR="114300" simplePos="0" relativeHeight="251659264" behindDoc="0" locked="0" layoutInCell="1" allowOverlap="1">
            <wp:simplePos x="0" y="0"/>
            <wp:positionH relativeFrom="column">
              <wp:posOffset>153035</wp:posOffset>
            </wp:positionH>
            <wp:positionV relativeFrom="paragraph">
              <wp:posOffset>118745</wp:posOffset>
            </wp:positionV>
            <wp:extent cx="4897120" cy="2439035"/>
            <wp:effectExtent l="0" t="0" r="5080" b="12065"/>
            <wp:wrapSquare wrapText="bothSides"/>
            <wp:docPr id="1" name="图片 1"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1"/>
                    <pic:cNvPicPr>
                      <a:picLocks noChangeAspect="1"/>
                    </pic:cNvPicPr>
                  </pic:nvPicPr>
                  <pic:blipFill>
                    <a:blip r:embed="rId11"/>
                    <a:stretch>
                      <a:fillRect/>
                    </a:stretch>
                  </pic:blipFill>
                  <pic:spPr>
                    <a:xfrm>
                      <a:off x="0" y="0"/>
                      <a:ext cx="4897120" cy="2439035"/>
                    </a:xfrm>
                    <a:prstGeom prst="rect">
                      <a:avLst/>
                    </a:prstGeom>
                  </pic:spPr>
                </pic:pic>
              </a:graphicData>
            </a:graphic>
          </wp:anchor>
        </w:drawing>
      </w:r>
      <w:r>
        <w:rPr>
          <w:rFonts w:hint="eastAsia" w:ascii="Times New Roman" w:hAnsi="Times New Roman" w:eastAsia="仿宋_GB2312" w:cs="仿宋_GB2312"/>
          <w:color w:val="auto"/>
          <w:sz w:val="32"/>
          <w:szCs w:val="32"/>
          <w:highlight w:val="none"/>
        </w:rPr>
        <w:t>图1：</w:t>
      </w:r>
      <w:r>
        <w:rPr>
          <w:rFonts w:hint="eastAsia" w:ascii="Times New Roman" w:hAnsi="Times New Roman" w:eastAsia="仿宋_GB2312" w:cs="仿宋_GB2312"/>
          <w:color w:val="auto"/>
          <w:sz w:val="32"/>
          <w:szCs w:val="32"/>
          <w:highlight w:val="none"/>
          <w:lang w:eastAsia="zh-CN"/>
        </w:rPr>
        <w:t>收入</w:t>
      </w:r>
      <w:r>
        <w:rPr>
          <w:rFonts w:hint="eastAsia" w:ascii="Times New Roman" w:hAnsi="Times New Roman" w:eastAsia="仿宋_GB2312" w:cs="仿宋_GB2312"/>
          <w:color w:val="auto"/>
          <w:sz w:val="32"/>
          <w:szCs w:val="32"/>
          <w:highlight w:val="none"/>
        </w:rPr>
        <w:t>、</w:t>
      </w:r>
      <w:r>
        <w:rPr>
          <w:rFonts w:hint="eastAsia" w:ascii="Times New Roman" w:hAnsi="Times New Roman" w:eastAsia="仿宋_GB2312" w:cs="仿宋_GB2312"/>
          <w:color w:val="auto"/>
          <w:sz w:val="32"/>
          <w:szCs w:val="32"/>
          <w:highlight w:val="none"/>
          <w:lang w:eastAsia="zh-CN"/>
        </w:rPr>
        <w:t>支出</w:t>
      </w:r>
      <w:r>
        <w:rPr>
          <w:rFonts w:hint="eastAsia" w:ascii="Times New Roman" w:hAnsi="Times New Roman" w:eastAsia="仿宋_GB2312" w:cs="仿宋_GB2312"/>
          <w:color w:val="auto"/>
          <w:sz w:val="32"/>
          <w:szCs w:val="32"/>
          <w:highlight w:val="none"/>
        </w:rPr>
        <w:t>决算总计变动情况图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1280" w:firstLineChars="400"/>
        <w:textAlignment w:val="auto"/>
        <w:outlineLvl w:val="1"/>
        <w:rPr>
          <w:rFonts w:hint="eastAsia" w:ascii="Times New Roman" w:hAnsi="Times New Roman" w:eastAsia="仿宋_GB2312" w:cs="仿宋_GB2312"/>
          <w:color w:val="auto"/>
          <w:sz w:val="32"/>
          <w:szCs w:val="32"/>
          <w:highlight w:val="none"/>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黑体"/>
          <w:color w:val="auto"/>
          <w:sz w:val="32"/>
          <w:szCs w:val="32"/>
          <w:highlight w:val="none"/>
          <w:lang w:eastAsia="zh-CN"/>
        </w:rPr>
      </w:pPr>
      <w:bookmarkStart w:id="14" w:name="_Toc15396604"/>
      <w:bookmarkStart w:id="15" w:name="_Toc15377206"/>
      <w:r>
        <w:rPr>
          <w:rFonts w:hint="eastAsia" w:ascii="Times New Roman" w:hAnsi="Times New Roman" w:eastAsia="黑体"/>
          <w:color w:val="auto"/>
          <w:sz w:val="32"/>
          <w:szCs w:val="32"/>
          <w:highlight w:val="none"/>
          <w:lang w:eastAsia="zh-CN"/>
        </w:rPr>
        <w:t>二、收入决算情况说明</w:t>
      </w:r>
      <w:bookmarkEnd w:id="14"/>
      <w:bookmarkEnd w:id="1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本年收入合计</w:t>
      </w:r>
      <w:r>
        <w:rPr>
          <w:rFonts w:hint="eastAsia" w:ascii="仿宋_GB2312" w:hAnsi="仿宋_GB2312" w:eastAsia="仿宋_GB2312" w:cs="仿宋_GB2312"/>
          <w:sz w:val="32"/>
          <w:szCs w:val="32"/>
          <w:highlight w:val="none"/>
        </w:rPr>
        <w:t>272.65</w:t>
      </w:r>
      <w:r>
        <w:rPr>
          <w:rFonts w:hint="eastAsia" w:ascii="Times New Roman" w:hAnsi="Times New Roman" w:eastAsia="仿宋_GB2312" w:cs="仿宋_GB2312"/>
          <w:color w:val="auto"/>
          <w:sz w:val="32"/>
          <w:szCs w:val="32"/>
          <w:highlight w:val="none"/>
          <w:lang w:eastAsia="zh-CN"/>
        </w:rPr>
        <w:t>万元，其中：一般公共预算财政拨款收入</w:t>
      </w:r>
      <w:r>
        <w:rPr>
          <w:rFonts w:hint="eastAsia" w:ascii="仿宋_GB2312" w:hAnsi="仿宋_GB2312" w:eastAsia="仿宋_GB2312" w:cs="仿宋_GB2312"/>
          <w:sz w:val="32"/>
          <w:szCs w:val="32"/>
          <w:highlight w:val="none"/>
        </w:rPr>
        <w:t>272.65</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100</w:t>
      </w:r>
      <w:r>
        <w:rPr>
          <w:rFonts w:hint="eastAsia" w:ascii="Times New Roman" w:hAnsi="Times New Roman" w:eastAsia="仿宋_GB2312" w:cs="仿宋_GB2312"/>
          <w:color w:val="auto"/>
          <w:sz w:val="32"/>
          <w:szCs w:val="32"/>
          <w:highlight w:val="none"/>
          <w:lang w:eastAsia="zh-CN"/>
        </w:rPr>
        <w:t>%；政府性基金预算财政拨款收入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%；国有资本经营预算财政拨款收入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%；上级补助收入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%；事业收入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%；经营收入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%；附属单位上缴收入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%；其他收入</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0288" behindDoc="1" locked="0" layoutInCell="1" allowOverlap="1">
            <wp:simplePos x="0" y="0"/>
            <wp:positionH relativeFrom="column">
              <wp:posOffset>-51435</wp:posOffset>
            </wp:positionH>
            <wp:positionV relativeFrom="page">
              <wp:posOffset>1461135</wp:posOffset>
            </wp:positionV>
            <wp:extent cx="4973320" cy="2753995"/>
            <wp:effectExtent l="0" t="0" r="5080" b="1905"/>
            <wp:wrapTight wrapText="bothSides">
              <wp:wrapPolygon>
                <wp:start x="0" y="0"/>
                <wp:lineTo x="0" y="21515"/>
                <wp:lineTo x="21567" y="21515"/>
                <wp:lineTo x="21567" y="0"/>
                <wp:lineTo x="0" y="0"/>
              </wp:wrapPolygon>
            </wp:wrapTight>
            <wp:docPr id="3" name="图片 3"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图片2"/>
                    <pic:cNvPicPr>
                      <a:picLocks noChangeAspect="1"/>
                    </pic:cNvPicPr>
                  </pic:nvPicPr>
                  <pic:blipFill>
                    <a:blip r:embed="rId12"/>
                    <a:stretch>
                      <a:fillRect/>
                    </a:stretch>
                  </pic:blipFill>
                  <pic:spPr>
                    <a:xfrm>
                      <a:off x="0" y="0"/>
                      <a:ext cx="4973320" cy="2753995"/>
                    </a:xfrm>
                    <a:prstGeom prst="rect">
                      <a:avLst/>
                    </a:prstGeom>
                  </pic:spPr>
                </pic:pic>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240" w:firstLineChars="7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图2：收入决算结构图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黑体"/>
          <w:color w:val="auto"/>
          <w:sz w:val="32"/>
          <w:szCs w:val="32"/>
          <w:highlight w:val="none"/>
          <w:lang w:eastAsia="zh-CN"/>
        </w:rPr>
      </w:pPr>
      <w:bookmarkStart w:id="16" w:name="_Toc15377207"/>
      <w:bookmarkStart w:id="17" w:name="_Toc15396605"/>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Style w:val="29"/>
          <w:rFonts w:hint="eastAsia" w:ascii="Times New Roman" w:hAnsi="Times New Roman" w:eastAsia="黑体"/>
          <w:b w:val="0"/>
          <w:color w:val="auto"/>
          <w:highlight w:val="none"/>
        </w:rPr>
      </w:pPr>
      <w:r>
        <w:rPr>
          <w:rFonts w:hint="eastAsia" w:ascii="Times New Roman" w:hAnsi="Times New Roman" w:eastAsia="黑体"/>
          <w:color w:val="auto"/>
          <w:sz w:val="32"/>
          <w:szCs w:val="32"/>
          <w:highlight w:val="none"/>
          <w:lang w:eastAsia="zh-CN"/>
        </w:rPr>
        <w:t>三、</w:t>
      </w:r>
      <w:r>
        <w:rPr>
          <w:rFonts w:hint="eastAsia" w:ascii="Times New Roman" w:hAnsi="Times New Roman" w:eastAsia="黑体"/>
          <w:color w:val="auto"/>
          <w:sz w:val="32"/>
          <w:szCs w:val="32"/>
          <w:highlight w:val="none"/>
        </w:rPr>
        <w:t>支</w:t>
      </w:r>
      <w:r>
        <w:rPr>
          <w:rStyle w:val="29"/>
          <w:rFonts w:hint="eastAsia" w:ascii="Times New Roman" w:hAnsi="Times New Roman" w:eastAsia="黑体"/>
          <w:b w:val="0"/>
          <w:color w:val="auto"/>
          <w:highlight w:val="none"/>
        </w:rPr>
        <w:t>出决算情况说明</w:t>
      </w:r>
      <w:bookmarkEnd w:id="16"/>
      <w:bookmarkEnd w:id="17"/>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0" w:firstLineChars="200"/>
        <w:textAlignment w:val="auto"/>
        <w:outlineLvl w:val="1"/>
        <w:rPr>
          <w:rFonts w:hint="eastAsia" w:ascii="Times New Roman" w:hAnsi="Times New Roman" w:eastAsia="仿宋_GB2312" w:cs="仿宋_GB2312"/>
          <w:color w:val="auto"/>
          <w:sz w:val="32"/>
          <w:szCs w:val="32"/>
          <w:highlight w:val="none"/>
          <w:lang w:eastAsia="zh-CN"/>
        </w:rPr>
      </w:pPr>
      <w:r>
        <w:rPr>
          <w:rFonts w:hint="eastAsia" w:eastAsia="仿宋_GB2312" w:cs="仿宋_GB2312"/>
          <w:color w:val="auto"/>
          <w:sz w:val="32"/>
          <w:szCs w:val="32"/>
          <w:highlight w:val="none"/>
          <w:lang w:eastAsia="zh-CN"/>
        </w:rPr>
        <w:t>2025年度</w:t>
      </w:r>
      <w:r>
        <w:rPr>
          <w:rFonts w:hint="eastAsia" w:ascii="Times New Roman" w:hAnsi="Times New Roman" w:eastAsia="仿宋_GB2312" w:cs="仿宋_GB2312"/>
          <w:color w:val="auto"/>
          <w:sz w:val="32"/>
          <w:szCs w:val="32"/>
          <w:highlight w:val="none"/>
          <w:lang w:eastAsia="zh-CN"/>
        </w:rPr>
        <w:t>本年支出合计</w:t>
      </w:r>
      <w:r>
        <w:rPr>
          <w:rFonts w:hint="eastAsia" w:ascii="仿宋_GB2312" w:hAnsi="仿宋_GB2312" w:eastAsia="仿宋_GB2312" w:cs="仿宋_GB2312"/>
          <w:sz w:val="32"/>
          <w:szCs w:val="32"/>
          <w:highlight w:val="none"/>
        </w:rPr>
        <w:t>272.65</w:t>
      </w:r>
      <w:r>
        <w:rPr>
          <w:rFonts w:hint="eastAsia" w:ascii="Times New Roman" w:hAnsi="Times New Roman" w:eastAsia="仿宋_GB2312" w:cs="仿宋_GB2312"/>
          <w:color w:val="auto"/>
          <w:sz w:val="32"/>
          <w:szCs w:val="32"/>
          <w:highlight w:val="none"/>
          <w:lang w:eastAsia="zh-CN"/>
        </w:rPr>
        <w:t>万元，其中：基本支出</w:t>
      </w:r>
      <w:r>
        <w:rPr>
          <w:rFonts w:hint="eastAsia" w:ascii="仿宋_GB2312" w:hAnsi="仿宋_GB2312" w:eastAsia="仿宋_GB2312" w:cs="仿宋_GB2312"/>
          <w:sz w:val="32"/>
          <w:szCs w:val="32"/>
          <w:highlight w:val="none"/>
        </w:rPr>
        <w:t>239.47</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87.8</w:t>
      </w:r>
      <w:r>
        <w:rPr>
          <w:rFonts w:hint="eastAsia" w:ascii="Times New Roman" w:hAnsi="Times New Roman" w:eastAsia="仿宋_GB2312" w:cs="仿宋_GB2312"/>
          <w:color w:val="auto"/>
          <w:sz w:val="32"/>
          <w:szCs w:val="32"/>
          <w:highlight w:val="none"/>
          <w:lang w:eastAsia="zh-CN"/>
        </w:rPr>
        <w:t>%；项目支出</w:t>
      </w:r>
      <w:r>
        <w:rPr>
          <w:rFonts w:hint="eastAsia" w:ascii="仿宋_GB2312" w:hAnsi="仿宋_GB2312" w:eastAsia="仿宋_GB2312" w:cs="仿宋_GB2312"/>
          <w:sz w:val="32"/>
          <w:szCs w:val="32"/>
          <w:highlight w:val="none"/>
        </w:rPr>
        <w:t>33.18</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12.</w:t>
      </w:r>
      <w:r>
        <w:rPr>
          <w:rFonts w:hint="eastAsia" w:ascii="仿宋_GB2312" w:hAnsi="仿宋_GB2312" w:eastAsia="仿宋_GB2312" w:cs="仿宋_GB2312"/>
          <w:sz w:val="32"/>
          <w:szCs w:val="32"/>
          <w:highlight w:val="none"/>
          <w:lang w:val="en-US" w:eastAsia="zh-CN"/>
        </w:rPr>
        <w:t>2</w:t>
      </w:r>
      <w:r>
        <w:rPr>
          <w:rFonts w:hint="eastAsia" w:ascii="Times New Roman" w:hAnsi="Times New Roman" w:eastAsia="仿宋_GB2312" w:cs="仿宋_GB2312"/>
          <w:color w:val="auto"/>
          <w:sz w:val="32"/>
          <w:szCs w:val="32"/>
          <w:highlight w:val="none"/>
          <w:lang w:eastAsia="zh-CN"/>
        </w:rPr>
        <w:t>%；上缴上级支出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%；经营支出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%；对附属单位补助支出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万元，占</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sz w:val="32"/>
          <w:szCs w:val="32"/>
          <w:highlight w:val="none"/>
          <w:lang w:eastAsia="zh-CN"/>
        </w:rPr>
        <w:t>%。</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sectPr>
          <w:footerReference r:id="rId7" w:type="default"/>
          <w:pgSz w:w="11906" w:h="16838"/>
          <w:pgMar w:top="1440" w:right="1800" w:bottom="1440" w:left="1800" w:header="851" w:footer="992" w:gutter="0"/>
          <w:pgNumType w:fmt="decimal" w:start="1"/>
          <w:cols w:space="425" w:num="1"/>
          <w:docGrid w:type="lines" w:linePitch="312" w:charSpace="0"/>
        </w:sect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drawing>
          <wp:anchor distT="0" distB="0" distL="114300" distR="114300" simplePos="0" relativeHeight="251662336" behindDoc="1" locked="0" layoutInCell="1" allowOverlap="1">
            <wp:simplePos x="0" y="0"/>
            <wp:positionH relativeFrom="column">
              <wp:posOffset>107950</wp:posOffset>
            </wp:positionH>
            <wp:positionV relativeFrom="paragraph">
              <wp:posOffset>116205</wp:posOffset>
            </wp:positionV>
            <wp:extent cx="4847590" cy="2658745"/>
            <wp:effectExtent l="0" t="0" r="3810" b="0"/>
            <wp:wrapTight wrapText="bothSides">
              <wp:wrapPolygon>
                <wp:start x="0" y="0"/>
                <wp:lineTo x="0" y="21461"/>
                <wp:lineTo x="21560" y="21461"/>
                <wp:lineTo x="21560" y="0"/>
                <wp:lineTo x="0" y="0"/>
              </wp:wrapPolygon>
            </wp:wrapTight>
            <wp:docPr id="8" name="图片 8" descr="图片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图片3"/>
                    <pic:cNvPicPr>
                      <a:picLocks noChangeAspect="1"/>
                    </pic:cNvPicPr>
                  </pic:nvPicPr>
                  <pic:blipFill>
                    <a:blip r:embed="rId13"/>
                    <a:stretch>
                      <a:fillRect/>
                    </a:stretch>
                  </pic:blipFill>
                  <pic:spPr>
                    <a:xfrm>
                      <a:off x="0" y="0"/>
                      <a:ext cx="4847590" cy="2658745"/>
                    </a:xfrm>
                    <a:prstGeom prst="rect">
                      <a:avLst/>
                    </a:prstGeom>
                  </pic:spPr>
                </pic:pic>
              </a:graphicData>
            </a:graphic>
          </wp:anchor>
        </w:drawing>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textAlignment w:val="auto"/>
        <w:outlineLvl w:val="1"/>
        <w:rPr>
          <w:rFonts w:hint="eastAsia" w:ascii="Times New Roman" w:hAnsi="Times New Roman" w:eastAsia="仿宋_GB2312" w:cs="仿宋_GB2312"/>
          <w:color w:val="auto"/>
          <w:sz w:val="32"/>
          <w:szCs w:val="32"/>
          <w:highlight w:val="none"/>
          <w:lang w:eastAsia="zh-CN"/>
        </w:rPr>
      </w:pP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560" w:firstLineChars="800"/>
        <w:textAlignment w:val="auto"/>
        <w:outlineLvl w:val="1"/>
        <w:rPr>
          <w:rFonts w:hint="eastAsia" w:ascii="Times New Roman" w:hAnsi="Times New Roman" w:eastAsia="仿宋_GB2312" w:cs="仿宋_GB2312"/>
          <w:color w:val="auto"/>
          <w:sz w:val="32"/>
          <w:szCs w:val="32"/>
          <w:highlight w:val="none"/>
          <w:lang w:eastAsia="zh-CN"/>
        </w:rPr>
      </w:pPr>
      <w:r>
        <w:rPr>
          <w:rFonts w:hint="eastAsia" w:ascii="Times New Roman" w:hAnsi="Times New Roman" w:eastAsia="仿宋_GB2312" w:cs="仿宋_GB2312"/>
          <w:color w:val="auto"/>
          <w:sz w:val="32"/>
          <w:szCs w:val="32"/>
          <w:highlight w:val="none"/>
          <w:lang w:eastAsia="zh-CN"/>
        </w:rPr>
        <w:t>图3：支出决算结构图</w:t>
      </w:r>
    </w:p>
    <w:p>
      <w:pPr>
        <w:pStyle w:val="27"/>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2560" w:firstLineChars="800"/>
        <w:textAlignment w:val="auto"/>
        <w:outlineLvl w:val="1"/>
        <w:rPr>
          <w:rFonts w:hint="eastAsia" w:ascii="Times New Roman" w:hAnsi="Times New Roman" w:eastAsia="仿宋_GB2312" w:cs="仿宋_GB2312"/>
          <w:color w:val="auto"/>
          <w:sz w:val="32"/>
          <w:szCs w:val="32"/>
          <w:highlight w:val="none"/>
          <w:lang w:eastAsia="zh-CN"/>
        </w:rPr>
      </w:pPr>
    </w:p>
    <w:p>
      <w:pPr>
        <w:spacing w:line="600" w:lineRule="exact"/>
        <w:ind w:firstLine="640" w:firstLineChars="200"/>
        <w:outlineLvl w:val="1"/>
        <w:rPr>
          <w:rStyle w:val="29"/>
          <w:rFonts w:ascii="Times New Roman" w:hAnsi="Times New Roman" w:eastAsia="黑体"/>
          <w:b w:val="0"/>
          <w:color w:val="auto"/>
          <w:highlight w:val="none"/>
        </w:rPr>
      </w:pPr>
      <w:bookmarkStart w:id="18" w:name="_Toc15396606"/>
      <w:bookmarkStart w:id="19" w:name="_Toc15377208"/>
      <w:r>
        <w:rPr>
          <w:rFonts w:hint="eastAsia" w:ascii="Times New Roman" w:hAnsi="Times New Roman" w:eastAsia="黑体"/>
          <w:color w:val="auto"/>
          <w:sz w:val="32"/>
          <w:szCs w:val="32"/>
          <w:highlight w:val="none"/>
        </w:rPr>
        <w:t>四、财</w:t>
      </w:r>
      <w:r>
        <w:rPr>
          <w:rStyle w:val="29"/>
          <w:rFonts w:hint="eastAsia" w:ascii="Times New Roman" w:hAnsi="Times New Roman" w:eastAsia="黑体"/>
          <w:b w:val="0"/>
          <w:color w:val="auto"/>
          <w:highlight w:val="none"/>
        </w:rPr>
        <w:t>政拨款收入支出决算总体情况说明</w:t>
      </w:r>
      <w:bookmarkEnd w:id="18"/>
      <w:bookmarkEnd w:id="19"/>
    </w:p>
    <w:p>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财政拨款收入、支出总计均为</w:t>
      </w:r>
      <w:r>
        <w:rPr>
          <w:rFonts w:hint="eastAsia" w:ascii="仿宋_GB2312" w:hAnsi="仿宋_GB2312" w:eastAsia="仿宋_GB2312" w:cs="仿宋_GB2312"/>
          <w:sz w:val="32"/>
          <w:szCs w:val="32"/>
          <w:highlight w:val="none"/>
        </w:rPr>
        <w:t>272.65</w:t>
      </w:r>
      <w:r>
        <w:rPr>
          <w:rFonts w:hint="eastAsia" w:ascii="Times New Roman" w:hAnsi="Times New Roman" w:eastAsia="仿宋_GB2312" w:cs="仿宋_GB2312"/>
          <w:color w:val="auto"/>
          <w:kern w:val="2"/>
          <w:sz w:val="32"/>
          <w:szCs w:val="32"/>
          <w:highlight w:val="none"/>
          <w:lang w:val="en-US" w:eastAsia="zh-CN" w:bidi="ar-SA"/>
        </w:rPr>
        <w:t>万元。与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年度相比，财政拨款收入、支出总计各增加</w:t>
      </w:r>
      <w:r>
        <w:rPr>
          <w:rFonts w:hint="eastAsia" w:eastAsia="仿宋_GB2312" w:cs="仿宋_GB2312"/>
          <w:color w:val="auto"/>
          <w:kern w:val="2"/>
          <w:sz w:val="32"/>
          <w:szCs w:val="32"/>
          <w:highlight w:val="none"/>
          <w:lang w:val="en-US" w:eastAsia="zh-CN" w:bidi="ar-SA"/>
        </w:rPr>
        <w:t>6.25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基本支出增加21.74万元（2025年新增1人，导致工资和福利支出增加），项目支出减少15.49万元。</w:t>
      </w:r>
    </w:p>
    <w:p>
      <w:pPr>
        <w:pStyle w:val="2"/>
        <w:rPr>
          <w:rFonts w:hint="eastAsia"/>
          <w:highlight w:val="none"/>
          <w:lang w:val="en-US" w:eastAsia="zh-CN"/>
        </w:rPr>
      </w:pPr>
    </w:p>
    <w:p>
      <w:pPr>
        <w:spacing w:line="600" w:lineRule="exact"/>
        <w:ind w:firstLine="1280" w:firstLineChars="4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图4：财政拨款收、支决算总计变动情况</w:t>
      </w: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1312" behindDoc="1" locked="0" layoutInCell="1" allowOverlap="1">
            <wp:simplePos x="0" y="0"/>
            <wp:positionH relativeFrom="column">
              <wp:posOffset>178435</wp:posOffset>
            </wp:positionH>
            <wp:positionV relativeFrom="paragraph">
              <wp:posOffset>2540</wp:posOffset>
            </wp:positionV>
            <wp:extent cx="4896485" cy="2202180"/>
            <wp:effectExtent l="0" t="0" r="5715" b="7620"/>
            <wp:wrapTight wrapText="bothSides">
              <wp:wrapPolygon>
                <wp:start x="0" y="0"/>
                <wp:lineTo x="0" y="21426"/>
                <wp:lineTo x="21569" y="21426"/>
                <wp:lineTo x="21569" y="0"/>
                <wp:lineTo x="0" y="0"/>
              </wp:wrapPolygon>
            </wp:wrapTight>
            <wp:docPr id="5" name="图片 5" descr="图片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图片4"/>
                    <pic:cNvPicPr>
                      <a:picLocks noChangeAspect="1"/>
                    </pic:cNvPicPr>
                  </pic:nvPicPr>
                  <pic:blipFill>
                    <a:blip r:embed="rId14"/>
                    <a:stretch>
                      <a:fillRect/>
                    </a:stretch>
                  </pic:blipFill>
                  <pic:spPr>
                    <a:xfrm>
                      <a:off x="0" y="0"/>
                      <a:ext cx="4896485" cy="2202180"/>
                    </a:xfrm>
                    <a:prstGeom prst="rect">
                      <a:avLst/>
                    </a:prstGeom>
                  </pic:spPr>
                </pic:pic>
              </a:graphicData>
            </a:graphic>
          </wp:anchor>
        </w:drawing>
      </w:r>
    </w:p>
    <w:p>
      <w:pPr>
        <w:spacing w:line="600" w:lineRule="exact"/>
        <w:ind w:firstLine="640" w:firstLineChars="200"/>
        <w:outlineLvl w:val="1"/>
        <w:rPr>
          <w:rStyle w:val="29"/>
          <w:rFonts w:ascii="Times New Roman" w:hAnsi="Times New Roman" w:eastAsia="黑体"/>
          <w:b w:val="0"/>
          <w:color w:val="auto"/>
          <w:highlight w:val="none"/>
        </w:rPr>
      </w:pPr>
      <w:bookmarkStart w:id="20" w:name="_Toc15396607"/>
      <w:bookmarkStart w:id="21" w:name="_Toc15377209"/>
      <w:r>
        <w:rPr>
          <w:rFonts w:hint="eastAsia" w:ascii="Times New Roman" w:hAnsi="Times New Roman" w:eastAsia="黑体"/>
          <w:color w:val="auto"/>
          <w:sz w:val="32"/>
          <w:szCs w:val="32"/>
          <w:highlight w:val="none"/>
        </w:rPr>
        <w:t>五、</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般公共预算财政拨款支出决算情况说明</w:t>
      </w:r>
      <w:bookmarkEnd w:id="20"/>
      <w:bookmarkEnd w:id="2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2" w:name="_Toc15377210"/>
      <w:r>
        <w:rPr>
          <w:rFonts w:hint="eastAsia" w:ascii="Times New Roman" w:hAnsi="Times New Roman" w:eastAsia="楷体_GB2312" w:cs="楷体_GB2312"/>
          <w:b/>
          <w:color w:val="auto"/>
          <w:sz w:val="32"/>
          <w:szCs w:val="32"/>
          <w:highlight w:val="none"/>
        </w:rPr>
        <w:t>（一）一般公共预算财政拨款支出决算总体情况</w:t>
      </w:r>
      <w:bookmarkEnd w:id="22"/>
    </w:p>
    <w:p>
      <w:pPr>
        <w:spacing w:line="600" w:lineRule="exact"/>
        <w:ind w:firstLine="640"/>
        <w:rPr>
          <w:rFonts w:hint="eastAsia" w:eastAsia="仿宋_GB2312" w:cs="仿宋_GB2312"/>
          <w:color w:val="auto"/>
          <w:sz w:val="32"/>
          <w:szCs w:val="32"/>
          <w:highlight w:val="none"/>
          <w:lang w:val="en-US" w:eastAsia="zh-CN"/>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highlight w:val="none"/>
        </w:rPr>
        <w:t>272.65</w:t>
      </w:r>
      <w:r>
        <w:rPr>
          <w:rFonts w:hint="eastAsia" w:ascii="Times New Roman" w:hAnsi="Times New Roman" w:eastAsia="仿宋_GB2312" w:cs="仿宋_GB2312"/>
          <w:color w:val="auto"/>
          <w:kern w:val="2"/>
          <w:sz w:val="32"/>
          <w:szCs w:val="32"/>
          <w:highlight w:val="none"/>
          <w:lang w:val="en-US" w:eastAsia="zh-CN" w:bidi="ar-SA"/>
        </w:rPr>
        <w:t>万元，占本年支出合计的</w:t>
      </w:r>
      <w:r>
        <w:rPr>
          <w:rFonts w:hint="eastAsia" w:ascii="仿宋_GB2312" w:hAnsi="仿宋_GB2312" w:eastAsia="仿宋_GB2312" w:cs="仿宋_GB2312"/>
          <w:sz w:val="32"/>
          <w:szCs w:val="32"/>
          <w:highlight w:val="none"/>
        </w:rPr>
        <w:t>100</w:t>
      </w:r>
      <w:r>
        <w:rPr>
          <w:rFonts w:hint="eastAsia" w:ascii="Times New Roman" w:hAnsi="Times New Roman" w:eastAsia="仿宋_GB2312" w:cs="仿宋_GB2312"/>
          <w:color w:val="auto"/>
          <w:kern w:val="2"/>
          <w:sz w:val="32"/>
          <w:szCs w:val="32"/>
          <w:highlight w:val="none"/>
          <w:lang w:val="en-US" w:eastAsia="zh-CN" w:bidi="ar-SA"/>
        </w:rPr>
        <w:t>%。与</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年度相比，一般公共预算财政拨款支出增加</w:t>
      </w:r>
      <w:r>
        <w:rPr>
          <w:rFonts w:hint="eastAsia" w:eastAsia="仿宋_GB2312" w:cs="仿宋_GB2312"/>
          <w:color w:val="auto"/>
          <w:kern w:val="2"/>
          <w:sz w:val="32"/>
          <w:szCs w:val="32"/>
          <w:highlight w:val="none"/>
          <w:lang w:val="en-US" w:eastAsia="zh-CN" w:bidi="ar-SA"/>
        </w:rPr>
        <w:t>6.25</w:t>
      </w:r>
      <w:r>
        <w:rPr>
          <w:rFonts w:hint="eastAsia" w:ascii="Times New Roman" w:hAnsi="Times New Roman" w:eastAsia="仿宋_GB2312" w:cs="仿宋_GB2312"/>
          <w:color w:val="auto"/>
          <w:kern w:val="2"/>
          <w:sz w:val="32"/>
          <w:szCs w:val="32"/>
          <w:highlight w:val="none"/>
          <w:lang w:val="en-US" w:eastAsia="zh-CN" w:bidi="ar-SA"/>
        </w:rPr>
        <w:t>万元，增长</w:t>
      </w:r>
      <w:r>
        <w:rPr>
          <w:rFonts w:hint="eastAsia" w:eastAsia="仿宋_GB2312" w:cs="仿宋_GB2312"/>
          <w:color w:val="auto"/>
          <w:kern w:val="2"/>
          <w:sz w:val="32"/>
          <w:szCs w:val="32"/>
          <w:highlight w:val="none"/>
          <w:lang w:val="en-US" w:eastAsia="zh-CN" w:bidi="ar-SA"/>
        </w:rPr>
        <w:t>2.4</w:t>
      </w:r>
      <w:r>
        <w:rPr>
          <w:rFonts w:hint="eastAsia" w:ascii="Times New Roman" w:hAnsi="Times New Roman" w:eastAsia="仿宋_GB2312" w:cs="仿宋_GB2312"/>
          <w:color w:val="auto"/>
          <w:kern w:val="2"/>
          <w:sz w:val="32"/>
          <w:szCs w:val="32"/>
          <w:highlight w:val="none"/>
          <w:lang w:val="en-US" w:eastAsia="zh-CN" w:bidi="ar-SA"/>
        </w:rPr>
        <w:t>%。主要变动原因是</w:t>
      </w:r>
      <w:r>
        <w:rPr>
          <w:rFonts w:hint="eastAsia" w:eastAsia="仿宋_GB2312" w:cs="仿宋_GB2312"/>
          <w:color w:val="auto"/>
          <w:sz w:val="32"/>
          <w:szCs w:val="32"/>
          <w:highlight w:val="none"/>
          <w:lang w:val="en-US" w:eastAsia="zh-CN"/>
        </w:rPr>
        <w:t>基本支出增加21.74万元（2025年新增1人，导致工资和福利支出增加），项目支出减少15.49万元。</w:t>
      </w:r>
    </w:p>
    <w:p>
      <w:pPr>
        <w:pStyle w:val="2"/>
        <w:rPr>
          <w:rFonts w:hint="eastAsia" w:eastAsia="仿宋_GB2312" w:cs="仿宋_GB2312"/>
          <w:color w:val="auto"/>
          <w:sz w:val="32"/>
          <w:szCs w:val="32"/>
          <w:highlight w:val="none"/>
          <w:lang w:val="en-US" w:eastAsia="zh-CN"/>
        </w:rPr>
      </w:pPr>
      <w:r>
        <w:rPr>
          <w:rFonts w:hint="eastAsia" w:eastAsia="仿宋_GB2312" w:cs="仿宋_GB2312"/>
          <w:color w:val="auto"/>
          <w:sz w:val="32"/>
          <w:szCs w:val="32"/>
          <w:highlight w:val="none"/>
          <w:lang w:val="en-US" w:eastAsia="zh-CN"/>
        </w:rPr>
        <w:drawing>
          <wp:inline distT="0" distB="0" distL="114300" distR="114300">
            <wp:extent cx="4882515" cy="2690495"/>
            <wp:effectExtent l="0" t="0" r="6985" b="1905"/>
            <wp:docPr id="9" name="图片 9" descr="图片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图片5"/>
                    <pic:cNvPicPr>
                      <a:picLocks noChangeAspect="1"/>
                    </pic:cNvPicPr>
                  </pic:nvPicPr>
                  <pic:blipFill>
                    <a:blip r:embed="rId15"/>
                    <a:stretch>
                      <a:fillRect/>
                    </a:stretch>
                  </pic:blipFill>
                  <pic:spPr>
                    <a:xfrm>
                      <a:off x="0" y="0"/>
                      <a:ext cx="4882515" cy="2690495"/>
                    </a:xfrm>
                    <a:prstGeom prst="rect">
                      <a:avLst/>
                    </a:prstGeom>
                  </pic:spPr>
                </pic:pic>
              </a:graphicData>
            </a:graphic>
          </wp:inline>
        </w:drawing>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图5：一般公共预算财政拨款支出决算变动情况</w:t>
      </w:r>
    </w:p>
    <w:p>
      <w:pPr>
        <w:pStyle w:val="2"/>
        <w:rPr>
          <w:rFonts w:hint="eastAsia"/>
          <w:highlight w:val="none"/>
          <w:lang w:val="en-US" w:eastAsia="zh-CN"/>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3" w:name="_Toc15377211"/>
      <w:r>
        <w:rPr>
          <w:rFonts w:hint="eastAsia" w:ascii="Times New Roman" w:hAnsi="Times New Roman" w:eastAsia="楷体_GB2312" w:cs="楷体_GB2312"/>
          <w:b/>
          <w:color w:val="auto"/>
          <w:sz w:val="32"/>
          <w:szCs w:val="32"/>
          <w:highlight w:val="none"/>
        </w:rPr>
        <w:t>（二）一般公共预算财政拨款支出决算结构情况</w:t>
      </w:r>
      <w:bookmarkEnd w:id="23"/>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一般公共预算财政拨款支出</w:t>
      </w:r>
      <w:r>
        <w:rPr>
          <w:rFonts w:hint="eastAsia" w:ascii="仿宋_GB2312" w:hAnsi="仿宋_GB2312" w:eastAsia="仿宋_GB2312" w:cs="仿宋_GB2312"/>
          <w:sz w:val="32"/>
          <w:szCs w:val="32"/>
          <w:highlight w:val="none"/>
        </w:rPr>
        <w:t>272.65</w:t>
      </w:r>
      <w:r>
        <w:rPr>
          <w:rFonts w:hint="eastAsia" w:ascii="Times New Roman" w:hAnsi="Times New Roman" w:eastAsia="仿宋_GB2312" w:cs="仿宋_GB2312"/>
          <w:color w:val="auto"/>
          <w:kern w:val="2"/>
          <w:sz w:val="32"/>
          <w:szCs w:val="32"/>
          <w:highlight w:val="none"/>
          <w:lang w:val="en-US" w:eastAsia="zh-CN" w:bidi="ar-SA"/>
        </w:rPr>
        <w:t>万元，主要用于以下方面</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社会保障和就业支出</w:t>
      </w:r>
      <w:r>
        <w:rPr>
          <w:rFonts w:hint="eastAsia" w:eastAsia="仿宋_GB2312" w:cs="仿宋_GB2312"/>
          <w:color w:val="auto"/>
          <w:kern w:val="2"/>
          <w:sz w:val="32"/>
          <w:szCs w:val="32"/>
          <w:highlight w:val="none"/>
          <w:lang w:val="en-US" w:eastAsia="zh-CN" w:bidi="ar-SA"/>
        </w:rPr>
        <w:t>251.92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92.4</w:t>
      </w:r>
      <w:r>
        <w:rPr>
          <w:rFonts w:hint="eastAsia" w:ascii="Times New Roman" w:hAnsi="Times New Roman" w:eastAsia="仿宋_GB2312" w:cs="仿宋_GB2312"/>
          <w:color w:val="auto"/>
          <w:kern w:val="2"/>
          <w:sz w:val="32"/>
          <w:szCs w:val="32"/>
          <w:highlight w:val="none"/>
          <w:lang w:val="en-US" w:eastAsia="zh-CN" w:bidi="ar-SA"/>
        </w:rPr>
        <w:t>%；卫生健康支出</w:t>
      </w:r>
      <w:r>
        <w:rPr>
          <w:rFonts w:hint="eastAsia" w:eastAsia="仿宋_GB2312" w:cs="仿宋_GB2312"/>
          <w:color w:val="auto"/>
          <w:kern w:val="2"/>
          <w:sz w:val="32"/>
          <w:szCs w:val="32"/>
          <w:highlight w:val="none"/>
          <w:lang w:val="en-US" w:eastAsia="zh-CN" w:bidi="ar-SA"/>
        </w:rPr>
        <w:t>9.41</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3.4</w:t>
      </w:r>
      <w:r>
        <w:rPr>
          <w:rFonts w:hint="eastAsia" w:ascii="Times New Roman" w:hAnsi="Times New Roman" w:eastAsia="仿宋_GB2312" w:cs="仿宋_GB2312"/>
          <w:color w:val="auto"/>
          <w:kern w:val="2"/>
          <w:sz w:val="32"/>
          <w:szCs w:val="32"/>
          <w:highlight w:val="none"/>
          <w:lang w:val="en-US" w:eastAsia="zh-CN" w:bidi="ar-SA"/>
        </w:rPr>
        <w:t>%；住房保障支出</w:t>
      </w:r>
      <w:r>
        <w:rPr>
          <w:rFonts w:hint="eastAsia" w:eastAsia="仿宋_GB2312" w:cs="仿宋_GB2312"/>
          <w:color w:val="auto"/>
          <w:kern w:val="2"/>
          <w:sz w:val="32"/>
          <w:szCs w:val="32"/>
          <w:highlight w:val="none"/>
          <w:lang w:val="en-US" w:eastAsia="zh-CN" w:bidi="ar-SA"/>
        </w:rPr>
        <w:t>11.32</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4.2</w:t>
      </w:r>
      <w:r>
        <w:rPr>
          <w:rFonts w:hint="eastAsia" w:ascii="Times New Roman" w:hAnsi="Times New Roman" w:eastAsia="仿宋_GB2312" w:cs="仿宋_GB2312"/>
          <w:color w:val="auto"/>
          <w:kern w:val="2"/>
          <w:sz w:val="32"/>
          <w:szCs w:val="32"/>
          <w:highlight w:val="none"/>
          <w:lang w:val="en-US" w:eastAsia="zh-CN" w:bidi="ar-SA"/>
        </w:rPr>
        <w:t>%</w:t>
      </w:r>
      <w:r>
        <w:rPr>
          <w:rFonts w:hint="eastAsia"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sectPr>
          <w:footerReference r:id="rId8" w:type="default"/>
          <w:pgSz w:w="11906" w:h="16838"/>
          <w:pgMar w:top="1440" w:right="1800" w:bottom="1440" w:left="1800" w:header="851" w:footer="992" w:gutter="0"/>
          <w:pgNumType w:fmt="decimal"/>
          <w:cols w:space="425" w:num="1"/>
          <w:docGrid w:type="lines" w:linePitch="312" w:charSpace="0"/>
        </w:sect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anchor distT="0" distB="0" distL="114300" distR="114300" simplePos="0" relativeHeight="251663360" behindDoc="1" locked="0" layoutInCell="1" allowOverlap="1">
            <wp:simplePos x="0" y="0"/>
            <wp:positionH relativeFrom="column">
              <wp:posOffset>42545</wp:posOffset>
            </wp:positionH>
            <wp:positionV relativeFrom="paragraph">
              <wp:posOffset>172720</wp:posOffset>
            </wp:positionV>
            <wp:extent cx="5066030" cy="2698750"/>
            <wp:effectExtent l="0" t="0" r="0" b="6350"/>
            <wp:wrapThrough wrapText="bothSides">
              <wp:wrapPolygon>
                <wp:start x="0" y="0"/>
                <wp:lineTo x="0" y="21549"/>
                <wp:lineTo x="21551" y="21549"/>
                <wp:lineTo x="21551" y="0"/>
                <wp:lineTo x="0" y="0"/>
              </wp:wrapPolygon>
            </wp:wrapThrough>
            <wp:docPr id="10" name="图片 10" descr="图片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图片6"/>
                    <pic:cNvPicPr>
                      <a:picLocks noChangeAspect="1"/>
                    </pic:cNvPicPr>
                  </pic:nvPicPr>
                  <pic:blipFill>
                    <a:blip r:embed="rId16"/>
                    <a:stretch>
                      <a:fillRect/>
                    </a:stretch>
                  </pic:blipFill>
                  <pic:spPr>
                    <a:xfrm>
                      <a:off x="0" y="0"/>
                      <a:ext cx="5066030" cy="2698750"/>
                    </a:xfrm>
                    <a:prstGeom prst="rect">
                      <a:avLst/>
                    </a:prstGeom>
                  </pic:spPr>
                </pic:pic>
              </a:graphicData>
            </a:graphic>
          </wp:anchor>
        </w:drawing>
      </w:r>
    </w:p>
    <w:p>
      <w:pPr>
        <w:spacing w:line="600" w:lineRule="exact"/>
        <w:ind w:firstLine="1292" w:firstLineChars="404"/>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图6：一般公共预算财政拨款支出决算结构</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24" w:name="_Toc15377212"/>
      <w:r>
        <w:rPr>
          <w:rFonts w:hint="eastAsia" w:ascii="Times New Roman" w:hAnsi="Times New Roman" w:eastAsia="楷体_GB2312" w:cs="楷体_GB2312"/>
          <w:b/>
          <w:color w:val="auto"/>
          <w:sz w:val="32"/>
          <w:szCs w:val="32"/>
          <w:highlight w:val="none"/>
        </w:rPr>
        <w:t>（三）一般公共预算财政拨款支出决算具体情况</w:t>
      </w:r>
      <w:bookmarkEnd w:id="24"/>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bookmarkStart w:id="25" w:name="_Toc15377444"/>
      <w:bookmarkStart w:id="26" w:name="_Toc15377213"/>
      <w:bookmarkStart w:id="27" w:name="_Toc15378460"/>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一般公共预算支出决算数为</w:t>
      </w:r>
      <w:r>
        <w:rPr>
          <w:rFonts w:hint="eastAsia" w:ascii="仿宋_GB2312" w:hAnsi="仿宋_GB2312" w:eastAsia="仿宋_GB2312" w:cs="仿宋_GB2312"/>
          <w:sz w:val="32"/>
          <w:szCs w:val="32"/>
          <w:highlight w:val="none"/>
        </w:rPr>
        <w:t>272.65</w:t>
      </w:r>
      <w:r>
        <w:rPr>
          <w:rFonts w:hint="eastAsia" w:ascii="仿宋_GB2312" w:hAnsi="仿宋_GB2312" w:eastAsia="仿宋_GB2312" w:cs="仿宋_GB2312"/>
          <w:sz w:val="32"/>
          <w:szCs w:val="32"/>
          <w:highlight w:val="none"/>
          <w:lang w:val="en-US" w:eastAsia="zh-CN"/>
        </w:rPr>
        <w:t>万元</w:t>
      </w:r>
      <w:r>
        <w:rPr>
          <w:rFonts w:hint="eastAsia" w:ascii="Times New Roman" w:hAnsi="Times New Roman" w:eastAsia="仿宋_GB2312" w:cs="仿宋_GB2312"/>
          <w:color w:val="auto"/>
          <w:kern w:val="2"/>
          <w:sz w:val="32"/>
          <w:szCs w:val="32"/>
          <w:highlight w:val="none"/>
          <w:lang w:val="en-US" w:eastAsia="zh-CN" w:bidi="ar-SA"/>
        </w:rPr>
        <w:t>，完成预算</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%。其中：</w:t>
      </w:r>
      <w:bookmarkEnd w:id="25"/>
      <w:bookmarkEnd w:id="26"/>
      <w:bookmarkEnd w:id="2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1.社会保障和就业（类）人力资源和社会保障管理事务（款）信息化建设（项）：</w:t>
      </w:r>
      <w:r>
        <w:rPr>
          <w:rFonts w:hint="eastAsia" w:ascii="仿宋_GB2312" w:hAnsi="仿宋_GB2312" w:eastAsia="仿宋_GB2312" w:cs="仿宋_GB2312"/>
          <w:kern w:val="0"/>
          <w:sz w:val="32"/>
          <w:szCs w:val="32"/>
          <w:highlight w:val="none"/>
          <w:lang w:val="en-US" w:eastAsia="zh-CN" w:bidi="ar"/>
        </w:rPr>
        <w:t>支出决算为236.48万元，完成预算100%，决算数等于预算数。</w:t>
      </w:r>
    </w:p>
    <w:p>
      <w:pPr>
        <w:spacing w:line="600" w:lineRule="exact"/>
        <w:ind w:firstLine="640"/>
        <w:rPr>
          <w:rFonts w:hint="eastAsia" w:ascii="仿宋_GB2312" w:hAnsi="仿宋_GB2312" w:eastAsia="仿宋_GB2312" w:cs="仿宋_GB2312"/>
          <w:kern w:val="0"/>
          <w:sz w:val="32"/>
          <w:szCs w:val="32"/>
          <w:highlight w:val="none"/>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 xml:space="preserve">2.社会保障和就业（类）行政事业单位养老支出（款）机关事业单位基本养老保险缴费支出（项）: </w:t>
      </w:r>
      <w:r>
        <w:rPr>
          <w:rFonts w:hint="eastAsia" w:ascii="仿宋_GB2312" w:hAnsi="仿宋_GB2312" w:eastAsia="仿宋_GB2312" w:cs="仿宋_GB2312"/>
          <w:kern w:val="0"/>
          <w:sz w:val="32"/>
          <w:szCs w:val="32"/>
          <w:highlight w:val="none"/>
          <w:lang w:val="en-US" w:eastAsia="zh-CN" w:bidi="ar"/>
        </w:rPr>
        <w:t>支出决算为15.44万元，完成预算100%，决算数等于预算数。</w:t>
      </w:r>
    </w:p>
    <w:p>
      <w:pPr>
        <w:spacing w:line="600" w:lineRule="exact"/>
        <w:ind w:firstLine="640"/>
        <w:rPr>
          <w:rFonts w:hint="eastAsia" w:ascii="仿宋_GB2312" w:hAnsi="仿宋_GB2312" w:eastAsia="仿宋_GB2312" w:cs="仿宋_GB2312"/>
          <w:kern w:val="0"/>
          <w:sz w:val="32"/>
          <w:szCs w:val="32"/>
          <w:highlight w:val="none"/>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3.卫生健康（类）行政事业单位医疗（款）事业单位医疗（项）：</w:t>
      </w:r>
      <w:r>
        <w:rPr>
          <w:rFonts w:hint="eastAsia" w:ascii="仿宋_GB2312" w:hAnsi="仿宋_GB2312" w:eastAsia="仿宋_GB2312" w:cs="仿宋_GB2312"/>
          <w:kern w:val="0"/>
          <w:sz w:val="32"/>
          <w:szCs w:val="32"/>
          <w:highlight w:val="none"/>
          <w:lang w:val="en-US" w:eastAsia="zh-CN" w:bidi="ar"/>
        </w:rPr>
        <w:t>支出决算为8.36万元，完成预算100%，决算数等于预算数。</w:t>
      </w:r>
    </w:p>
    <w:p>
      <w:pPr>
        <w:spacing w:line="600" w:lineRule="exact"/>
        <w:ind w:firstLine="640"/>
        <w:rPr>
          <w:rFonts w:hint="eastAsia" w:ascii="仿宋_GB2312" w:hAnsi="仿宋_GB2312" w:eastAsia="仿宋_GB2312" w:cs="仿宋_GB2312"/>
          <w:kern w:val="0"/>
          <w:sz w:val="32"/>
          <w:szCs w:val="32"/>
          <w:highlight w:val="none"/>
          <w:lang w:val="en-US" w:eastAsia="zh-CN" w:bidi="ar"/>
        </w:rPr>
      </w:pPr>
      <w:r>
        <w:rPr>
          <w:rFonts w:hint="eastAsia" w:ascii="Times New Roman" w:hAnsi="Times New Roman" w:eastAsia="仿宋_GB2312" w:cs="仿宋_GB2312"/>
          <w:b/>
          <w:bCs/>
          <w:color w:val="auto"/>
          <w:kern w:val="2"/>
          <w:sz w:val="32"/>
          <w:szCs w:val="32"/>
          <w:highlight w:val="none"/>
          <w:lang w:val="en-US" w:eastAsia="zh-CN" w:bidi="ar-SA"/>
        </w:rPr>
        <w:t>4.卫生健康（类）行政事业单位医疗（款）公务员医疗补助（项）：</w:t>
      </w:r>
      <w:r>
        <w:rPr>
          <w:rFonts w:hint="eastAsia" w:ascii="仿宋_GB2312" w:hAnsi="仿宋_GB2312" w:eastAsia="仿宋_GB2312" w:cs="仿宋_GB2312"/>
          <w:kern w:val="0"/>
          <w:sz w:val="32"/>
          <w:szCs w:val="32"/>
          <w:highlight w:val="none"/>
          <w:lang w:val="en-US" w:eastAsia="zh-CN" w:bidi="ar"/>
        </w:rPr>
        <w:t>支出决算为1.05万元，完成预算100%，决算数等于预算数。</w:t>
      </w:r>
    </w:p>
    <w:p>
      <w:pPr>
        <w:pStyle w:val="2"/>
        <w:ind w:firstLine="643" w:firstLineChars="20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cs="仿宋_GB2312"/>
          <w:b/>
          <w:bCs/>
          <w:color w:val="auto"/>
          <w:kern w:val="2"/>
          <w:sz w:val="32"/>
          <w:szCs w:val="32"/>
          <w:highlight w:val="none"/>
          <w:lang w:val="en-US" w:eastAsia="zh-CN" w:bidi="ar-SA"/>
        </w:rPr>
        <w:t>5</w:t>
      </w:r>
      <w:r>
        <w:rPr>
          <w:rFonts w:hint="eastAsia" w:ascii="Times New Roman" w:hAnsi="Times New Roman" w:eastAsia="仿宋_GB2312" w:cs="仿宋_GB2312"/>
          <w:b/>
          <w:bCs/>
          <w:color w:val="auto"/>
          <w:kern w:val="2"/>
          <w:sz w:val="32"/>
          <w:szCs w:val="32"/>
          <w:highlight w:val="none"/>
          <w:lang w:val="en-US" w:eastAsia="zh-CN" w:bidi="ar-SA"/>
        </w:rPr>
        <w:t>.住房保障支出（类）住房改革支出（款）住房公积金（项）：</w:t>
      </w:r>
      <w:r>
        <w:rPr>
          <w:rFonts w:hint="eastAsia" w:ascii="仿宋_GB2312" w:hAnsi="仿宋_GB2312" w:eastAsia="仿宋_GB2312" w:cs="仿宋_GB2312"/>
          <w:kern w:val="0"/>
          <w:sz w:val="32"/>
          <w:szCs w:val="32"/>
          <w:highlight w:val="none"/>
          <w:lang w:val="en-US" w:eastAsia="zh-CN" w:bidi="ar"/>
        </w:rPr>
        <w:t>支出决算为1</w:t>
      </w:r>
      <w:r>
        <w:rPr>
          <w:rFonts w:hint="eastAsia" w:hAnsi="仿宋_GB2312" w:cs="仿宋_GB2312"/>
          <w:kern w:val="0"/>
          <w:sz w:val="32"/>
          <w:szCs w:val="32"/>
          <w:highlight w:val="none"/>
          <w:lang w:val="en-US" w:eastAsia="zh-CN" w:bidi="ar"/>
        </w:rPr>
        <w:t>1.32</w:t>
      </w:r>
      <w:r>
        <w:rPr>
          <w:rFonts w:hint="eastAsia" w:ascii="仿宋_GB2312" w:hAnsi="仿宋_GB2312" w:eastAsia="仿宋_GB2312" w:cs="仿宋_GB2312"/>
          <w:kern w:val="0"/>
          <w:sz w:val="32"/>
          <w:szCs w:val="32"/>
          <w:highlight w:val="none"/>
          <w:lang w:val="en-US" w:eastAsia="zh-CN" w:bidi="ar"/>
        </w:rPr>
        <w:t>万元，完成预算100%，决算数等于预算数。</w:t>
      </w:r>
    </w:p>
    <w:p>
      <w:pPr>
        <w:tabs>
          <w:tab w:val="right" w:pos="8306"/>
        </w:tabs>
        <w:spacing w:line="600" w:lineRule="exact"/>
        <w:ind w:firstLine="640"/>
        <w:outlineLvl w:val="1"/>
        <w:rPr>
          <w:rStyle w:val="29"/>
          <w:rFonts w:ascii="Times New Roman" w:hAnsi="Times New Roman"/>
          <w:color w:val="auto"/>
          <w:highlight w:val="none"/>
        </w:rPr>
      </w:pPr>
      <w:bookmarkStart w:id="28" w:name="_Toc15377214"/>
      <w:bookmarkStart w:id="29" w:name="_Toc15396608"/>
      <w:r>
        <w:rPr>
          <w:rFonts w:hint="eastAsia" w:ascii="Times New Roman" w:hAnsi="Times New Roman" w:eastAsia="黑体"/>
          <w:color w:val="auto"/>
          <w:sz w:val="32"/>
          <w:szCs w:val="32"/>
          <w:highlight w:val="none"/>
        </w:rPr>
        <w:t>六</w:t>
      </w:r>
      <w:r>
        <w:rPr>
          <w:rFonts w:hint="eastAsia" w:ascii="Times New Roman" w:hAnsi="Times New Roman" w:eastAsia="黑体"/>
          <w:b/>
          <w:color w:val="auto"/>
          <w:sz w:val="32"/>
          <w:szCs w:val="32"/>
          <w:highlight w:val="none"/>
        </w:rPr>
        <w:t>、一</w:t>
      </w:r>
      <w:r>
        <w:rPr>
          <w:rStyle w:val="29"/>
          <w:rFonts w:hint="eastAsia" w:ascii="Times New Roman" w:hAnsi="Times New Roman" w:eastAsia="黑体"/>
          <w:b w:val="0"/>
          <w:color w:val="auto"/>
          <w:highlight w:val="none"/>
        </w:rPr>
        <w:t>般公共预算财政拨款基本支出决算情况说明</w:t>
      </w:r>
      <w:bookmarkEnd w:id="28"/>
      <w:bookmarkEnd w:id="29"/>
      <w:r>
        <w:rPr>
          <w:rStyle w:val="29"/>
          <w:rFonts w:ascii="Times New Roman" w:hAnsi="Times New Roman" w:eastAsia="黑体"/>
          <w:b w:val="0"/>
          <w:color w:val="auto"/>
          <w:highlight w:val="none"/>
        </w:rPr>
        <w:tab/>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一般公共预算财政拨款基本支出</w:t>
      </w:r>
      <w:r>
        <w:rPr>
          <w:rFonts w:hint="eastAsia" w:ascii="仿宋_GB2312" w:hAnsi="仿宋_GB2312" w:eastAsia="仿宋_GB2312" w:cs="仿宋_GB2312"/>
          <w:sz w:val="32"/>
          <w:szCs w:val="32"/>
          <w:highlight w:val="none"/>
        </w:rPr>
        <w:t>239.47</w:t>
      </w:r>
      <w:r>
        <w:rPr>
          <w:rFonts w:hint="eastAsia" w:ascii="Times New Roman" w:hAnsi="Times New Roman" w:eastAsia="仿宋_GB2312" w:cs="仿宋_GB2312"/>
          <w:color w:val="auto"/>
          <w:kern w:val="2"/>
          <w:sz w:val="32"/>
          <w:szCs w:val="32"/>
          <w:highlight w:val="none"/>
          <w:lang w:val="en-US" w:eastAsia="zh-CN" w:bidi="ar-SA"/>
        </w:rPr>
        <w:t>万元，其中：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人员经费</w:t>
      </w:r>
      <w:r>
        <w:rPr>
          <w:rFonts w:hint="eastAsia" w:ascii="仿宋_GB2312" w:hAnsi="仿宋_GB2312" w:eastAsia="仿宋_GB2312" w:cs="仿宋_GB2312"/>
          <w:sz w:val="32"/>
          <w:szCs w:val="32"/>
          <w:highlight w:val="none"/>
        </w:rPr>
        <w:t>231.09</w:t>
      </w:r>
      <w:r>
        <w:rPr>
          <w:rFonts w:hint="eastAsia" w:ascii="Times New Roman" w:hAnsi="Times New Roman" w:eastAsia="仿宋_GB2312" w:cs="仿宋_GB2312"/>
          <w:color w:val="auto"/>
          <w:kern w:val="2"/>
          <w:sz w:val="32"/>
          <w:szCs w:val="32"/>
          <w:highlight w:val="none"/>
          <w:lang w:val="en-US" w:eastAsia="zh-CN" w:bidi="ar-SA"/>
        </w:rPr>
        <w:t>万元，主要包括：基本工资、津贴补贴、绩效工资、机关事业单位基本养老保险缴费、</w:t>
      </w:r>
      <w:r>
        <w:rPr>
          <w:rFonts w:hint="eastAsia" w:ascii="仿宋_GB2312" w:hAnsi="仿宋_GB2312" w:eastAsia="仿宋_GB2312" w:cs="仿宋_GB2312"/>
          <w:kern w:val="0"/>
          <w:sz w:val="32"/>
          <w:szCs w:val="32"/>
          <w:highlight w:val="none"/>
          <w:lang w:val="en-US" w:eastAsia="zh-CN" w:bidi="ar"/>
        </w:rPr>
        <w:t>职工基本医疗保险缴费</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kern w:val="0"/>
          <w:sz w:val="32"/>
          <w:szCs w:val="32"/>
          <w:highlight w:val="none"/>
          <w:lang w:val="en-US" w:eastAsia="zh-CN" w:bidi="ar"/>
        </w:rPr>
        <w:t>公务员医疗补助缴费、</w:t>
      </w:r>
      <w:r>
        <w:rPr>
          <w:rFonts w:hint="eastAsia" w:ascii="Times New Roman" w:hAnsi="Times New Roman" w:eastAsia="仿宋_GB2312" w:cs="仿宋_GB2312"/>
          <w:color w:val="auto"/>
          <w:kern w:val="2"/>
          <w:sz w:val="32"/>
          <w:szCs w:val="32"/>
          <w:highlight w:val="none"/>
          <w:lang w:val="en-US" w:eastAsia="zh-CN" w:bidi="ar-SA"/>
        </w:rPr>
        <w:t>其他社会保障缴费、住房公积金、</w:t>
      </w:r>
      <w:r>
        <w:rPr>
          <w:rFonts w:hint="eastAsia" w:ascii="仿宋_GB2312" w:hAnsi="仿宋_GB2312" w:eastAsia="仿宋_GB2312" w:cs="仿宋_GB2312"/>
          <w:kern w:val="0"/>
          <w:sz w:val="32"/>
          <w:szCs w:val="32"/>
          <w:highlight w:val="none"/>
          <w:lang w:val="en-US" w:eastAsia="zh-CN" w:bidi="ar"/>
        </w:rPr>
        <w:t>其他工资福利支出等</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br w:type="textWrapping"/>
      </w:r>
      <w:r>
        <w:rPr>
          <w:rFonts w:hint="eastAsia" w:ascii="Times New Roman" w:hAnsi="Times New Roman" w:eastAsia="仿宋_GB2312" w:cs="仿宋_GB2312"/>
          <w:color w:val="auto"/>
          <w:kern w:val="2"/>
          <w:sz w:val="32"/>
          <w:szCs w:val="32"/>
          <w:highlight w:val="none"/>
          <w:lang w:val="en-US" w:eastAsia="zh-CN" w:bidi="ar-SA"/>
        </w:rPr>
        <w:t>　　公用经费</w:t>
      </w:r>
      <w:r>
        <w:rPr>
          <w:rFonts w:hint="eastAsia" w:ascii="仿宋_GB2312" w:hAnsi="仿宋_GB2312" w:eastAsia="仿宋_GB2312" w:cs="仿宋_GB2312"/>
          <w:sz w:val="32"/>
          <w:szCs w:val="32"/>
          <w:highlight w:val="none"/>
        </w:rPr>
        <w:t>8.38</w:t>
      </w:r>
      <w:r>
        <w:rPr>
          <w:rFonts w:hint="eastAsia" w:ascii="Times New Roman" w:hAnsi="Times New Roman" w:eastAsia="仿宋_GB2312" w:cs="仿宋_GB2312"/>
          <w:color w:val="auto"/>
          <w:kern w:val="2"/>
          <w:sz w:val="32"/>
          <w:szCs w:val="32"/>
          <w:highlight w:val="none"/>
          <w:lang w:val="en-US" w:eastAsia="zh-CN" w:bidi="ar-SA"/>
        </w:rPr>
        <w:t>万元，主要包括：办公费、邮电费、差旅费、公务接待费、工会经费、福利费、其他交通费、其他商品和服务支出等。</w:t>
      </w:r>
    </w:p>
    <w:p>
      <w:pPr>
        <w:spacing w:line="600" w:lineRule="exact"/>
        <w:ind w:firstLine="640"/>
        <w:outlineLvl w:val="1"/>
        <w:rPr>
          <w:rStyle w:val="29"/>
          <w:rFonts w:ascii="Times New Roman" w:hAnsi="Times New Roman" w:eastAsia="黑体"/>
          <w:b w:val="0"/>
          <w:color w:val="auto"/>
          <w:highlight w:val="none"/>
        </w:rPr>
      </w:pPr>
      <w:bookmarkStart w:id="30" w:name="_Toc15396609"/>
      <w:bookmarkStart w:id="31" w:name="_Toc15377215"/>
      <w:r>
        <w:rPr>
          <w:rFonts w:hint="eastAsia" w:ascii="Times New Roman" w:hAnsi="Times New Roman" w:eastAsia="黑体"/>
          <w:color w:val="auto"/>
          <w:sz w:val="32"/>
          <w:szCs w:val="32"/>
          <w:highlight w:val="none"/>
        </w:rPr>
        <w:t>七、</w:t>
      </w:r>
      <w:r>
        <w:rPr>
          <w:rStyle w:val="29"/>
          <w:rFonts w:hint="eastAsia" w:ascii="Times New Roman" w:hAnsi="Times New Roman" w:eastAsia="黑体"/>
          <w:b w:val="0"/>
          <w:color w:val="auto"/>
          <w:highlight w:val="none"/>
        </w:rPr>
        <w:t>财政拨款</w:t>
      </w:r>
      <w:r>
        <w:rPr>
          <w:rStyle w:val="29"/>
          <w:rFonts w:hint="eastAsia" w:ascii="Times New Roman" w:hAnsi="Times New Roman" w:eastAsia="黑体"/>
          <w:color w:val="auto"/>
          <w:highlight w:val="none"/>
        </w:rPr>
        <w:t>“</w:t>
      </w:r>
      <w:r>
        <w:rPr>
          <w:rStyle w:val="29"/>
          <w:rFonts w:hint="eastAsia" w:ascii="Times New Roman" w:hAnsi="Times New Roman" w:eastAsia="黑体"/>
          <w:b w:val="0"/>
          <w:color w:val="auto"/>
          <w:highlight w:val="none"/>
        </w:rPr>
        <w:t>三公”经费支出决算情况说明</w:t>
      </w:r>
      <w:bookmarkEnd w:id="30"/>
      <w:bookmarkEnd w:id="31"/>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2" w:name="_Toc15377216"/>
      <w:r>
        <w:rPr>
          <w:rFonts w:hint="eastAsia" w:ascii="Times New Roman" w:hAnsi="Times New Roman" w:eastAsia="楷体_GB2312" w:cs="楷体_GB2312"/>
          <w:b/>
          <w:color w:val="auto"/>
          <w:sz w:val="32"/>
          <w:szCs w:val="32"/>
          <w:highlight w:val="none"/>
        </w:rPr>
        <w:t>（一）财政拨款“三公”经费支出决算总体情况说明</w:t>
      </w:r>
      <w:bookmarkEnd w:id="32"/>
    </w:p>
    <w:p>
      <w:pPr>
        <w:spacing w:line="600" w:lineRule="exact"/>
        <w:ind w:firstLine="640"/>
        <w:rPr>
          <w:rFonts w:hint="eastAsia"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财政拨款“三公”经费支出决算为</w:t>
      </w:r>
      <w:r>
        <w:rPr>
          <w:rFonts w:hint="eastAsia" w:ascii="仿宋_GB2312" w:hAnsi="仿宋_GB2312" w:eastAsia="仿宋_GB2312" w:cs="仿宋_GB2312"/>
          <w:sz w:val="32"/>
          <w:szCs w:val="32"/>
          <w:highlight w:val="none"/>
        </w:rPr>
        <w:t>0.05</w:t>
      </w:r>
      <w:r>
        <w:rPr>
          <w:rFonts w:hint="eastAsia" w:ascii="Times New Roman" w:hAnsi="Times New Roman" w:eastAsia="仿宋_GB2312" w:cs="仿宋_GB2312"/>
          <w:color w:val="auto"/>
          <w:kern w:val="2"/>
          <w:sz w:val="32"/>
          <w:szCs w:val="32"/>
          <w:highlight w:val="none"/>
          <w:lang w:val="en-US" w:eastAsia="zh-CN" w:bidi="ar-SA"/>
        </w:rPr>
        <w:t>万元，完成预算</w:t>
      </w:r>
      <w:r>
        <w:rPr>
          <w:rFonts w:hint="eastAsia" w:ascii="仿宋_GB2312" w:hAnsi="仿宋_GB2312" w:eastAsia="仿宋_GB2312" w:cs="仿宋_GB2312"/>
          <w:sz w:val="32"/>
          <w:szCs w:val="32"/>
          <w:highlight w:val="none"/>
          <w:lang w:val="en-US" w:eastAsia="zh-CN"/>
        </w:rPr>
        <w:t>100</w:t>
      </w:r>
      <w:r>
        <w:rPr>
          <w:rFonts w:hint="eastAsia" w:ascii="Times New Roman" w:hAnsi="Times New Roman" w:eastAsia="仿宋_GB2312" w:cs="仿宋_GB2312"/>
          <w:color w:val="auto"/>
          <w:kern w:val="2"/>
          <w:sz w:val="32"/>
          <w:szCs w:val="32"/>
          <w:highlight w:val="none"/>
          <w:lang w:val="en-US" w:eastAsia="zh-CN" w:bidi="ar-SA"/>
        </w:rPr>
        <w:t>%，较上年度增加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33" w:name="_Toc15377217"/>
      <w:r>
        <w:rPr>
          <w:rFonts w:hint="eastAsia" w:ascii="Times New Roman" w:hAnsi="Times New Roman" w:eastAsia="楷体_GB2312" w:cs="楷体_GB2312"/>
          <w:b/>
          <w:color w:val="auto"/>
          <w:sz w:val="32"/>
          <w:szCs w:val="32"/>
          <w:highlight w:val="none"/>
        </w:rPr>
        <w:t>（二）财政拨款“三公”经费支出决算具体情况说明</w:t>
      </w:r>
      <w:bookmarkEnd w:id="33"/>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财政拨款“三公”经费支出决算中，因公出国（境）费支出决算</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万元；公务用车购置及运行维护费支出决算</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万元；公务接待费支出决算</w:t>
      </w:r>
      <w:r>
        <w:rPr>
          <w:rFonts w:hint="eastAsia" w:ascii="仿宋_GB2312" w:hAnsi="仿宋_GB2312" w:eastAsia="仿宋_GB2312" w:cs="仿宋_GB2312"/>
          <w:sz w:val="32"/>
          <w:szCs w:val="32"/>
          <w:highlight w:val="none"/>
        </w:rPr>
        <w:t>0.05</w:t>
      </w:r>
      <w:r>
        <w:rPr>
          <w:rFonts w:hint="eastAsia" w:ascii="Times New Roman" w:hAnsi="Times New Roman" w:eastAsia="仿宋_GB2312" w:cs="仿宋_GB2312"/>
          <w:color w:val="auto"/>
          <w:kern w:val="2"/>
          <w:sz w:val="32"/>
          <w:szCs w:val="32"/>
          <w:highlight w:val="none"/>
          <w:lang w:val="en-US" w:eastAsia="zh-CN" w:bidi="ar-SA"/>
        </w:rPr>
        <w:t>万元，占</w:t>
      </w:r>
      <w:r>
        <w:rPr>
          <w:rFonts w:hint="eastAsia" w:eastAsia="仿宋_GB2312" w:cs="仿宋_GB2312"/>
          <w:color w:val="auto"/>
          <w:kern w:val="2"/>
          <w:sz w:val="32"/>
          <w:szCs w:val="32"/>
          <w:highlight w:val="none"/>
          <w:lang w:val="en-US" w:eastAsia="zh-CN" w:bidi="ar-SA"/>
        </w:rPr>
        <w:t>100</w:t>
      </w:r>
      <w:r>
        <w:rPr>
          <w:rFonts w:hint="eastAsia" w:ascii="Times New Roman" w:hAnsi="Times New Roman" w:eastAsia="仿宋_GB2312" w:cs="仿宋_GB2312"/>
          <w:color w:val="auto"/>
          <w:kern w:val="2"/>
          <w:sz w:val="32"/>
          <w:szCs w:val="32"/>
          <w:highlight w:val="none"/>
          <w:lang w:val="en-US" w:eastAsia="zh-CN" w:bidi="ar-SA"/>
        </w:rPr>
        <w:t>%。具体情况如下：</w:t>
      </w:r>
    </w:p>
    <w:p>
      <w:pPr>
        <w:pStyle w:val="2"/>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drawing>
          <wp:inline distT="0" distB="0" distL="114300" distR="114300">
            <wp:extent cx="4838065" cy="2665730"/>
            <wp:effectExtent l="0" t="0" r="635" b="1270"/>
            <wp:docPr id="11" name="图片 11" descr="图片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图片7"/>
                    <pic:cNvPicPr>
                      <a:picLocks noChangeAspect="1"/>
                    </pic:cNvPicPr>
                  </pic:nvPicPr>
                  <pic:blipFill>
                    <a:blip r:embed="rId17"/>
                    <a:stretch>
                      <a:fillRect/>
                    </a:stretch>
                  </pic:blipFill>
                  <pic:spPr>
                    <a:xfrm>
                      <a:off x="0" y="0"/>
                      <a:ext cx="4838065" cy="2665730"/>
                    </a:xfrm>
                    <a:prstGeom prst="rect">
                      <a:avLst/>
                    </a:prstGeom>
                  </pic:spPr>
                </pic:pic>
              </a:graphicData>
            </a:graphic>
          </wp:inline>
        </w:drawing>
      </w:r>
    </w:p>
    <w:p>
      <w:pPr>
        <w:spacing w:line="600" w:lineRule="exact"/>
        <w:ind w:firstLine="1292" w:firstLineChars="404"/>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图7：财政拨款“三公”经费支出结构</w:t>
      </w:r>
    </w:p>
    <w:p>
      <w:pPr>
        <w:pStyle w:val="2"/>
        <w:rPr>
          <w:rFonts w:hint="eastAsia"/>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仿宋_GB2312" w:cs="仿宋_GB2312"/>
          <w:b w:val="0"/>
          <w:bCs w:val="0"/>
          <w:color w:val="auto"/>
          <w:kern w:val="2"/>
          <w:sz w:val="32"/>
          <w:szCs w:val="32"/>
          <w:highlight w:val="none"/>
          <w:lang w:val="en-US" w:eastAsia="zh-CN" w:bidi="ar-SA"/>
        </w:rPr>
      </w:pPr>
      <w:r>
        <w:rPr>
          <w:rFonts w:hint="default" w:ascii="Times New Roman" w:hAnsi="Times New Roman" w:eastAsia="仿宋_GB2312" w:cs="仿宋_GB2312"/>
          <w:b/>
          <w:bCs/>
          <w:color w:val="auto"/>
          <w:kern w:val="2"/>
          <w:sz w:val="32"/>
          <w:szCs w:val="32"/>
          <w:highlight w:val="none"/>
          <w:lang w:val="en-US" w:eastAsia="zh-CN" w:bidi="ar-SA"/>
        </w:rPr>
        <w:t>1.</w:t>
      </w:r>
      <w:r>
        <w:rPr>
          <w:rFonts w:hint="eastAsia" w:ascii="Times New Roman" w:hAnsi="Times New Roman" w:eastAsia="仿宋_GB2312" w:cs="仿宋_GB2312"/>
          <w:b/>
          <w:bCs/>
          <w:color w:val="auto"/>
          <w:kern w:val="2"/>
          <w:sz w:val="32"/>
          <w:szCs w:val="32"/>
          <w:highlight w:val="none"/>
          <w:lang w:val="en-US" w:eastAsia="zh-CN" w:bidi="ar-SA"/>
        </w:rPr>
        <w:t>因公出国（境）经费支出0万元，完成预算0%。</w:t>
      </w:r>
      <w:r>
        <w:rPr>
          <w:rFonts w:hint="eastAsia" w:ascii="Times New Roman" w:hAnsi="Times New Roman" w:eastAsia="仿宋_GB2312" w:cs="仿宋_GB2312"/>
          <w:b w:val="0"/>
          <w:bCs w:val="0"/>
          <w:color w:val="auto"/>
          <w:kern w:val="2"/>
          <w:sz w:val="32"/>
          <w:szCs w:val="32"/>
          <w:highlight w:val="none"/>
          <w:lang w:val="en-US" w:eastAsia="zh-CN" w:bidi="ar-SA"/>
        </w:rPr>
        <w:t>全年安排因公出国（境）团组0次，出国（境）0人。因公出国（境）支出决算与2024年持平。</w:t>
      </w:r>
    </w:p>
    <w:p>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firstLine="643" w:firstLineChars="200"/>
        <w:textAlignment w:val="auto"/>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2.公务用车购置及运行维护费支出</w:t>
      </w:r>
      <w:r>
        <w:rPr>
          <w:rFonts w:hint="eastAsia" w:ascii="仿宋_GB2312" w:hAnsi="仿宋_GB2312"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万元</w:t>
      </w:r>
      <w:r>
        <w:rPr>
          <w:rFonts w:hint="eastAsia"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b/>
          <w:bCs/>
          <w:color w:val="auto"/>
          <w:kern w:val="2"/>
          <w:sz w:val="32"/>
          <w:szCs w:val="32"/>
          <w:highlight w:val="none"/>
          <w:lang w:val="en-US" w:eastAsia="zh-CN" w:bidi="ar-SA"/>
        </w:rPr>
        <w:t>完成预算</w:t>
      </w:r>
      <w:r>
        <w:rPr>
          <w:rFonts w:hint="eastAsia" w:eastAsia="仿宋_GB2312" w:cs="仿宋_GB2312"/>
          <w:b/>
          <w:bCs/>
          <w:color w:val="auto"/>
          <w:kern w:val="2"/>
          <w:sz w:val="32"/>
          <w:szCs w:val="32"/>
          <w:highlight w:val="none"/>
          <w:lang w:val="en-US" w:eastAsia="zh-CN" w:bidi="ar-SA"/>
        </w:rPr>
        <w:t>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公务用车购置及运行维护费支出决算</w:t>
      </w:r>
      <w:r>
        <w:rPr>
          <w:rFonts w:hint="eastAsia" w:eastAsia="仿宋_GB2312" w:cs="仿宋_GB2312"/>
          <w:color w:val="auto"/>
          <w:kern w:val="2"/>
          <w:sz w:val="32"/>
          <w:szCs w:val="32"/>
          <w:highlight w:val="none"/>
          <w:lang w:val="en-US" w:eastAsia="zh-CN" w:bidi="ar-SA"/>
        </w:rPr>
        <w:t>与2024年持平。</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其中：公务用车购置支出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万元。全年按规定更新购置公务用车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辆，金额</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万元。截至202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年12月31日，单位共有公务用车</w:t>
      </w:r>
      <w:r>
        <w:rPr>
          <w:rFonts w:hint="eastAsia" w:eastAsia="仿宋_GB2312" w:cs="仿宋_GB2312"/>
          <w:color w:val="auto"/>
          <w:kern w:val="2"/>
          <w:sz w:val="32"/>
          <w:szCs w:val="32"/>
          <w:highlight w:val="none"/>
          <w:lang w:val="en-US" w:eastAsia="zh-CN" w:bidi="ar-SA"/>
        </w:rPr>
        <w:t>0</w:t>
      </w:r>
      <w:r>
        <w:rPr>
          <w:rFonts w:hint="eastAsia" w:ascii="Times New Roman" w:hAnsi="Times New Roman" w:eastAsia="仿宋_GB2312" w:cs="仿宋_GB2312"/>
          <w:color w:val="auto"/>
          <w:kern w:val="2"/>
          <w:sz w:val="32"/>
          <w:szCs w:val="32"/>
          <w:highlight w:val="none"/>
          <w:lang w:val="en-US" w:eastAsia="zh-CN" w:bidi="ar-SA"/>
        </w:rPr>
        <w:t>辆。</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公务用车运行维护费支出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b/>
          <w:bCs/>
          <w:color w:val="auto"/>
          <w:kern w:val="2"/>
          <w:sz w:val="32"/>
          <w:szCs w:val="32"/>
          <w:highlight w:val="none"/>
          <w:lang w:val="en-US" w:eastAsia="zh-CN" w:bidi="ar-SA"/>
        </w:rPr>
        <w:t>3.公务接待费支出</w:t>
      </w:r>
      <w:r>
        <w:rPr>
          <w:rFonts w:hint="eastAsia" w:ascii="仿宋_GB2312" w:hAnsi="仿宋_GB2312" w:eastAsia="仿宋_GB2312" w:cs="仿宋_GB2312"/>
          <w:b/>
          <w:bCs/>
          <w:color w:val="auto"/>
          <w:kern w:val="2"/>
          <w:sz w:val="32"/>
          <w:szCs w:val="32"/>
          <w:highlight w:val="none"/>
          <w:lang w:val="en-US" w:eastAsia="zh-CN" w:bidi="ar-SA"/>
        </w:rPr>
        <w:t>0.05</w:t>
      </w:r>
      <w:r>
        <w:rPr>
          <w:rFonts w:hint="eastAsia" w:ascii="Times New Roman" w:hAnsi="Times New Roman" w:eastAsia="仿宋_GB2312" w:cs="仿宋_GB2312"/>
          <w:b/>
          <w:bCs/>
          <w:color w:val="auto"/>
          <w:kern w:val="2"/>
          <w:sz w:val="32"/>
          <w:szCs w:val="32"/>
          <w:highlight w:val="none"/>
          <w:lang w:val="en-US" w:eastAsia="zh-CN" w:bidi="ar-SA"/>
        </w:rPr>
        <w:t>万元，完成预算</w:t>
      </w:r>
      <w:r>
        <w:rPr>
          <w:rFonts w:hint="eastAsia" w:eastAsia="仿宋_GB2312" w:cs="仿宋_GB2312"/>
          <w:b/>
          <w:bCs/>
          <w:color w:val="auto"/>
          <w:kern w:val="2"/>
          <w:sz w:val="32"/>
          <w:szCs w:val="32"/>
          <w:highlight w:val="none"/>
          <w:lang w:val="en-US" w:eastAsia="zh-CN" w:bidi="ar-SA"/>
        </w:rPr>
        <w:t>100</w:t>
      </w:r>
      <w:r>
        <w:rPr>
          <w:rFonts w:hint="eastAsia" w:ascii="Times New Roman" w:hAnsi="Times New Roman" w:eastAsia="仿宋_GB2312" w:cs="仿宋_GB2312"/>
          <w:b/>
          <w:bCs/>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公务接待费支出决算比</w:t>
      </w:r>
      <w:r>
        <w:rPr>
          <w:rFonts w:hint="eastAsia" w:eastAsia="仿宋_GB2312" w:cs="仿宋_GB2312"/>
          <w:color w:val="auto"/>
          <w:kern w:val="2"/>
          <w:sz w:val="32"/>
          <w:szCs w:val="32"/>
          <w:highlight w:val="none"/>
          <w:lang w:val="en-US" w:eastAsia="zh-CN" w:bidi="ar-SA"/>
        </w:rPr>
        <w:t>上</w:t>
      </w:r>
      <w:r>
        <w:rPr>
          <w:rFonts w:hint="eastAsia" w:ascii="Times New Roman" w:hAnsi="Times New Roman" w:eastAsia="仿宋_GB2312" w:cs="仿宋_GB2312"/>
          <w:color w:val="auto"/>
          <w:kern w:val="2"/>
          <w:sz w:val="32"/>
          <w:szCs w:val="32"/>
          <w:highlight w:val="none"/>
          <w:lang w:val="en-US" w:eastAsia="zh-CN" w:bidi="ar-SA"/>
        </w:rPr>
        <w:t>年度增加</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万元。主要原因是</w:t>
      </w:r>
      <w:r>
        <w:rPr>
          <w:rFonts w:hint="eastAsia" w:eastAsia="仿宋_GB2312" w:cs="仿宋_GB2312"/>
          <w:color w:val="auto"/>
          <w:kern w:val="2"/>
          <w:sz w:val="32"/>
          <w:szCs w:val="32"/>
          <w:highlight w:val="none"/>
          <w:lang w:val="en-US" w:eastAsia="zh-CN" w:bidi="ar-SA"/>
        </w:rPr>
        <w:t>2024年我单位没有公务接待费支出。</w:t>
      </w:r>
      <w:r>
        <w:rPr>
          <w:rFonts w:hint="eastAsia" w:ascii="Times New Roman" w:hAnsi="Times New Roman" w:eastAsia="仿宋_GB2312" w:cs="仿宋_GB2312"/>
          <w:color w:val="auto"/>
          <w:kern w:val="2"/>
          <w:sz w:val="32"/>
          <w:szCs w:val="32"/>
          <w:highlight w:val="none"/>
          <w:lang w:val="en-US" w:eastAsia="zh-CN" w:bidi="ar-SA"/>
        </w:rPr>
        <w:t>其中：</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国内公务接待支出</w:t>
      </w:r>
      <w:r>
        <w:rPr>
          <w:rFonts w:hint="eastAsia" w:ascii="仿宋_GB2312" w:hAnsi="仿宋_GB2312" w:eastAsia="仿宋_GB2312" w:cs="仿宋_GB2312"/>
          <w:sz w:val="32"/>
          <w:szCs w:val="32"/>
          <w:highlight w:val="none"/>
        </w:rPr>
        <w:t>0.05</w:t>
      </w:r>
      <w:r>
        <w:rPr>
          <w:rFonts w:hint="eastAsia" w:ascii="Times New Roman" w:hAnsi="Times New Roman" w:eastAsia="仿宋_GB2312" w:cs="仿宋_GB2312"/>
          <w:color w:val="auto"/>
          <w:kern w:val="2"/>
          <w:sz w:val="32"/>
          <w:szCs w:val="32"/>
          <w:highlight w:val="none"/>
          <w:lang w:val="en-US" w:eastAsia="zh-CN" w:bidi="ar-SA"/>
        </w:rPr>
        <w:t>万元，主要用于</w:t>
      </w:r>
      <w:r>
        <w:rPr>
          <w:rFonts w:hint="eastAsia" w:eastAsia="仿宋_GB2312" w:cs="仿宋_GB2312"/>
          <w:color w:val="auto"/>
          <w:kern w:val="2"/>
          <w:sz w:val="32"/>
          <w:szCs w:val="32"/>
          <w:highlight w:val="none"/>
          <w:lang w:val="en-US" w:eastAsia="zh-CN" w:bidi="ar-SA"/>
        </w:rPr>
        <w:t>接待凉山州人社信息中心4人的用餐费。</w:t>
      </w:r>
      <w:r>
        <w:rPr>
          <w:rFonts w:hint="eastAsia" w:ascii="Times New Roman" w:hAnsi="Times New Roman" w:eastAsia="仿宋_GB2312" w:cs="仿宋_GB2312"/>
          <w:color w:val="auto"/>
          <w:kern w:val="2"/>
          <w:sz w:val="32"/>
          <w:szCs w:val="32"/>
          <w:highlight w:val="none"/>
          <w:lang w:val="en-US" w:eastAsia="zh-CN" w:bidi="ar-SA"/>
        </w:rPr>
        <w:t>国内公务接待</w:t>
      </w:r>
      <w:r>
        <w:rPr>
          <w:rFonts w:hint="eastAsia" w:ascii="仿宋_GB2312" w:hAnsi="仿宋_GB2312" w:eastAsia="仿宋_GB2312" w:cs="仿宋_GB2312"/>
          <w:sz w:val="32"/>
          <w:szCs w:val="32"/>
          <w:highlight w:val="none"/>
        </w:rPr>
        <w:t>1</w:t>
      </w:r>
      <w:r>
        <w:rPr>
          <w:rFonts w:hint="eastAsia" w:ascii="Times New Roman" w:hAnsi="Times New Roman" w:eastAsia="仿宋_GB2312" w:cs="仿宋_GB2312"/>
          <w:color w:val="auto"/>
          <w:kern w:val="2"/>
          <w:sz w:val="32"/>
          <w:szCs w:val="32"/>
          <w:highlight w:val="none"/>
          <w:lang w:val="en-US" w:eastAsia="zh-CN" w:bidi="ar-SA"/>
        </w:rPr>
        <w:t>批次，</w:t>
      </w:r>
      <w:r>
        <w:rPr>
          <w:rFonts w:hint="eastAsia" w:ascii="仿宋_GB2312" w:hAnsi="仿宋_GB2312" w:eastAsia="仿宋_GB2312" w:cs="仿宋_GB2312"/>
          <w:sz w:val="32"/>
          <w:szCs w:val="32"/>
          <w:highlight w:val="none"/>
        </w:rPr>
        <w:t>4</w:t>
      </w:r>
      <w:r>
        <w:rPr>
          <w:rFonts w:hint="eastAsia" w:ascii="Times New Roman" w:hAnsi="Times New Roman" w:eastAsia="仿宋_GB2312" w:cs="仿宋_GB2312"/>
          <w:color w:val="auto"/>
          <w:kern w:val="2"/>
          <w:sz w:val="32"/>
          <w:szCs w:val="32"/>
          <w:highlight w:val="none"/>
          <w:lang w:val="en-US" w:eastAsia="zh-CN" w:bidi="ar-SA"/>
        </w:rPr>
        <w:t>人次（不包括陪同人员），共计支出</w:t>
      </w:r>
      <w:r>
        <w:rPr>
          <w:rFonts w:hint="eastAsia" w:eastAsia="仿宋_GB2312" w:cs="仿宋_GB2312"/>
          <w:color w:val="auto"/>
          <w:kern w:val="2"/>
          <w:sz w:val="32"/>
          <w:szCs w:val="32"/>
          <w:highlight w:val="none"/>
          <w:lang w:val="en-US" w:eastAsia="zh-CN" w:bidi="ar-SA"/>
        </w:rPr>
        <w:t>0.05</w:t>
      </w:r>
      <w:r>
        <w:rPr>
          <w:rFonts w:hint="eastAsia" w:ascii="Times New Roman" w:hAnsi="Times New Roman" w:eastAsia="仿宋_GB2312" w:cs="仿宋_GB2312"/>
          <w:color w:val="auto"/>
          <w:kern w:val="2"/>
          <w:sz w:val="32"/>
          <w:szCs w:val="32"/>
          <w:highlight w:val="none"/>
          <w:lang w:val="en-US" w:eastAsia="zh-CN" w:bidi="ar-SA"/>
        </w:rPr>
        <w:t>万元，具体内容包括：</w:t>
      </w:r>
      <w:r>
        <w:rPr>
          <w:rFonts w:hint="eastAsia" w:eastAsia="仿宋_GB2312" w:cs="仿宋_GB2312"/>
          <w:color w:val="auto"/>
          <w:kern w:val="2"/>
          <w:sz w:val="32"/>
          <w:szCs w:val="32"/>
          <w:highlight w:val="none"/>
          <w:lang w:val="en-US" w:eastAsia="zh-CN" w:bidi="ar-SA"/>
        </w:rPr>
        <w:t>餐费0.05万元</w:t>
      </w:r>
      <w:r>
        <w:rPr>
          <w:rFonts w:hint="eastAsia" w:ascii="Times New Roman" w:hAnsi="Times New Roman" w:eastAsia="仿宋_GB2312" w:cs="仿宋_GB2312"/>
          <w:color w:val="auto"/>
          <w:kern w:val="2"/>
          <w:sz w:val="32"/>
          <w:szCs w:val="32"/>
          <w:highlight w:val="none"/>
          <w:lang w:val="en-US" w:eastAsia="zh-CN" w:bidi="ar-SA"/>
        </w:rPr>
        <w:t>。</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外事接待支出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bookmarkStart w:id="34" w:name="_Toc15396610"/>
      <w:bookmarkStart w:id="35" w:name="_Toc15377218"/>
    </w:p>
    <w:p>
      <w:pPr>
        <w:spacing w:line="600" w:lineRule="exact"/>
        <w:ind w:firstLine="640"/>
        <w:outlineLvl w:val="1"/>
        <w:rPr>
          <w:rStyle w:val="29"/>
          <w:rFonts w:ascii="Times New Roman" w:hAnsi="Times New Roman" w:eastAsia="黑体"/>
          <w:color w:val="auto"/>
          <w:highlight w:val="none"/>
        </w:rPr>
      </w:pPr>
      <w:r>
        <w:rPr>
          <w:rFonts w:hint="eastAsia" w:ascii="Times New Roman" w:hAnsi="Times New Roman" w:eastAsia="黑体"/>
          <w:color w:val="auto"/>
          <w:sz w:val="32"/>
          <w:szCs w:val="32"/>
          <w:highlight w:val="none"/>
        </w:rPr>
        <w:t>八、</w:t>
      </w:r>
      <w:r>
        <w:rPr>
          <w:rStyle w:val="29"/>
          <w:rFonts w:hint="eastAsia" w:ascii="Times New Roman" w:hAnsi="Times New Roman" w:eastAsia="黑体"/>
          <w:b w:val="0"/>
          <w:color w:val="auto"/>
          <w:highlight w:val="none"/>
        </w:rPr>
        <w:t>政府性基金预算支出决算情况说明</w:t>
      </w:r>
      <w:bookmarkEnd w:id="34"/>
      <w:bookmarkEnd w:id="35"/>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政府性基金预算财政拨款支出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p>
    <w:p>
      <w:pPr>
        <w:numPr>
          <w:ilvl w:val="0"/>
          <w:numId w:val="0"/>
        </w:numPr>
        <w:spacing w:line="600" w:lineRule="exact"/>
        <w:ind w:left="630" w:leftChars="0"/>
        <w:outlineLvl w:val="1"/>
        <w:rPr>
          <w:rStyle w:val="29"/>
          <w:rFonts w:ascii="Times New Roman" w:hAnsi="Times New Roman" w:eastAsia="黑体"/>
          <w:b w:val="0"/>
          <w:color w:val="auto"/>
          <w:highlight w:val="none"/>
        </w:rPr>
      </w:pPr>
      <w:bookmarkStart w:id="36" w:name="_Toc15377219"/>
      <w:bookmarkStart w:id="37" w:name="_Toc15396611"/>
      <w:r>
        <w:rPr>
          <w:rStyle w:val="29"/>
          <w:rFonts w:hint="eastAsia" w:ascii="Times New Roman" w:hAnsi="Times New Roman" w:eastAsia="黑体"/>
          <w:b w:val="0"/>
          <w:color w:val="auto"/>
          <w:highlight w:val="none"/>
          <w:lang w:eastAsia="zh-CN"/>
        </w:rPr>
        <w:t>九、</w:t>
      </w:r>
      <w:r>
        <w:rPr>
          <w:rStyle w:val="29"/>
          <w:rFonts w:hint="eastAsia" w:ascii="Times New Roman" w:hAnsi="Times New Roman" w:eastAsia="黑体"/>
          <w:b w:val="0"/>
          <w:color w:val="auto"/>
          <w:highlight w:val="none"/>
        </w:rPr>
        <w:t>国有资本经营预算支出决算情况说明</w:t>
      </w:r>
      <w:bookmarkEnd w:id="36"/>
      <w:bookmarkEnd w:id="37"/>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国有资本经营预算财政拨款支出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numPr>
          <w:ilvl w:val="0"/>
          <w:numId w:val="0"/>
        </w:numPr>
        <w:spacing w:line="600" w:lineRule="exact"/>
        <w:ind w:left="630" w:leftChars="0"/>
        <w:outlineLvl w:val="1"/>
        <w:rPr>
          <w:rStyle w:val="29"/>
          <w:rFonts w:hint="eastAsia" w:ascii="Times New Roman" w:hAnsi="Times New Roman" w:eastAsia="黑体"/>
          <w:b w:val="0"/>
          <w:color w:val="auto"/>
          <w:highlight w:val="none"/>
        </w:rPr>
      </w:pPr>
      <w:bookmarkStart w:id="38" w:name="_Toc15396612"/>
      <w:bookmarkStart w:id="39" w:name="_Toc15377221"/>
      <w:r>
        <w:rPr>
          <w:rStyle w:val="29"/>
          <w:rFonts w:hint="eastAsia" w:ascii="Times New Roman" w:hAnsi="Times New Roman" w:eastAsia="黑体"/>
          <w:b w:val="0"/>
          <w:color w:val="auto"/>
          <w:highlight w:val="none"/>
          <w:lang w:eastAsia="zh-CN"/>
        </w:rPr>
        <w:t>十、</w:t>
      </w:r>
      <w:r>
        <w:rPr>
          <w:rStyle w:val="29"/>
          <w:rFonts w:hint="eastAsia" w:ascii="Times New Roman" w:hAnsi="Times New Roman" w:eastAsia="黑体"/>
          <w:b w:val="0"/>
          <w:color w:val="auto"/>
          <w:highlight w:val="none"/>
        </w:rPr>
        <w:t>其他重要事项的情况说明</w:t>
      </w:r>
      <w:bookmarkEnd w:id="38"/>
      <w:bookmarkEnd w:id="39"/>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0" w:name="_Toc15377222"/>
      <w:r>
        <w:rPr>
          <w:rFonts w:hint="eastAsia" w:ascii="Times New Roman" w:hAnsi="Times New Roman" w:eastAsia="楷体_GB2312" w:cs="楷体_GB2312"/>
          <w:b/>
          <w:color w:val="auto"/>
          <w:sz w:val="32"/>
          <w:szCs w:val="32"/>
          <w:highlight w:val="none"/>
        </w:rPr>
        <w:t>（一）机关运行经费支出情况</w:t>
      </w:r>
      <w:bookmarkEnd w:id="40"/>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攀枝花市人力资源和社会保障信息中心为事业单位，按规定未使用机关运行的相关科目。</w:t>
      </w: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rPr>
        <w:t>攀枝花市人力资源和社会保障信息中心</w:t>
      </w:r>
      <w:r>
        <w:rPr>
          <w:rFonts w:hint="eastAsia" w:ascii="Times New Roman" w:hAnsi="Times New Roman" w:eastAsia="仿宋_GB2312" w:cs="仿宋_GB2312"/>
          <w:color w:val="auto"/>
          <w:kern w:val="2"/>
          <w:sz w:val="32"/>
          <w:szCs w:val="32"/>
          <w:highlight w:val="none"/>
          <w:lang w:val="en-US" w:eastAsia="zh-CN" w:bidi="ar-SA"/>
        </w:rPr>
        <w:t>机关运行经费支出</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r>
        <w:rPr>
          <w:rFonts w:hint="eastAsia" w:eastAsia="仿宋_GB2312" w:cs="仿宋_GB2312"/>
          <w:color w:val="auto"/>
          <w:kern w:val="2"/>
          <w:sz w:val="32"/>
          <w:szCs w:val="32"/>
          <w:highlight w:val="none"/>
          <w:lang w:val="en-US" w:eastAsia="zh-CN" w:bidi="ar-SA"/>
        </w:rPr>
        <w:t>。</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1" w:name="_Toc15377223"/>
      <w:r>
        <w:rPr>
          <w:rFonts w:hint="eastAsia" w:ascii="Times New Roman" w:hAnsi="Times New Roman" w:eastAsia="楷体_GB2312" w:cs="楷体_GB2312"/>
          <w:b/>
          <w:color w:val="auto"/>
          <w:sz w:val="32"/>
          <w:szCs w:val="32"/>
          <w:highlight w:val="none"/>
        </w:rPr>
        <w:t>（二）政府采购支出情况</w:t>
      </w:r>
      <w:bookmarkEnd w:id="41"/>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eastAsia="仿宋_GB2312" w:cs="仿宋_GB2312"/>
          <w:color w:val="auto"/>
          <w:kern w:val="2"/>
          <w:sz w:val="32"/>
          <w:szCs w:val="32"/>
          <w:highlight w:val="none"/>
          <w:lang w:val="en-US" w:eastAsia="zh-CN" w:bidi="ar-SA"/>
        </w:rPr>
        <w:t>2025年度</w:t>
      </w:r>
      <w:r>
        <w:rPr>
          <w:rFonts w:hint="eastAsia" w:ascii="Times New Roman" w:hAnsi="Times New Roman" w:eastAsia="仿宋_GB2312" w:cs="仿宋_GB2312"/>
          <w:color w:val="auto"/>
          <w:kern w:val="2"/>
          <w:sz w:val="32"/>
          <w:szCs w:val="32"/>
          <w:highlight w:val="none"/>
          <w:lang w:val="en-US" w:eastAsia="zh-CN" w:bidi="ar-SA"/>
        </w:rPr>
        <w:t>，</w:t>
      </w:r>
      <w:r>
        <w:rPr>
          <w:rFonts w:hint="eastAsia" w:ascii="仿宋_GB2312" w:hAnsi="仿宋_GB2312" w:eastAsia="仿宋_GB2312" w:cs="仿宋_GB2312"/>
          <w:sz w:val="32"/>
          <w:szCs w:val="32"/>
          <w:highlight w:val="none"/>
        </w:rPr>
        <w:t>攀枝花市人力资源和社会保障信息中心</w:t>
      </w:r>
      <w:r>
        <w:rPr>
          <w:rFonts w:hint="eastAsia" w:ascii="Times New Roman" w:hAnsi="Times New Roman" w:eastAsia="仿宋_GB2312" w:cs="仿宋_GB2312"/>
          <w:color w:val="auto"/>
          <w:kern w:val="2"/>
          <w:sz w:val="32"/>
          <w:szCs w:val="32"/>
          <w:highlight w:val="none"/>
          <w:lang w:val="en-US" w:eastAsia="zh-CN" w:bidi="ar-SA"/>
        </w:rPr>
        <w:t>政府采购支出总额</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万元。</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bookmarkStart w:id="42" w:name="_Toc15377224"/>
      <w:r>
        <w:rPr>
          <w:rFonts w:hint="eastAsia" w:ascii="Times New Roman" w:hAnsi="Times New Roman" w:eastAsia="楷体_GB2312" w:cs="楷体_GB2312"/>
          <w:b/>
          <w:color w:val="auto"/>
          <w:sz w:val="32"/>
          <w:szCs w:val="32"/>
          <w:highlight w:val="none"/>
        </w:rPr>
        <w:t>（三）国有资产占有使用情况</w:t>
      </w:r>
      <w:bookmarkEnd w:id="42"/>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截至202</w:t>
      </w:r>
      <w:r>
        <w:rPr>
          <w:rFonts w:hint="eastAsia" w:eastAsia="仿宋_GB2312" w:cs="仿宋_GB2312"/>
          <w:color w:val="auto"/>
          <w:kern w:val="2"/>
          <w:sz w:val="32"/>
          <w:szCs w:val="32"/>
          <w:highlight w:val="none"/>
          <w:lang w:val="en-US" w:eastAsia="zh-CN" w:bidi="ar-SA"/>
        </w:rPr>
        <w:t>5</w:t>
      </w:r>
      <w:r>
        <w:rPr>
          <w:rFonts w:hint="eastAsia" w:ascii="Times New Roman" w:hAnsi="Times New Roman" w:eastAsia="仿宋_GB2312" w:cs="仿宋_GB2312"/>
          <w:color w:val="auto"/>
          <w:kern w:val="2"/>
          <w:sz w:val="32"/>
          <w:szCs w:val="32"/>
          <w:highlight w:val="none"/>
          <w:lang w:val="en-US" w:eastAsia="zh-CN" w:bidi="ar-SA"/>
        </w:rPr>
        <w:t>年12月31日，</w:t>
      </w:r>
      <w:r>
        <w:rPr>
          <w:rFonts w:hint="eastAsia" w:ascii="仿宋_GB2312" w:hAnsi="仿宋_GB2312" w:eastAsia="仿宋_GB2312" w:cs="仿宋_GB2312"/>
          <w:sz w:val="32"/>
          <w:szCs w:val="32"/>
          <w:highlight w:val="none"/>
        </w:rPr>
        <w:t>攀枝花市人力资源和社会保障信息中心</w:t>
      </w:r>
      <w:r>
        <w:rPr>
          <w:rFonts w:hint="eastAsia" w:ascii="Times New Roman" w:hAnsi="Times New Roman" w:eastAsia="仿宋_GB2312" w:cs="仿宋_GB2312"/>
          <w:color w:val="auto"/>
          <w:kern w:val="2"/>
          <w:sz w:val="32"/>
          <w:szCs w:val="32"/>
          <w:highlight w:val="none"/>
          <w:lang w:val="en-US" w:eastAsia="zh-CN" w:bidi="ar-SA"/>
        </w:rPr>
        <w:t>共有车辆</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辆</w:t>
      </w:r>
      <w:r>
        <w:rPr>
          <w:rFonts w:hint="eastAsia" w:eastAsia="仿宋_GB2312" w:cs="仿宋_GB2312"/>
          <w:color w:val="auto"/>
          <w:kern w:val="2"/>
          <w:sz w:val="32"/>
          <w:szCs w:val="32"/>
          <w:highlight w:val="none"/>
          <w:lang w:val="en-US" w:eastAsia="zh-CN" w:bidi="ar-SA"/>
        </w:rPr>
        <w:t>。</w:t>
      </w:r>
      <w:r>
        <w:rPr>
          <w:rFonts w:hint="eastAsia" w:ascii="Times New Roman" w:hAnsi="Times New Roman" w:eastAsia="仿宋_GB2312" w:cs="仿宋_GB2312"/>
          <w:color w:val="auto"/>
          <w:kern w:val="2"/>
          <w:sz w:val="32"/>
          <w:szCs w:val="32"/>
          <w:highlight w:val="none"/>
          <w:lang w:val="en-US" w:eastAsia="zh-CN" w:bidi="ar-SA"/>
        </w:rPr>
        <w:t>单价100万元</w:t>
      </w:r>
      <w:r>
        <w:rPr>
          <w:rFonts w:hint="eastAsia" w:eastAsia="仿宋_GB2312" w:cs="仿宋_GB2312"/>
          <w:color w:val="auto"/>
          <w:kern w:val="2"/>
          <w:sz w:val="32"/>
          <w:szCs w:val="32"/>
          <w:highlight w:val="none"/>
          <w:lang w:val="en-US" w:eastAsia="zh-CN" w:bidi="ar-SA"/>
        </w:rPr>
        <w:t>（含）</w:t>
      </w:r>
      <w:r>
        <w:rPr>
          <w:rFonts w:hint="eastAsia" w:ascii="Times New Roman" w:hAnsi="Times New Roman" w:eastAsia="仿宋_GB2312" w:cs="仿宋_GB2312"/>
          <w:color w:val="auto"/>
          <w:kern w:val="2"/>
          <w:sz w:val="32"/>
          <w:szCs w:val="32"/>
          <w:highlight w:val="none"/>
          <w:lang w:val="en-US" w:eastAsia="zh-CN" w:bidi="ar-SA"/>
        </w:rPr>
        <w:t>以上设备（不含车辆）</w:t>
      </w:r>
      <w:r>
        <w:rPr>
          <w:rFonts w:hint="eastAsia" w:ascii="仿宋_GB2312" w:hAnsi="仿宋_GB2312" w:eastAsia="仿宋_GB2312" w:cs="仿宋_GB2312"/>
          <w:sz w:val="32"/>
          <w:szCs w:val="32"/>
          <w:highlight w:val="none"/>
        </w:rPr>
        <w:t>0</w:t>
      </w:r>
      <w:r>
        <w:rPr>
          <w:rFonts w:hint="eastAsia" w:ascii="Times New Roman" w:hAnsi="Times New Roman" w:eastAsia="仿宋_GB2312" w:cs="仿宋_GB2312"/>
          <w:color w:val="auto"/>
          <w:kern w:val="2"/>
          <w:sz w:val="32"/>
          <w:szCs w:val="32"/>
          <w:highlight w:val="none"/>
          <w:lang w:val="en-US" w:eastAsia="zh-CN" w:bidi="ar-SA"/>
        </w:rPr>
        <w:t>台（套）。</w:t>
      </w:r>
    </w:p>
    <w:p>
      <w:pPr>
        <w:spacing w:line="600" w:lineRule="exact"/>
        <w:ind w:firstLine="643" w:firstLineChars="200"/>
        <w:outlineLvl w:val="2"/>
        <w:rPr>
          <w:rFonts w:hint="eastAsia" w:ascii="Times New Roman" w:hAnsi="Times New Roman" w:eastAsia="楷体_GB2312" w:cs="楷体_GB2312"/>
          <w:b/>
          <w:color w:val="auto"/>
          <w:sz w:val="32"/>
          <w:szCs w:val="32"/>
          <w:highlight w:val="none"/>
        </w:rPr>
      </w:pPr>
      <w:r>
        <w:rPr>
          <w:rFonts w:hint="eastAsia" w:ascii="Times New Roman" w:hAnsi="Times New Roman" w:eastAsia="楷体_GB2312" w:cs="楷体_GB2312"/>
          <w:b/>
          <w:color w:val="auto"/>
          <w:sz w:val="32"/>
          <w:szCs w:val="32"/>
          <w:highlight w:val="none"/>
        </w:rPr>
        <w:t>（四）预算绩效管理情况</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根据预算绩效管理要求，</w:t>
      </w:r>
      <w:r>
        <w:rPr>
          <w:rFonts w:hint="eastAsia" w:eastAsia="仿宋_GB2312" w:cs="仿宋_GB2312"/>
          <w:color w:val="auto"/>
          <w:kern w:val="2"/>
          <w:sz w:val="32"/>
          <w:szCs w:val="32"/>
          <w:highlight w:val="none"/>
          <w:lang w:val="en-US" w:eastAsia="zh-CN" w:bidi="ar-SA"/>
        </w:rPr>
        <w:t>我单位</w:t>
      </w:r>
      <w:r>
        <w:rPr>
          <w:rFonts w:hint="eastAsia" w:ascii="Times New Roman" w:hAnsi="Times New Roman" w:eastAsia="仿宋_GB2312" w:cs="仿宋_GB2312"/>
          <w:color w:val="auto"/>
          <w:kern w:val="2"/>
          <w:sz w:val="32"/>
          <w:szCs w:val="32"/>
          <w:highlight w:val="none"/>
          <w:lang w:val="en-US" w:eastAsia="zh-CN" w:bidi="ar-SA"/>
        </w:rPr>
        <w:t>在2025年度，组织对</w:t>
      </w:r>
      <w:r>
        <w:rPr>
          <w:rFonts w:hint="eastAsia" w:eastAsia="仿宋_GB2312" w:cs="仿宋_GB2312"/>
          <w:color w:val="auto"/>
          <w:kern w:val="2"/>
          <w:sz w:val="32"/>
          <w:szCs w:val="32"/>
          <w:highlight w:val="none"/>
          <w:lang w:val="en-US" w:eastAsia="zh-CN" w:bidi="ar-SA"/>
        </w:rPr>
        <w:t>一卡通及电子社保卡专项经费</w:t>
      </w:r>
      <w:r>
        <w:rPr>
          <w:rFonts w:hint="eastAsia" w:ascii="Times New Roman" w:hAnsi="Times New Roman" w:eastAsia="仿宋_GB2312" w:cs="仿宋_GB2312"/>
          <w:color w:val="auto"/>
          <w:kern w:val="2"/>
          <w:sz w:val="32"/>
          <w:szCs w:val="32"/>
          <w:highlight w:val="none"/>
          <w:lang w:val="en-US" w:eastAsia="zh-CN" w:bidi="ar-SA"/>
        </w:rPr>
        <w:t>等</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个项目涉及金额</w:t>
      </w:r>
      <w:r>
        <w:rPr>
          <w:rFonts w:hint="eastAsia" w:eastAsia="仿宋_GB2312" w:cs="仿宋_GB2312"/>
          <w:color w:val="auto"/>
          <w:kern w:val="2"/>
          <w:sz w:val="32"/>
          <w:szCs w:val="32"/>
          <w:highlight w:val="none"/>
          <w:lang w:val="en-US" w:eastAsia="zh-CN" w:bidi="ar-SA"/>
        </w:rPr>
        <w:t>33.18</w:t>
      </w:r>
      <w:r>
        <w:rPr>
          <w:rFonts w:hint="eastAsia" w:ascii="Times New Roman" w:hAnsi="Times New Roman" w:eastAsia="仿宋_GB2312" w:cs="仿宋_GB2312"/>
          <w:color w:val="auto"/>
          <w:kern w:val="2"/>
          <w:sz w:val="32"/>
          <w:szCs w:val="32"/>
          <w:highlight w:val="none"/>
          <w:lang w:val="en-US" w:eastAsia="zh-CN" w:bidi="ar-SA"/>
        </w:rPr>
        <w:t>万元开展了事前绩效评估，对</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个项目编制了绩效目标，预算执行过程中，选取</w:t>
      </w:r>
      <w:r>
        <w:rPr>
          <w:rFonts w:hint="eastAsia" w:eastAsia="仿宋_GB2312" w:cs="仿宋_GB2312"/>
          <w:color w:val="auto"/>
          <w:kern w:val="2"/>
          <w:sz w:val="32"/>
          <w:szCs w:val="32"/>
          <w:highlight w:val="none"/>
          <w:lang w:val="en-US" w:eastAsia="zh-CN" w:bidi="ar-SA"/>
        </w:rPr>
        <w:t>2</w:t>
      </w:r>
      <w:r>
        <w:rPr>
          <w:rFonts w:hint="eastAsia" w:ascii="Times New Roman" w:hAnsi="Times New Roman" w:eastAsia="仿宋_GB2312" w:cs="仿宋_GB2312"/>
          <w:color w:val="auto"/>
          <w:kern w:val="2"/>
          <w:sz w:val="32"/>
          <w:szCs w:val="32"/>
          <w:highlight w:val="none"/>
          <w:lang w:val="en-US" w:eastAsia="zh-CN" w:bidi="ar-SA"/>
        </w:rPr>
        <w:t>个项目开展绩效监控。</w:t>
      </w: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pStyle w:val="2"/>
        <w:rPr>
          <w:rFonts w:hint="eastAsia" w:ascii="Times New Roman" w:hAnsi="Times New Roman" w:eastAsia="仿宋_GB2312" w:cs="仿宋_GB2312"/>
          <w:color w:val="auto"/>
          <w:kern w:val="2"/>
          <w:sz w:val="32"/>
          <w:szCs w:val="32"/>
          <w:highlight w:val="none"/>
          <w:lang w:val="en-US" w:eastAsia="zh-CN" w:bidi="ar-SA"/>
        </w:rPr>
      </w:pPr>
    </w:p>
    <w:p>
      <w:pPr>
        <w:numPr>
          <w:ilvl w:val="0"/>
          <w:numId w:val="0"/>
        </w:numPr>
        <w:spacing w:line="600" w:lineRule="exact"/>
        <w:jc w:val="center"/>
        <w:outlineLvl w:val="0"/>
        <w:rPr>
          <w:rFonts w:hint="eastAsia" w:ascii="Times New Roman" w:hAnsi="Times New Roman" w:eastAsia="黑体"/>
          <w:color w:val="auto"/>
          <w:sz w:val="44"/>
          <w:szCs w:val="44"/>
          <w:highlight w:val="none"/>
        </w:rPr>
      </w:pPr>
      <w:bookmarkStart w:id="43" w:name="_Toc15377225"/>
      <w:bookmarkStart w:id="44" w:name="_Toc15396613"/>
      <w:r>
        <w:rPr>
          <w:rFonts w:hint="eastAsia" w:ascii="Times New Roman" w:hAnsi="Times New Roman" w:eastAsia="黑体"/>
          <w:color w:val="auto"/>
          <w:sz w:val="44"/>
          <w:szCs w:val="44"/>
          <w:highlight w:val="none"/>
        </w:rPr>
        <w:t>第</w:t>
      </w:r>
      <w:r>
        <w:rPr>
          <w:rFonts w:hint="eastAsia" w:eastAsia="黑体"/>
          <w:color w:val="auto"/>
          <w:sz w:val="44"/>
          <w:szCs w:val="44"/>
          <w:highlight w:val="none"/>
          <w:lang w:eastAsia="zh-CN"/>
        </w:rPr>
        <w:t>三</w:t>
      </w:r>
      <w:r>
        <w:rPr>
          <w:rFonts w:hint="eastAsia" w:ascii="Times New Roman" w:hAnsi="Times New Roman" w:eastAsia="黑体"/>
          <w:color w:val="auto"/>
          <w:sz w:val="44"/>
          <w:szCs w:val="44"/>
          <w:highlight w:val="none"/>
        </w:rPr>
        <w:t>部分</w:t>
      </w:r>
      <w:r>
        <w:rPr>
          <w:rFonts w:hint="eastAsia" w:ascii="Times New Roman" w:hAnsi="Times New Roman" w:eastAsia="黑体"/>
          <w:color w:val="auto"/>
          <w:sz w:val="44"/>
          <w:szCs w:val="44"/>
          <w:highlight w:val="none"/>
          <w:lang w:val="en-US" w:eastAsia="zh-CN"/>
        </w:rPr>
        <w:t xml:space="preserve"> </w:t>
      </w:r>
      <w:r>
        <w:rPr>
          <w:rFonts w:hint="eastAsia"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名词解释</w:t>
      </w:r>
      <w:bookmarkEnd w:id="43"/>
      <w:bookmarkEnd w:id="44"/>
    </w:p>
    <w:p>
      <w:pPr>
        <w:spacing w:line="600" w:lineRule="exact"/>
        <w:jc w:val="left"/>
        <w:rPr>
          <w:rFonts w:ascii="Times New Roman" w:hAnsi="Times New Roman"/>
          <w:b/>
          <w:color w:val="auto"/>
          <w:sz w:val="44"/>
          <w:szCs w:val="44"/>
          <w:highlight w:val="none"/>
        </w:rPr>
      </w:pPr>
    </w:p>
    <w:p>
      <w:pPr>
        <w:spacing w:line="600" w:lineRule="exact"/>
        <w:ind w:firstLine="640"/>
        <w:rPr>
          <w:rFonts w:hint="eastAsia" w:ascii="Times New Roman" w:hAnsi="Times New Roman" w:eastAsia="仿宋_GB2312" w:cs="仿宋_GB2312"/>
          <w:color w:val="auto"/>
          <w:kern w:val="2"/>
          <w:sz w:val="32"/>
          <w:szCs w:val="32"/>
          <w:highlight w:val="none"/>
          <w:lang w:val="en-US" w:eastAsia="zh-CN" w:bidi="ar-SA"/>
        </w:rPr>
      </w:pPr>
      <w:r>
        <w:rPr>
          <w:rFonts w:hint="eastAsia" w:ascii="Times New Roman" w:hAnsi="Times New Roman" w:eastAsia="仿宋_GB2312" w:cs="仿宋_GB2312"/>
          <w:color w:val="auto"/>
          <w:kern w:val="2"/>
          <w:sz w:val="32"/>
          <w:szCs w:val="32"/>
          <w:highlight w:val="none"/>
          <w:lang w:val="en-US" w:eastAsia="zh-CN" w:bidi="ar-SA"/>
        </w:rPr>
        <w:t>1.财政拨款收入：指单位从同级财政部门取得的财政预算资金。</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bookmarkStart w:id="45" w:name="_Toc15377226"/>
      <w:r>
        <w:rPr>
          <w:rFonts w:hint="eastAsia" w:ascii="仿宋_GB2312" w:hAnsi="仿宋_GB2312" w:eastAsia="仿宋_GB2312" w:cs="仿宋_GB2312"/>
          <w:color w:val="auto"/>
          <w:kern w:val="2"/>
          <w:sz w:val="32"/>
          <w:szCs w:val="32"/>
          <w:highlight w:val="none"/>
          <w:lang w:val="en-US" w:eastAsia="zh-CN" w:bidi="ar-SA"/>
        </w:rPr>
        <w:t>2.社会保障和就业支出（类）人力资源和社会保障管理事务（款）信息化建设（项）:指反映人力资源和社会保障部门用于信息化建设、运行维护和数据分析等方面的支出，如人员类支出及一卡通、社会保障卡建设和运行维护等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3.社会保障和就业支出（类）行政事业单位养老支出（款）机关事业单位基本养老保险缴费支出（项）:指反映机关事业单位实施养老保险制度由单位缴纳的基本养老保险费支出。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4.卫生健康支出（类）行政事业单位医疗（款）事业单位医疗支出（项）：指反映由单位缴纳的基本医疗保险支出。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5.卫生健康支出（类）行政事业单位医疗（款）公务员医疗补助支出（项）：指反映由单位缴纳的公务员医疗补助支出。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6.卫生健康支出（类）行政事业单位医疗（款）其他行政事业单位医疗支出（项）：指反映由单位缴纳的补充医疗保险支出。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7.住房保障（类）住房改革支出（款）住房公积金（项）：指反映行政事业单位按人力资源和社会保障部、财政部规定的基本工资和津贴补贴以及规定比例为职工缴纳的住房公积金。</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8.基本支出：指为保障机构正常运转、完成日常工作任务而发生的人员支出和公用支出。</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 xml:space="preserve">9.项目支出：指在基本支出之外为完成特定行政任务和事业发展目标所发生的支出。 </w:t>
      </w:r>
    </w:p>
    <w:p>
      <w:pPr>
        <w:spacing w:line="600" w:lineRule="exact"/>
        <w:ind w:firstLine="640"/>
        <w:rPr>
          <w:rFonts w:hint="eastAsia" w:ascii="仿宋_GB2312" w:hAnsi="仿宋_GB2312" w:eastAsia="仿宋_GB2312" w:cs="仿宋_GB2312"/>
          <w:color w:val="auto"/>
          <w:kern w:val="2"/>
          <w:sz w:val="32"/>
          <w:szCs w:val="32"/>
          <w:highlight w:val="none"/>
          <w:lang w:val="en-US" w:eastAsia="zh-CN" w:bidi="ar-SA"/>
        </w:rPr>
      </w:pPr>
      <w:r>
        <w:rPr>
          <w:rFonts w:hint="eastAsia" w:ascii="仿宋_GB2312" w:hAnsi="仿宋_GB2312" w:eastAsia="仿宋_GB2312" w:cs="仿宋_GB2312"/>
          <w:color w:val="auto"/>
          <w:kern w:val="2"/>
          <w:sz w:val="32"/>
          <w:szCs w:val="32"/>
          <w:highlight w:val="none"/>
          <w:lang w:val="en-US" w:eastAsia="zh-CN" w:bidi="ar-SA"/>
        </w:rPr>
        <w:t>10.“三公”经费：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pPr>
        <w:spacing w:line="600" w:lineRule="exact"/>
        <w:jc w:val="center"/>
        <w:rPr>
          <w:rStyle w:val="28"/>
          <w:rFonts w:hint="eastAsia" w:ascii="Times New Roman" w:hAnsi="Times New Roman" w:eastAsia="黑体"/>
          <w:b w:val="0"/>
          <w:color w:val="auto"/>
          <w:highlight w:val="none"/>
          <w:lang w:eastAsia="zh-CN"/>
        </w:rPr>
      </w:pPr>
      <w:r>
        <w:rPr>
          <w:rFonts w:hint="eastAsia" w:ascii="Times New Roman" w:hAnsi="Times New Roman" w:eastAsia="仿宋_GB2312" w:cs="仿宋_GB2312"/>
          <w:color w:val="auto"/>
          <w:kern w:val="2"/>
          <w:sz w:val="32"/>
          <w:szCs w:val="32"/>
          <w:highlight w:val="none"/>
          <w:lang w:val="en-US" w:eastAsia="zh-CN" w:bidi="ar-SA"/>
        </w:rPr>
        <w:br w:type="page"/>
      </w:r>
      <w:bookmarkStart w:id="46" w:name="_Toc15396614"/>
      <w:r>
        <w:rPr>
          <w:rFonts w:hint="eastAsia" w:ascii="Times New Roman" w:hAnsi="Times New Roman" w:eastAsia="黑体"/>
          <w:color w:val="auto"/>
          <w:sz w:val="44"/>
          <w:szCs w:val="44"/>
          <w:highlight w:val="none"/>
        </w:rPr>
        <w:t>第四部分</w:t>
      </w:r>
      <w:r>
        <w:rPr>
          <w:rFonts w:hint="eastAsia" w:ascii="Times New Roman" w:hAnsi="Times New Roman" w:eastAsia="黑体"/>
          <w:color w:val="auto"/>
          <w:sz w:val="44"/>
          <w:szCs w:val="44"/>
          <w:highlight w:val="none"/>
          <w:lang w:val="en-US" w:eastAsia="zh-CN"/>
        </w:rPr>
        <w:t xml:space="preserve"> </w:t>
      </w:r>
      <w:r>
        <w:rPr>
          <w:rFonts w:hint="eastAsia" w:ascii="Times New Roman" w:hAnsi="Times New Roman" w:eastAsia="黑体"/>
          <w:color w:val="auto"/>
          <w:sz w:val="44"/>
          <w:szCs w:val="44"/>
          <w:highlight w:val="none"/>
        </w:rPr>
        <w:t xml:space="preserve"> 附件</w:t>
      </w:r>
      <w:bookmarkEnd w:id="46"/>
    </w:p>
    <w:p>
      <w:pPr>
        <w:keepNext w:val="0"/>
        <w:keepLines w:val="0"/>
        <w:pageBreakBefore w:val="0"/>
        <w:kinsoku/>
        <w:wordWrap/>
        <w:overflowPunct/>
        <w:topLinePunct w:val="0"/>
        <w:autoSpaceDE/>
        <w:autoSpaceDN/>
        <w:bidi w:val="0"/>
        <w:spacing w:line="572" w:lineRule="exact"/>
        <w:jc w:val="left"/>
        <w:textAlignment w:val="auto"/>
        <w:outlineLvl w:val="0"/>
        <w:rPr>
          <w:rFonts w:hint="eastAsia" w:ascii="Times New Roman" w:hAnsi="Times New Roman" w:eastAsia="黑体" w:cs="黑体"/>
          <w:color w:val="FF0000"/>
          <w:sz w:val="32"/>
          <w:szCs w:val="32"/>
          <w:highlight w:val="none"/>
        </w:rPr>
      </w:pPr>
    </w:p>
    <w:p>
      <w:pPr>
        <w:spacing w:line="600" w:lineRule="exact"/>
        <w:ind w:firstLine="640" w:firstLineChars="200"/>
        <w:rPr>
          <w:rFonts w:ascii="仿宋_GB2312" w:hAnsi="Calibri" w:eastAsia="仿宋_GB2312" w:cs="仿宋"/>
          <w:kern w:val="0"/>
          <w:sz w:val="32"/>
          <w:szCs w:val="32"/>
          <w:highlight w:val="none"/>
        </w:rPr>
      </w:pPr>
      <w:r>
        <w:rPr>
          <w:rFonts w:hint="eastAsia" w:ascii="仿宋_GB2312" w:hAnsi="仿宋_GB2312" w:eastAsia="仿宋_GB2312" w:cs="仿宋_GB2312"/>
          <w:color w:val="auto"/>
          <w:kern w:val="2"/>
          <w:sz w:val="32"/>
          <w:szCs w:val="32"/>
          <w:highlight w:val="none"/>
          <w:lang w:val="en-US" w:eastAsia="zh-CN" w:bidi="ar-SA"/>
        </w:rPr>
        <w:t xml:space="preserve">部门预算项目支出绩效自评表（2025年度）见附件3 </w:t>
      </w:r>
      <w:r>
        <w:rPr>
          <w:rFonts w:hint="eastAsia" w:ascii="仿宋_GB2312" w:hAnsi="方正仿宋_GBK" w:eastAsia="仿宋_GB2312" w:cs="方正仿宋_GBK"/>
          <w:color w:val="000000"/>
          <w:kern w:val="2"/>
          <w:sz w:val="32"/>
          <w:szCs w:val="32"/>
          <w:highlight w:val="none"/>
          <w:lang w:val="en-US" w:eastAsia="zh-CN" w:bidi="ar-SA"/>
        </w:rPr>
        <w:t>攀枝花市人力资源和社会保</w:t>
      </w:r>
      <w:r>
        <w:rPr>
          <w:rFonts w:hint="eastAsia" w:ascii="仿宋_GB2312" w:hAnsi="方正仿宋_GBK" w:eastAsia="仿宋_GB2312" w:cs="方正仿宋_GBK"/>
          <w:kern w:val="2"/>
          <w:sz w:val="32"/>
          <w:szCs w:val="32"/>
          <w:highlight w:val="none"/>
          <w:lang w:val="en-US" w:eastAsia="zh-CN" w:bidi="ar-SA"/>
        </w:rPr>
        <w:t>障信息中心2025年预算项目支出绩效自评表</w:t>
      </w:r>
    </w:p>
    <w:p>
      <w:pPr>
        <w:pStyle w:val="7"/>
        <w:keepNext w:val="0"/>
        <w:keepLines w:val="0"/>
        <w:pageBreakBefore w:val="0"/>
        <w:numPr>
          <w:ilvl w:val="0"/>
          <w:numId w:val="0"/>
        </w:numPr>
        <w:kinsoku/>
        <w:wordWrap/>
        <w:overflowPunct/>
        <w:topLinePunct w:val="0"/>
        <w:autoSpaceDE/>
        <w:autoSpaceDN/>
        <w:bidi w:val="0"/>
        <w:spacing w:line="560" w:lineRule="exact"/>
        <w:textAlignment w:val="auto"/>
        <w:rPr>
          <w:rFonts w:hint="eastAsia" w:ascii="Times New Roman" w:hAnsi="Times New Roman" w:cs="Times New Roman"/>
          <w:sz w:val="32"/>
          <w:szCs w:val="32"/>
          <w:highlight w:val="none"/>
          <w:lang w:val="zh-CN" w:eastAsia="zh-CN"/>
        </w:rPr>
      </w:pPr>
    </w:p>
    <w:p>
      <w:pPr>
        <w:pStyle w:val="2"/>
        <w:rPr>
          <w:rFonts w:hint="eastAsia" w:ascii="Times New Roman" w:hAnsi="Times New Roman" w:cs="宋体"/>
          <w:color w:val="FF0000"/>
          <w:kern w:val="0"/>
          <w:sz w:val="32"/>
          <w:szCs w:val="32"/>
          <w:highlight w:val="none"/>
          <w:shd w:val="clear" w:color="auto" w:fill="FFFFFF"/>
          <w:lang w:val="zh-CN"/>
        </w:rPr>
      </w:pPr>
    </w:p>
    <w:p>
      <w:pPr>
        <w:rPr>
          <w:rFonts w:hint="eastAsia" w:ascii="Times New Roman" w:hAnsi="Times New Roman" w:eastAsia="黑体" w:cs="黑体"/>
          <w:color w:val="auto"/>
          <w:kern w:val="0"/>
          <w:sz w:val="32"/>
          <w:szCs w:val="32"/>
          <w:highlight w:val="none"/>
          <w:shd w:val="clear" w:color="auto" w:fill="FFFFFF"/>
          <w:lang w:val="zh-CN"/>
        </w:rPr>
      </w:pPr>
      <w:r>
        <w:rPr>
          <w:rFonts w:hint="eastAsia" w:ascii="Times New Roman" w:hAnsi="Times New Roman" w:eastAsia="黑体" w:cs="黑体"/>
          <w:color w:val="auto"/>
          <w:kern w:val="0"/>
          <w:sz w:val="32"/>
          <w:szCs w:val="32"/>
          <w:highlight w:val="none"/>
          <w:shd w:val="clear" w:color="auto" w:fill="FFFFFF"/>
          <w:lang w:val="zh-CN"/>
        </w:rPr>
        <w:br w:type="page"/>
      </w:r>
    </w:p>
    <w:p>
      <w:pPr>
        <w:keepNext w:val="0"/>
        <w:keepLines w:val="0"/>
        <w:pageBreakBefore w:val="0"/>
        <w:widowControl w:val="0"/>
        <w:kinsoku/>
        <w:wordWrap/>
        <w:overflowPunct/>
        <w:topLinePunct w:val="0"/>
        <w:autoSpaceDE/>
        <w:autoSpaceDN/>
        <w:bidi w:val="0"/>
        <w:spacing w:line="578" w:lineRule="exact"/>
        <w:ind w:firstLine="640"/>
        <w:textAlignment w:val="auto"/>
        <w:outlineLvl w:val="9"/>
        <w:rPr>
          <w:rFonts w:hint="eastAsia" w:ascii="Times New Roman" w:hAnsi="Times New Roman" w:eastAsia="仿宋_GB2312" w:cs="仿宋_GB2312"/>
          <w:b w:val="0"/>
          <w:bCs w:val="0"/>
          <w:kern w:val="0"/>
          <w:position w:val="0"/>
          <w:sz w:val="32"/>
          <w:szCs w:val="32"/>
          <w:highlight w:val="none"/>
          <w:lang w:val="en-US" w:eastAsia="zh-CN" w:bidi="ar-SA"/>
        </w:rPr>
      </w:pPr>
    </w:p>
    <w:p>
      <w:pPr>
        <w:keepNext w:val="0"/>
        <w:keepLines w:val="0"/>
        <w:pageBreakBefore w:val="0"/>
        <w:widowControl w:val="0"/>
        <w:kinsoku/>
        <w:wordWrap/>
        <w:overflowPunct/>
        <w:topLinePunct w:val="0"/>
        <w:autoSpaceDE/>
        <w:autoSpaceDN/>
        <w:bidi w:val="0"/>
        <w:spacing w:line="578" w:lineRule="exact"/>
        <w:ind w:firstLine="640"/>
        <w:jc w:val="center"/>
        <w:textAlignment w:val="auto"/>
        <w:outlineLvl w:val="9"/>
        <w:rPr>
          <w:rFonts w:hint="eastAsia" w:ascii="Times New Roman" w:hAnsi="Times New Roman" w:eastAsia="仿宋"/>
          <w:b w:val="0"/>
          <w:color w:val="auto"/>
          <w:highlight w:val="none"/>
        </w:rPr>
      </w:pPr>
      <w:bookmarkStart w:id="47" w:name="_Toc15396618"/>
      <w:bookmarkStart w:id="61" w:name="_GoBack"/>
      <w:bookmarkEnd w:id="61"/>
      <w:r>
        <w:rPr>
          <w:rFonts w:hint="eastAsia" w:ascii="Times New Roman" w:hAnsi="Times New Roman" w:eastAsia="黑体"/>
          <w:color w:val="auto"/>
          <w:sz w:val="44"/>
          <w:szCs w:val="44"/>
          <w:highlight w:val="none"/>
        </w:rPr>
        <w:t>第</w:t>
      </w:r>
      <w:r>
        <w:rPr>
          <w:rStyle w:val="28"/>
          <w:rFonts w:hint="eastAsia" w:ascii="Times New Roman" w:hAnsi="Times New Roman" w:eastAsia="黑体"/>
          <w:b w:val="0"/>
          <w:color w:val="auto"/>
          <w:highlight w:val="none"/>
        </w:rPr>
        <w:t>五部分 附表</w:t>
      </w:r>
      <w:bookmarkEnd w:id="45"/>
      <w:bookmarkEnd w:id="47"/>
      <w:bookmarkStart w:id="48" w:name="_Toc1539661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一、收入支出决算总表</w:t>
      </w:r>
      <w:bookmarkEnd w:id="48"/>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49" w:name="_Toc15396620"/>
      <w:r>
        <w:rPr>
          <w:rFonts w:hint="eastAsia" w:ascii="Times New Roman" w:hAnsi="Times New Roman" w:eastAsia="仿宋_GB2312" w:cs="仿宋_GB2312"/>
          <w:color w:val="auto"/>
          <w:sz w:val="32"/>
          <w:szCs w:val="32"/>
          <w:highlight w:val="none"/>
        </w:rPr>
        <w:t>二、收入决算表</w:t>
      </w:r>
      <w:bookmarkEnd w:id="49"/>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0" w:name="_Toc15396621"/>
      <w:r>
        <w:rPr>
          <w:rFonts w:hint="eastAsia" w:ascii="Times New Roman" w:hAnsi="Times New Roman" w:eastAsia="仿宋_GB2312" w:cs="仿宋_GB2312"/>
          <w:color w:val="auto"/>
          <w:sz w:val="32"/>
          <w:szCs w:val="32"/>
          <w:highlight w:val="none"/>
        </w:rPr>
        <w:t>三、支出决算表</w:t>
      </w:r>
      <w:bookmarkEnd w:id="50"/>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1" w:name="_Toc15396622"/>
      <w:r>
        <w:rPr>
          <w:rFonts w:hint="eastAsia" w:ascii="Times New Roman" w:hAnsi="Times New Roman" w:eastAsia="仿宋_GB2312" w:cs="仿宋_GB2312"/>
          <w:color w:val="auto"/>
          <w:sz w:val="32"/>
          <w:szCs w:val="32"/>
          <w:highlight w:val="none"/>
        </w:rPr>
        <w:t>四、财政拨款收入支出决算总表</w:t>
      </w:r>
      <w:bookmarkEnd w:id="51"/>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2" w:name="_Toc15396623"/>
      <w:r>
        <w:rPr>
          <w:rFonts w:hint="eastAsia" w:ascii="Times New Roman" w:hAnsi="Times New Roman" w:eastAsia="仿宋_GB2312" w:cs="仿宋_GB2312"/>
          <w:color w:val="auto"/>
          <w:sz w:val="32"/>
          <w:szCs w:val="32"/>
          <w:highlight w:val="none"/>
        </w:rPr>
        <w:t>五、财政拨款支出决算明细表</w:t>
      </w:r>
      <w:bookmarkEnd w:id="52"/>
      <w:bookmarkStart w:id="53" w:name="_Toc1539662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r>
        <w:rPr>
          <w:rFonts w:hint="eastAsia" w:ascii="Times New Roman" w:hAnsi="Times New Roman" w:eastAsia="仿宋_GB2312" w:cs="仿宋_GB2312"/>
          <w:color w:val="auto"/>
          <w:sz w:val="32"/>
          <w:szCs w:val="32"/>
          <w:highlight w:val="none"/>
        </w:rPr>
        <w:t>六、一般公共预算财政拨款支出决算表</w:t>
      </w:r>
      <w:bookmarkEnd w:id="53"/>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4" w:name="_Toc15396625"/>
      <w:r>
        <w:rPr>
          <w:rFonts w:hint="eastAsia" w:ascii="Times New Roman" w:hAnsi="Times New Roman" w:eastAsia="仿宋_GB2312" w:cs="仿宋_GB2312"/>
          <w:color w:val="auto"/>
          <w:sz w:val="32"/>
          <w:szCs w:val="32"/>
          <w:highlight w:val="none"/>
        </w:rPr>
        <w:t>七、一般公共预算财政拨款支出决算明细表</w:t>
      </w:r>
      <w:bookmarkEnd w:id="54"/>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5" w:name="_Toc15396626"/>
      <w:r>
        <w:rPr>
          <w:rFonts w:hint="eastAsia" w:ascii="Times New Roman" w:hAnsi="Times New Roman" w:eastAsia="仿宋_GB2312" w:cs="仿宋_GB2312"/>
          <w:color w:val="auto"/>
          <w:sz w:val="32"/>
          <w:szCs w:val="32"/>
          <w:highlight w:val="none"/>
        </w:rPr>
        <w:t>八、一般公共预算财政拨款基本支出决算表</w:t>
      </w:r>
      <w:bookmarkEnd w:id="55"/>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6" w:name="_Toc15396627"/>
      <w:r>
        <w:rPr>
          <w:rFonts w:hint="eastAsia" w:ascii="Times New Roman" w:hAnsi="Times New Roman" w:eastAsia="仿宋_GB2312" w:cs="仿宋_GB2312"/>
          <w:color w:val="auto"/>
          <w:sz w:val="32"/>
          <w:szCs w:val="32"/>
          <w:highlight w:val="none"/>
        </w:rPr>
        <w:t>九、一般公共预算财政拨款项目支出决算表</w:t>
      </w:r>
      <w:bookmarkEnd w:id="56"/>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7" w:name="_Toc15396628"/>
      <w:r>
        <w:rPr>
          <w:rFonts w:hint="eastAsia" w:ascii="Times New Roman" w:hAnsi="Times New Roman" w:eastAsia="仿宋_GB2312" w:cs="仿宋_GB2312"/>
          <w:color w:val="auto"/>
          <w:sz w:val="32"/>
          <w:szCs w:val="32"/>
          <w:highlight w:val="none"/>
        </w:rPr>
        <w:t>十、</w:t>
      </w:r>
      <w:bookmarkEnd w:id="57"/>
      <w:r>
        <w:rPr>
          <w:rFonts w:hint="eastAsia" w:ascii="Times New Roman" w:hAnsi="Times New Roman" w:eastAsia="仿宋_GB2312" w:cs="仿宋_GB2312"/>
          <w:color w:val="auto"/>
          <w:sz w:val="32"/>
          <w:szCs w:val="32"/>
          <w:highlight w:val="none"/>
        </w:rPr>
        <w:t>政府性基金预算财政拨款收入支出决算表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8" w:name="_Toc15396629"/>
      <w:r>
        <w:rPr>
          <w:rFonts w:hint="eastAsia" w:ascii="Times New Roman" w:hAnsi="Times New Roman" w:eastAsia="仿宋_GB2312" w:cs="仿宋_GB2312"/>
          <w:color w:val="auto"/>
          <w:sz w:val="32"/>
          <w:szCs w:val="32"/>
          <w:highlight w:val="none"/>
        </w:rPr>
        <w:t>十一、</w:t>
      </w:r>
      <w:bookmarkEnd w:id="58"/>
      <w:r>
        <w:rPr>
          <w:rFonts w:hint="eastAsia" w:ascii="Times New Roman" w:hAnsi="Times New Roman" w:eastAsia="仿宋_GB2312" w:cs="仿宋_GB2312"/>
          <w:color w:val="auto"/>
          <w:sz w:val="32"/>
          <w:szCs w:val="32"/>
          <w:highlight w:val="none"/>
        </w:rPr>
        <w:t>国有资本经营预算</w:t>
      </w:r>
      <w:r>
        <w:rPr>
          <w:rFonts w:hint="eastAsia" w:ascii="Times New Roman" w:hAnsi="Times New Roman" w:eastAsia="仿宋_GB2312" w:cs="仿宋_GB2312"/>
          <w:color w:val="auto"/>
          <w:sz w:val="32"/>
          <w:szCs w:val="32"/>
          <w:highlight w:val="none"/>
          <w:lang w:eastAsia="zh-CN"/>
        </w:rPr>
        <w:t>财政拨款收入</w:t>
      </w:r>
      <w:r>
        <w:rPr>
          <w:rFonts w:hint="eastAsia" w:ascii="Times New Roman" w:hAnsi="Times New Roman" w:eastAsia="仿宋_GB2312" w:cs="仿宋_GB2312"/>
          <w:color w:val="auto"/>
          <w:sz w:val="32"/>
          <w:szCs w:val="32"/>
          <w:highlight w:val="none"/>
        </w:rPr>
        <w:t>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rPr>
      </w:pPr>
      <w:bookmarkStart w:id="59" w:name="_Toc15396630"/>
      <w:r>
        <w:rPr>
          <w:rFonts w:hint="eastAsia" w:ascii="Times New Roman" w:hAnsi="Times New Roman" w:eastAsia="仿宋_GB2312" w:cs="仿宋_GB2312"/>
          <w:color w:val="auto"/>
          <w:sz w:val="32"/>
          <w:szCs w:val="32"/>
          <w:highlight w:val="none"/>
        </w:rPr>
        <w:t>十二、</w:t>
      </w:r>
      <w:bookmarkEnd w:id="59"/>
      <w:r>
        <w:rPr>
          <w:rFonts w:hint="eastAsia" w:ascii="Times New Roman" w:hAnsi="Times New Roman" w:eastAsia="仿宋_GB2312" w:cs="仿宋_GB2312"/>
          <w:color w:val="auto"/>
          <w:sz w:val="32"/>
          <w:szCs w:val="32"/>
          <w:highlight w:val="none"/>
          <w:lang w:eastAsia="zh-CN"/>
        </w:rPr>
        <w:t>国有资本经营预算财政拨款支出决算表</w:t>
      </w:r>
    </w:p>
    <w:p>
      <w:pPr>
        <w:pStyle w:val="14"/>
        <w:keepNext w:val="0"/>
        <w:keepLines w:val="0"/>
        <w:pageBreakBefore w:val="0"/>
        <w:kinsoku/>
        <w:wordWrap/>
        <w:overflowPunct/>
        <w:topLinePunct w:val="0"/>
        <w:autoSpaceDE/>
        <w:autoSpaceDN/>
        <w:bidi w:val="0"/>
        <w:adjustRightInd w:val="0"/>
        <w:snapToGrid w:val="0"/>
        <w:spacing w:line="560" w:lineRule="exact"/>
        <w:jc w:val="left"/>
        <w:textAlignment w:val="auto"/>
        <w:rPr>
          <w:rFonts w:hint="eastAsia" w:ascii="Times New Roman" w:hAnsi="Times New Roman" w:eastAsia="仿宋_GB2312" w:cs="仿宋_GB2312"/>
          <w:color w:val="auto"/>
          <w:sz w:val="32"/>
          <w:szCs w:val="32"/>
          <w:highlight w:val="none"/>
          <w:lang w:eastAsia="zh-CN"/>
        </w:rPr>
      </w:pPr>
      <w:bookmarkStart w:id="60" w:name="_Toc15396631"/>
      <w:r>
        <w:rPr>
          <w:rFonts w:hint="eastAsia" w:ascii="Times New Roman" w:hAnsi="Times New Roman" w:eastAsia="仿宋_GB2312" w:cs="仿宋_GB2312"/>
          <w:color w:val="auto"/>
          <w:sz w:val="32"/>
          <w:szCs w:val="32"/>
          <w:highlight w:val="none"/>
        </w:rPr>
        <w:t>十三、</w:t>
      </w:r>
      <w:bookmarkEnd w:id="60"/>
      <w:r>
        <w:rPr>
          <w:rFonts w:hint="eastAsia" w:ascii="Times New Roman" w:hAnsi="Times New Roman" w:eastAsia="仿宋_GB2312" w:cs="仿宋_GB2312"/>
          <w:color w:val="auto"/>
          <w:sz w:val="32"/>
          <w:szCs w:val="32"/>
          <w:highlight w:val="none"/>
          <w:lang w:eastAsia="zh-CN"/>
        </w:rPr>
        <w:t>财政拨款“三公”经费支出决算表</w:t>
      </w:r>
    </w:p>
    <w:p>
      <w:pPr>
        <w:rPr>
          <w:rFonts w:hint="eastAsia" w:ascii="Times New Roman" w:hAnsi="Times New Roman"/>
          <w:highlight w:val="none"/>
          <w:lang w:eastAsia="zh-CN"/>
        </w:rPr>
      </w:pPr>
    </w:p>
    <w:sectPr>
      <w:footerReference r:id="rId9" w:type="default"/>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0AFF" w:usb1="00007843" w:usb2="00000001" w:usb3="00000000" w:csb0="400001BF" w:csb1="DFF7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
    <w:altName w:val="Segoe Print"/>
    <w:panose1 w:val="00000000000000000000"/>
    <w:charset w:val="00"/>
    <w:family w:val="roman"/>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小标宋简体">
    <w:panose1 w:val="03000509000000000000"/>
    <w:charset w:val="86"/>
    <w:family w:val="script"/>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p>
  <w:p>
    <w:pPr>
      <w:pStyle w:val="10"/>
      <w:rPr>
        <w:rFonts w:hint="eastAsia" w:eastAsia="宋体"/>
        <w:lang w:val="en-US" w:eastAsia="zh-CN"/>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10"/>
      <w:rPr>
        <w:rFonts w:hint="eastAsia" w:eastAsia="宋体"/>
        <w:lang w:val="en-US" w:eastAsia="zh-CN"/>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pPvadjICAABjBAAADgAAAAAAAAABACAAAAAfAQAAZHJzL2Uyb0RvYy54bWxQSwUG&#10;AAAAAAYABgBZAQAAwwU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1</w:t>
                    </w:r>
                    <w:r>
                      <w:fldChar w:fldCharType="end"/>
                    </w:r>
                    <w:r>
                      <w:t xml:space="preserve"> —</w:t>
                    </w:r>
                  </w:p>
                </w:txbxContent>
              </v:textbox>
            </v:shape>
          </w:pict>
        </mc:Fallback>
      </mc:AlternateContent>
    </w:r>
  </w:p>
  <w:p>
    <w:pPr>
      <w:pStyle w:val="10"/>
      <w:rPr>
        <w:rFonts w:hint="eastAsia" w:eastAsia="宋体"/>
        <w:lang w:val="en-US" w:eastAsia="zh-CN"/>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jc w:val="center"/>
    </w:pPr>
    <w:r>
      <w:rPr>
        <w:sz w:val="18"/>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 </w:t>
                          </w:r>
                          <w:r>
                            <w:fldChar w:fldCharType="begin"/>
                          </w:r>
                          <w:r>
                            <w:instrText xml:space="preserve"> PAGE  \* MERGEFORMAT </w:instrText>
                          </w:r>
                          <w:r>
                            <w:fldChar w:fldCharType="separate"/>
                          </w:r>
                          <w:r>
                            <w:t>6</w:t>
                          </w:r>
                          <w:r>
                            <w:fldChar w:fldCharType="end"/>
                          </w:r>
                          <w: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ZTTZkyAgAAYw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5lNNmTICAABjBAAADgAAAAAAAAABACAAAAAfAQAAZHJzL2Uyb0RvYy54bWxQSwUG&#10;AAAAAAYABgBZAQAAwwUAAAAA&#10;">
              <v:fill on="f" focussize="0,0"/>
              <v:stroke on="f" weight="0.5pt"/>
              <v:imagedata o:title=""/>
              <o:lock v:ext="edit" aspectratio="f"/>
              <v:textbox inset="0mm,0mm,0mm,0mm" style="mso-fit-shape-to-text:t;">
                <w:txbxContent>
                  <w:p>
                    <w:pPr>
                      <w:pStyle w:val="10"/>
                    </w:pPr>
                    <w:r>
                      <w:t xml:space="preserve">— </w:t>
                    </w:r>
                    <w:r>
                      <w:fldChar w:fldCharType="begin"/>
                    </w:r>
                    <w:r>
                      <w:instrText xml:space="preserve"> PAGE  \* MERGEFORMAT </w:instrText>
                    </w:r>
                    <w:r>
                      <w:fldChar w:fldCharType="separate"/>
                    </w:r>
                    <w:r>
                      <w:t>6</w:t>
                    </w:r>
                    <w:r>
                      <w:fldChar w:fldCharType="end"/>
                    </w:r>
                    <w:r>
                      <w:t xml:space="preserve"> —</w:t>
                    </w:r>
                  </w:p>
                </w:txbxContent>
              </v:textbox>
            </v:shape>
          </w:pict>
        </mc:Fallback>
      </mc:AlternateContent>
    </w:r>
  </w:p>
  <w:p>
    <w:pPr>
      <w:pStyle w:val="10"/>
      <w:rPr>
        <w:rFonts w:hint="eastAsia" w:eastAsia="宋体"/>
        <w:lang w:val="en-US" w:eastAsia="zh-CN"/>
      </w:rP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F3A1FD5"/>
    <w:multiLevelType w:val="singleLevel"/>
    <w:tmpl w:val="2F3A1FD5"/>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UxZjhmZGMxODJmMjQ1OTVlN2YwMTRlNjA0MzVjYjUifQ=="/>
  </w:docVars>
  <w:rsids>
    <w:rsidRoot w:val="00F1361C"/>
    <w:rsid w:val="000222C6"/>
    <w:rsid w:val="0002549F"/>
    <w:rsid w:val="000468DB"/>
    <w:rsid w:val="0006487A"/>
    <w:rsid w:val="00065F8F"/>
    <w:rsid w:val="00070A43"/>
    <w:rsid w:val="000768F2"/>
    <w:rsid w:val="0009184B"/>
    <w:rsid w:val="00094236"/>
    <w:rsid w:val="0009593C"/>
    <w:rsid w:val="00097322"/>
    <w:rsid w:val="000A6A92"/>
    <w:rsid w:val="000B047F"/>
    <w:rsid w:val="000B5923"/>
    <w:rsid w:val="000B5A48"/>
    <w:rsid w:val="000B6FF3"/>
    <w:rsid w:val="000C3467"/>
    <w:rsid w:val="000C3CA6"/>
    <w:rsid w:val="000D1267"/>
    <w:rsid w:val="000D1D50"/>
    <w:rsid w:val="000D5782"/>
    <w:rsid w:val="000E6613"/>
    <w:rsid w:val="000E7119"/>
    <w:rsid w:val="00114E9B"/>
    <w:rsid w:val="00142216"/>
    <w:rsid w:val="00144D6A"/>
    <w:rsid w:val="0014729F"/>
    <w:rsid w:val="00157BAB"/>
    <w:rsid w:val="001654D1"/>
    <w:rsid w:val="00174518"/>
    <w:rsid w:val="0018106D"/>
    <w:rsid w:val="001877A7"/>
    <w:rsid w:val="00191536"/>
    <w:rsid w:val="00196687"/>
    <w:rsid w:val="001C0962"/>
    <w:rsid w:val="001D7531"/>
    <w:rsid w:val="001E737D"/>
    <w:rsid w:val="001F0592"/>
    <w:rsid w:val="001F7506"/>
    <w:rsid w:val="002006CD"/>
    <w:rsid w:val="00202B36"/>
    <w:rsid w:val="00204B7A"/>
    <w:rsid w:val="00204CDE"/>
    <w:rsid w:val="0021101A"/>
    <w:rsid w:val="00220536"/>
    <w:rsid w:val="00235629"/>
    <w:rsid w:val="00260C38"/>
    <w:rsid w:val="002616C0"/>
    <w:rsid w:val="00265372"/>
    <w:rsid w:val="002662AA"/>
    <w:rsid w:val="00280496"/>
    <w:rsid w:val="00294DC9"/>
    <w:rsid w:val="00295495"/>
    <w:rsid w:val="002A31DE"/>
    <w:rsid w:val="002B2613"/>
    <w:rsid w:val="002D6D05"/>
    <w:rsid w:val="002F1818"/>
    <w:rsid w:val="002F567B"/>
    <w:rsid w:val="003216A9"/>
    <w:rsid w:val="00335A74"/>
    <w:rsid w:val="0036561B"/>
    <w:rsid w:val="0037013F"/>
    <w:rsid w:val="00380C92"/>
    <w:rsid w:val="003A484F"/>
    <w:rsid w:val="003A4883"/>
    <w:rsid w:val="003B0BE0"/>
    <w:rsid w:val="003B0C1B"/>
    <w:rsid w:val="003B688C"/>
    <w:rsid w:val="003C0291"/>
    <w:rsid w:val="003C39AE"/>
    <w:rsid w:val="003C7B60"/>
    <w:rsid w:val="003D0C0F"/>
    <w:rsid w:val="003D1FB2"/>
    <w:rsid w:val="003D66DA"/>
    <w:rsid w:val="003E1310"/>
    <w:rsid w:val="003E6F55"/>
    <w:rsid w:val="00406254"/>
    <w:rsid w:val="004223DE"/>
    <w:rsid w:val="00434489"/>
    <w:rsid w:val="00437085"/>
    <w:rsid w:val="00443880"/>
    <w:rsid w:val="004464F4"/>
    <w:rsid w:val="00471401"/>
    <w:rsid w:val="00473F31"/>
    <w:rsid w:val="0048263A"/>
    <w:rsid w:val="00487E5D"/>
    <w:rsid w:val="004A711F"/>
    <w:rsid w:val="004B199D"/>
    <w:rsid w:val="004B4690"/>
    <w:rsid w:val="004E0A2D"/>
    <w:rsid w:val="004E206B"/>
    <w:rsid w:val="004E6DF7"/>
    <w:rsid w:val="004F0FBD"/>
    <w:rsid w:val="00505A47"/>
    <w:rsid w:val="00512FDA"/>
    <w:rsid w:val="00520DA0"/>
    <w:rsid w:val="005664BB"/>
    <w:rsid w:val="00566FFA"/>
    <w:rsid w:val="0057481D"/>
    <w:rsid w:val="0058486E"/>
    <w:rsid w:val="00585B33"/>
    <w:rsid w:val="0059014D"/>
    <w:rsid w:val="005B5C64"/>
    <w:rsid w:val="005C5337"/>
    <w:rsid w:val="005C6BD0"/>
    <w:rsid w:val="005D1C8B"/>
    <w:rsid w:val="005D468D"/>
    <w:rsid w:val="005D5CED"/>
    <w:rsid w:val="005F1A4C"/>
    <w:rsid w:val="00605688"/>
    <w:rsid w:val="006070AF"/>
    <w:rsid w:val="00607E6C"/>
    <w:rsid w:val="006101B1"/>
    <w:rsid w:val="00614E44"/>
    <w:rsid w:val="0062270A"/>
    <w:rsid w:val="00622830"/>
    <w:rsid w:val="00623DA0"/>
    <w:rsid w:val="00630AEF"/>
    <w:rsid w:val="006325F8"/>
    <w:rsid w:val="00633463"/>
    <w:rsid w:val="00634C9A"/>
    <w:rsid w:val="006440E4"/>
    <w:rsid w:val="0066343B"/>
    <w:rsid w:val="00664777"/>
    <w:rsid w:val="006748A4"/>
    <w:rsid w:val="00681A31"/>
    <w:rsid w:val="00683E73"/>
    <w:rsid w:val="006A3141"/>
    <w:rsid w:val="006A5E34"/>
    <w:rsid w:val="006B2422"/>
    <w:rsid w:val="006B2B9A"/>
    <w:rsid w:val="006C1937"/>
    <w:rsid w:val="006F020C"/>
    <w:rsid w:val="007127B7"/>
    <w:rsid w:val="0071798E"/>
    <w:rsid w:val="007416B6"/>
    <w:rsid w:val="00746F48"/>
    <w:rsid w:val="0075404D"/>
    <w:rsid w:val="0076182A"/>
    <w:rsid w:val="00767B7E"/>
    <w:rsid w:val="007770C3"/>
    <w:rsid w:val="00784D24"/>
    <w:rsid w:val="00785FBA"/>
    <w:rsid w:val="00786E4A"/>
    <w:rsid w:val="007875EB"/>
    <w:rsid w:val="0079426B"/>
    <w:rsid w:val="007D1682"/>
    <w:rsid w:val="007D312A"/>
    <w:rsid w:val="007D3F19"/>
    <w:rsid w:val="007E23B0"/>
    <w:rsid w:val="007E23E5"/>
    <w:rsid w:val="007F1991"/>
    <w:rsid w:val="007F2C2F"/>
    <w:rsid w:val="007F55FC"/>
    <w:rsid w:val="007F5665"/>
    <w:rsid w:val="00800112"/>
    <w:rsid w:val="00813348"/>
    <w:rsid w:val="008253BB"/>
    <w:rsid w:val="0083706E"/>
    <w:rsid w:val="008408F6"/>
    <w:rsid w:val="008423A5"/>
    <w:rsid w:val="00850625"/>
    <w:rsid w:val="00853718"/>
    <w:rsid w:val="00855221"/>
    <w:rsid w:val="00860645"/>
    <w:rsid w:val="00871F71"/>
    <w:rsid w:val="00872FD8"/>
    <w:rsid w:val="00885AF4"/>
    <w:rsid w:val="008939CD"/>
    <w:rsid w:val="008B768C"/>
    <w:rsid w:val="008C4DB1"/>
    <w:rsid w:val="008C4EAF"/>
    <w:rsid w:val="008C5176"/>
    <w:rsid w:val="008C7FD0"/>
    <w:rsid w:val="008E1DE7"/>
    <w:rsid w:val="008E707C"/>
    <w:rsid w:val="00900B08"/>
    <w:rsid w:val="00902155"/>
    <w:rsid w:val="00902FA3"/>
    <w:rsid w:val="00923564"/>
    <w:rsid w:val="0092392E"/>
    <w:rsid w:val="009315F9"/>
    <w:rsid w:val="00933499"/>
    <w:rsid w:val="00935C98"/>
    <w:rsid w:val="00946945"/>
    <w:rsid w:val="00951248"/>
    <w:rsid w:val="0095152F"/>
    <w:rsid w:val="00954C49"/>
    <w:rsid w:val="00955E37"/>
    <w:rsid w:val="0097099F"/>
    <w:rsid w:val="00971997"/>
    <w:rsid w:val="00971FFC"/>
    <w:rsid w:val="0098660A"/>
    <w:rsid w:val="009931C3"/>
    <w:rsid w:val="009B2C43"/>
    <w:rsid w:val="009B4EAE"/>
    <w:rsid w:val="009B7573"/>
    <w:rsid w:val="009C22F4"/>
    <w:rsid w:val="009C2A4B"/>
    <w:rsid w:val="009C2E98"/>
    <w:rsid w:val="009D3447"/>
    <w:rsid w:val="009D4711"/>
    <w:rsid w:val="009F1185"/>
    <w:rsid w:val="009F18CD"/>
    <w:rsid w:val="009F2A13"/>
    <w:rsid w:val="009F7527"/>
    <w:rsid w:val="00A04EB0"/>
    <w:rsid w:val="00A13CC1"/>
    <w:rsid w:val="00A16847"/>
    <w:rsid w:val="00A237D8"/>
    <w:rsid w:val="00A268C4"/>
    <w:rsid w:val="00A307CD"/>
    <w:rsid w:val="00A331C8"/>
    <w:rsid w:val="00A40A00"/>
    <w:rsid w:val="00A4142F"/>
    <w:rsid w:val="00A422EB"/>
    <w:rsid w:val="00A45BB7"/>
    <w:rsid w:val="00A56DF2"/>
    <w:rsid w:val="00A56E6E"/>
    <w:rsid w:val="00A67AB5"/>
    <w:rsid w:val="00A733B2"/>
    <w:rsid w:val="00A741C2"/>
    <w:rsid w:val="00A91760"/>
    <w:rsid w:val="00A93B00"/>
    <w:rsid w:val="00A93C21"/>
    <w:rsid w:val="00AB64C9"/>
    <w:rsid w:val="00AC3C6A"/>
    <w:rsid w:val="00AD5620"/>
    <w:rsid w:val="00AD656B"/>
    <w:rsid w:val="00AD7C1B"/>
    <w:rsid w:val="00AE16BA"/>
    <w:rsid w:val="00AE1EBE"/>
    <w:rsid w:val="00B03C9D"/>
    <w:rsid w:val="00B060AE"/>
    <w:rsid w:val="00B10517"/>
    <w:rsid w:val="00B14E76"/>
    <w:rsid w:val="00B161B8"/>
    <w:rsid w:val="00B2048C"/>
    <w:rsid w:val="00B310B9"/>
    <w:rsid w:val="00B35F3F"/>
    <w:rsid w:val="00B36CBB"/>
    <w:rsid w:val="00B425E0"/>
    <w:rsid w:val="00B440AA"/>
    <w:rsid w:val="00B44B70"/>
    <w:rsid w:val="00B53C56"/>
    <w:rsid w:val="00B57DAF"/>
    <w:rsid w:val="00B77EA6"/>
    <w:rsid w:val="00B81598"/>
    <w:rsid w:val="00B841F1"/>
    <w:rsid w:val="00B944D6"/>
    <w:rsid w:val="00BB4DF0"/>
    <w:rsid w:val="00BC289F"/>
    <w:rsid w:val="00BC2D50"/>
    <w:rsid w:val="00BC5361"/>
    <w:rsid w:val="00BC5460"/>
    <w:rsid w:val="00BC6B50"/>
    <w:rsid w:val="00BD0E25"/>
    <w:rsid w:val="00BF5BD6"/>
    <w:rsid w:val="00C03E31"/>
    <w:rsid w:val="00C33E72"/>
    <w:rsid w:val="00C354B2"/>
    <w:rsid w:val="00C35554"/>
    <w:rsid w:val="00C42709"/>
    <w:rsid w:val="00C533CC"/>
    <w:rsid w:val="00C5751C"/>
    <w:rsid w:val="00C61BFC"/>
    <w:rsid w:val="00C62B85"/>
    <w:rsid w:val="00C65438"/>
    <w:rsid w:val="00C87FD8"/>
    <w:rsid w:val="00C91381"/>
    <w:rsid w:val="00C91CBB"/>
    <w:rsid w:val="00CB4E70"/>
    <w:rsid w:val="00CC09B6"/>
    <w:rsid w:val="00CC666F"/>
    <w:rsid w:val="00CD1E3F"/>
    <w:rsid w:val="00CE44F6"/>
    <w:rsid w:val="00CE49DA"/>
    <w:rsid w:val="00CE7B61"/>
    <w:rsid w:val="00D00095"/>
    <w:rsid w:val="00D114F0"/>
    <w:rsid w:val="00D20620"/>
    <w:rsid w:val="00D254F7"/>
    <w:rsid w:val="00D26091"/>
    <w:rsid w:val="00D2685C"/>
    <w:rsid w:val="00D34E7C"/>
    <w:rsid w:val="00D35489"/>
    <w:rsid w:val="00D36AFE"/>
    <w:rsid w:val="00D51276"/>
    <w:rsid w:val="00D7035F"/>
    <w:rsid w:val="00DA634F"/>
    <w:rsid w:val="00DA65AC"/>
    <w:rsid w:val="00DB1913"/>
    <w:rsid w:val="00DC410D"/>
    <w:rsid w:val="00DC5A81"/>
    <w:rsid w:val="00DC68CA"/>
    <w:rsid w:val="00DC7CBA"/>
    <w:rsid w:val="00DD73B7"/>
    <w:rsid w:val="00DF28BC"/>
    <w:rsid w:val="00DF34B9"/>
    <w:rsid w:val="00E01053"/>
    <w:rsid w:val="00E07ACF"/>
    <w:rsid w:val="00E331A1"/>
    <w:rsid w:val="00E33202"/>
    <w:rsid w:val="00E336A9"/>
    <w:rsid w:val="00E472B1"/>
    <w:rsid w:val="00E50624"/>
    <w:rsid w:val="00E54633"/>
    <w:rsid w:val="00E568DF"/>
    <w:rsid w:val="00E64269"/>
    <w:rsid w:val="00E82267"/>
    <w:rsid w:val="00E853CE"/>
    <w:rsid w:val="00E867B6"/>
    <w:rsid w:val="00EA010F"/>
    <w:rsid w:val="00ED1B63"/>
    <w:rsid w:val="00ED3C1F"/>
    <w:rsid w:val="00ED4085"/>
    <w:rsid w:val="00ED420E"/>
    <w:rsid w:val="00ED6FBE"/>
    <w:rsid w:val="00EE2F57"/>
    <w:rsid w:val="00EF4C34"/>
    <w:rsid w:val="00EF77C6"/>
    <w:rsid w:val="00F05438"/>
    <w:rsid w:val="00F1361C"/>
    <w:rsid w:val="00F156F0"/>
    <w:rsid w:val="00F160C7"/>
    <w:rsid w:val="00F2408F"/>
    <w:rsid w:val="00F240E9"/>
    <w:rsid w:val="00F36D8F"/>
    <w:rsid w:val="00F417B1"/>
    <w:rsid w:val="00F45853"/>
    <w:rsid w:val="00F602DF"/>
    <w:rsid w:val="00F754A1"/>
    <w:rsid w:val="00F81FD9"/>
    <w:rsid w:val="00F841AA"/>
    <w:rsid w:val="00F84A94"/>
    <w:rsid w:val="00F87E96"/>
    <w:rsid w:val="00FA23E8"/>
    <w:rsid w:val="00FD3CC1"/>
    <w:rsid w:val="00FF1E02"/>
    <w:rsid w:val="00FF30B4"/>
    <w:rsid w:val="01422176"/>
    <w:rsid w:val="015679D0"/>
    <w:rsid w:val="015975B8"/>
    <w:rsid w:val="01A23516"/>
    <w:rsid w:val="02247ACE"/>
    <w:rsid w:val="02317B1B"/>
    <w:rsid w:val="02441F1E"/>
    <w:rsid w:val="02FEBE30"/>
    <w:rsid w:val="04207E21"/>
    <w:rsid w:val="061E35DE"/>
    <w:rsid w:val="064E336B"/>
    <w:rsid w:val="066E0107"/>
    <w:rsid w:val="07996F6E"/>
    <w:rsid w:val="07DFD8BA"/>
    <w:rsid w:val="08DB07E4"/>
    <w:rsid w:val="09867E8F"/>
    <w:rsid w:val="0A2032A3"/>
    <w:rsid w:val="0C6C4794"/>
    <w:rsid w:val="0CA8290A"/>
    <w:rsid w:val="0D35B1ED"/>
    <w:rsid w:val="0DE07E2B"/>
    <w:rsid w:val="0EFF16A6"/>
    <w:rsid w:val="0F98263C"/>
    <w:rsid w:val="101860EC"/>
    <w:rsid w:val="10C055FF"/>
    <w:rsid w:val="10DF5E1B"/>
    <w:rsid w:val="11772AA4"/>
    <w:rsid w:val="118107EC"/>
    <w:rsid w:val="13957196"/>
    <w:rsid w:val="13D50BC4"/>
    <w:rsid w:val="14022904"/>
    <w:rsid w:val="152F2A07"/>
    <w:rsid w:val="15BF56EC"/>
    <w:rsid w:val="165E0673"/>
    <w:rsid w:val="16BB723D"/>
    <w:rsid w:val="16F13FCB"/>
    <w:rsid w:val="172D2B29"/>
    <w:rsid w:val="186504BB"/>
    <w:rsid w:val="1938089F"/>
    <w:rsid w:val="19A445FC"/>
    <w:rsid w:val="1B487F31"/>
    <w:rsid w:val="1B7D550C"/>
    <w:rsid w:val="1BE8440E"/>
    <w:rsid w:val="1D155CEE"/>
    <w:rsid w:val="1DE178F3"/>
    <w:rsid w:val="1E740ACF"/>
    <w:rsid w:val="1FF35744"/>
    <w:rsid w:val="1FF6BC77"/>
    <w:rsid w:val="21962A9E"/>
    <w:rsid w:val="21AE7C77"/>
    <w:rsid w:val="21F726B1"/>
    <w:rsid w:val="22205764"/>
    <w:rsid w:val="22486A69"/>
    <w:rsid w:val="22BC3C41"/>
    <w:rsid w:val="22D71329"/>
    <w:rsid w:val="2369138D"/>
    <w:rsid w:val="23860B96"/>
    <w:rsid w:val="23CB5BA3"/>
    <w:rsid w:val="240371BF"/>
    <w:rsid w:val="25950217"/>
    <w:rsid w:val="260F557C"/>
    <w:rsid w:val="281408E2"/>
    <w:rsid w:val="28923D5A"/>
    <w:rsid w:val="29FD04D3"/>
    <w:rsid w:val="2BFF7BC6"/>
    <w:rsid w:val="2C8A61B5"/>
    <w:rsid w:val="2D2E01CF"/>
    <w:rsid w:val="2DF04E50"/>
    <w:rsid w:val="2E9545B0"/>
    <w:rsid w:val="2EE4449A"/>
    <w:rsid w:val="2F040D46"/>
    <w:rsid w:val="2FAE5751"/>
    <w:rsid w:val="2FB1A395"/>
    <w:rsid w:val="2FD9A7D8"/>
    <w:rsid w:val="319F7F4E"/>
    <w:rsid w:val="321B2544"/>
    <w:rsid w:val="3304709D"/>
    <w:rsid w:val="34281836"/>
    <w:rsid w:val="349D6851"/>
    <w:rsid w:val="35BA6CAF"/>
    <w:rsid w:val="35D37231"/>
    <w:rsid w:val="364D14C1"/>
    <w:rsid w:val="36AA5135"/>
    <w:rsid w:val="36BE0DA7"/>
    <w:rsid w:val="376B6AA6"/>
    <w:rsid w:val="376D39B2"/>
    <w:rsid w:val="37704640"/>
    <w:rsid w:val="37E16F03"/>
    <w:rsid w:val="37F53A3B"/>
    <w:rsid w:val="389B6C89"/>
    <w:rsid w:val="38D469F0"/>
    <w:rsid w:val="39627CCD"/>
    <w:rsid w:val="397BAF1F"/>
    <w:rsid w:val="399C796E"/>
    <w:rsid w:val="3AB79AF3"/>
    <w:rsid w:val="3B7EF35A"/>
    <w:rsid w:val="3B9FDB6C"/>
    <w:rsid w:val="3BF5BC2F"/>
    <w:rsid w:val="3CEBA265"/>
    <w:rsid w:val="3D98207C"/>
    <w:rsid w:val="3D9B0D99"/>
    <w:rsid w:val="3DEE7CF3"/>
    <w:rsid w:val="3DF02244"/>
    <w:rsid w:val="3E375EB7"/>
    <w:rsid w:val="3E78745D"/>
    <w:rsid w:val="3F9D61EE"/>
    <w:rsid w:val="3FF4CAE0"/>
    <w:rsid w:val="3FF7B227"/>
    <w:rsid w:val="40E54C45"/>
    <w:rsid w:val="41313393"/>
    <w:rsid w:val="438576C5"/>
    <w:rsid w:val="43A407DF"/>
    <w:rsid w:val="43C7383A"/>
    <w:rsid w:val="44515BEA"/>
    <w:rsid w:val="44E268DA"/>
    <w:rsid w:val="453F7E5B"/>
    <w:rsid w:val="47DE73A4"/>
    <w:rsid w:val="47E0311C"/>
    <w:rsid w:val="48577D72"/>
    <w:rsid w:val="486A6C7A"/>
    <w:rsid w:val="48EC789E"/>
    <w:rsid w:val="49176D9B"/>
    <w:rsid w:val="494006BD"/>
    <w:rsid w:val="49415E3C"/>
    <w:rsid w:val="4A627F82"/>
    <w:rsid w:val="4B0E749A"/>
    <w:rsid w:val="4B4F25DA"/>
    <w:rsid w:val="4BDA0CFB"/>
    <w:rsid w:val="4BE068DB"/>
    <w:rsid w:val="4D3C0CCC"/>
    <w:rsid w:val="4D577224"/>
    <w:rsid w:val="4DBF1CEB"/>
    <w:rsid w:val="4E04568A"/>
    <w:rsid w:val="4EAB630A"/>
    <w:rsid w:val="4ECE2238"/>
    <w:rsid w:val="4EE554BC"/>
    <w:rsid w:val="4F833267"/>
    <w:rsid w:val="4FE9BD67"/>
    <w:rsid w:val="4FFB052F"/>
    <w:rsid w:val="525E5842"/>
    <w:rsid w:val="53083A92"/>
    <w:rsid w:val="537E6D0A"/>
    <w:rsid w:val="53AF27A2"/>
    <w:rsid w:val="53F74C96"/>
    <w:rsid w:val="5543118E"/>
    <w:rsid w:val="56E47B74"/>
    <w:rsid w:val="57BD3DD4"/>
    <w:rsid w:val="5AF92295"/>
    <w:rsid w:val="5BDD79E6"/>
    <w:rsid w:val="5BF561CA"/>
    <w:rsid w:val="5BFF5DFC"/>
    <w:rsid w:val="5CD71FC4"/>
    <w:rsid w:val="5D1F11B5"/>
    <w:rsid w:val="5DA02BF9"/>
    <w:rsid w:val="5DAE1B18"/>
    <w:rsid w:val="5DE7D9E5"/>
    <w:rsid w:val="5EAE7678"/>
    <w:rsid w:val="5ECEC941"/>
    <w:rsid w:val="5F493CB7"/>
    <w:rsid w:val="5FBF9FF3"/>
    <w:rsid w:val="5FCD4E2C"/>
    <w:rsid w:val="5FD15F49"/>
    <w:rsid w:val="5FD21144"/>
    <w:rsid w:val="5FEF394A"/>
    <w:rsid w:val="5FF67715"/>
    <w:rsid w:val="602816AC"/>
    <w:rsid w:val="62BF3928"/>
    <w:rsid w:val="647F5392"/>
    <w:rsid w:val="64D70FAB"/>
    <w:rsid w:val="657F17B6"/>
    <w:rsid w:val="65FF6A0B"/>
    <w:rsid w:val="664B1D71"/>
    <w:rsid w:val="67AA3209"/>
    <w:rsid w:val="67EF6556"/>
    <w:rsid w:val="68030A35"/>
    <w:rsid w:val="681C4F0D"/>
    <w:rsid w:val="69046D0F"/>
    <w:rsid w:val="698D0931"/>
    <w:rsid w:val="6A993CED"/>
    <w:rsid w:val="6B053271"/>
    <w:rsid w:val="6BCE6674"/>
    <w:rsid w:val="6C4A05C8"/>
    <w:rsid w:val="6C8742B8"/>
    <w:rsid w:val="6C8A170F"/>
    <w:rsid w:val="6CB54609"/>
    <w:rsid w:val="6DBF5E93"/>
    <w:rsid w:val="6DFF077E"/>
    <w:rsid w:val="6E7E3605"/>
    <w:rsid w:val="6E7FDCC7"/>
    <w:rsid w:val="6ED6A62E"/>
    <w:rsid w:val="6EE00B15"/>
    <w:rsid w:val="6F1352D6"/>
    <w:rsid w:val="6F544B20"/>
    <w:rsid w:val="6F6FB3EB"/>
    <w:rsid w:val="6F784160"/>
    <w:rsid w:val="6F8731EA"/>
    <w:rsid w:val="6FCE6052"/>
    <w:rsid w:val="6FD57C00"/>
    <w:rsid w:val="6FEFFFD8"/>
    <w:rsid w:val="6FF5CC65"/>
    <w:rsid w:val="6FFB47EC"/>
    <w:rsid w:val="6FFF034A"/>
    <w:rsid w:val="70496804"/>
    <w:rsid w:val="712A28F1"/>
    <w:rsid w:val="715C0E4B"/>
    <w:rsid w:val="72233669"/>
    <w:rsid w:val="72734D90"/>
    <w:rsid w:val="72C74ACB"/>
    <w:rsid w:val="73124222"/>
    <w:rsid w:val="7332FE48"/>
    <w:rsid w:val="73AB61DA"/>
    <w:rsid w:val="73AD73D5"/>
    <w:rsid w:val="73B6EB34"/>
    <w:rsid w:val="73FA497D"/>
    <w:rsid w:val="744731E5"/>
    <w:rsid w:val="74527205"/>
    <w:rsid w:val="749D7CDB"/>
    <w:rsid w:val="74BBD01D"/>
    <w:rsid w:val="74DB0643"/>
    <w:rsid w:val="74ED5379"/>
    <w:rsid w:val="74FC2395"/>
    <w:rsid w:val="75052521"/>
    <w:rsid w:val="759727BC"/>
    <w:rsid w:val="75DEEEC2"/>
    <w:rsid w:val="76E3355F"/>
    <w:rsid w:val="76FF5125"/>
    <w:rsid w:val="776F6FFA"/>
    <w:rsid w:val="778769C8"/>
    <w:rsid w:val="77DC22F5"/>
    <w:rsid w:val="79086DAD"/>
    <w:rsid w:val="79974F09"/>
    <w:rsid w:val="79A25BD4"/>
    <w:rsid w:val="79D7FD79"/>
    <w:rsid w:val="79EE5BA4"/>
    <w:rsid w:val="7A894339"/>
    <w:rsid w:val="7AFF7572"/>
    <w:rsid w:val="7B6C7DFB"/>
    <w:rsid w:val="7B9B712F"/>
    <w:rsid w:val="7BBFBED0"/>
    <w:rsid w:val="7BC3E394"/>
    <w:rsid w:val="7C1F3737"/>
    <w:rsid w:val="7CBFC87B"/>
    <w:rsid w:val="7CFE0F48"/>
    <w:rsid w:val="7D7EC23E"/>
    <w:rsid w:val="7D8C697F"/>
    <w:rsid w:val="7D916348"/>
    <w:rsid w:val="7E8ADEBF"/>
    <w:rsid w:val="7EEF11D3"/>
    <w:rsid w:val="7F0971A6"/>
    <w:rsid w:val="7F3F679B"/>
    <w:rsid w:val="7F4FC4EF"/>
    <w:rsid w:val="7F5E4D54"/>
    <w:rsid w:val="7F631961"/>
    <w:rsid w:val="7F6E0135"/>
    <w:rsid w:val="7FA30C79"/>
    <w:rsid w:val="7FAF8ABF"/>
    <w:rsid w:val="7FB7269E"/>
    <w:rsid w:val="7FC96657"/>
    <w:rsid w:val="7FDA9588"/>
    <w:rsid w:val="7FDF220F"/>
    <w:rsid w:val="7FEDC5F7"/>
    <w:rsid w:val="7FEDD9DE"/>
    <w:rsid w:val="7FF5890D"/>
    <w:rsid w:val="7FF93490"/>
    <w:rsid w:val="8FC61A80"/>
    <w:rsid w:val="99FF2014"/>
    <w:rsid w:val="9EEF85EA"/>
    <w:rsid w:val="A6DD0D7F"/>
    <w:rsid w:val="ADC6F725"/>
    <w:rsid w:val="B7CF06AB"/>
    <w:rsid w:val="B7CFA926"/>
    <w:rsid w:val="B7F8786B"/>
    <w:rsid w:val="BABB6AA1"/>
    <w:rsid w:val="BB2F4199"/>
    <w:rsid w:val="BD079C78"/>
    <w:rsid w:val="BD733540"/>
    <w:rsid w:val="BF3735D5"/>
    <w:rsid w:val="BF7F09AC"/>
    <w:rsid w:val="BFD475C3"/>
    <w:rsid w:val="BFDE5EA6"/>
    <w:rsid w:val="CF6FC6F3"/>
    <w:rsid w:val="CFD3D3D7"/>
    <w:rsid w:val="CFDF1009"/>
    <w:rsid w:val="D7D7B16A"/>
    <w:rsid w:val="D8D6DB89"/>
    <w:rsid w:val="DB6F4CAB"/>
    <w:rsid w:val="DB777682"/>
    <w:rsid w:val="DD1FB521"/>
    <w:rsid w:val="DEFBFEAE"/>
    <w:rsid w:val="DF1F3B80"/>
    <w:rsid w:val="DF6F9789"/>
    <w:rsid w:val="DFFFA9E8"/>
    <w:rsid w:val="E5F4E9DC"/>
    <w:rsid w:val="E70FE695"/>
    <w:rsid w:val="EB7FCEE2"/>
    <w:rsid w:val="ECFED1BC"/>
    <w:rsid w:val="ED1D69BB"/>
    <w:rsid w:val="ED7FD312"/>
    <w:rsid w:val="EF53993F"/>
    <w:rsid w:val="EF6FD633"/>
    <w:rsid w:val="EFBFB2F4"/>
    <w:rsid w:val="EFBFFA21"/>
    <w:rsid w:val="F2BEBCB8"/>
    <w:rsid w:val="F36FB518"/>
    <w:rsid w:val="F3DE1A04"/>
    <w:rsid w:val="F3F722E5"/>
    <w:rsid w:val="FA5F1E70"/>
    <w:rsid w:val="FA5FDB97"/>
    <w:rsid w:val="FB7F486A"/>
    <w:rsid w:val="FBFF5B2E"/>
    <w:rsid w:val="FD7FFE2B"/>
    <w:rsid w:val="FDEE196B"/>
    <w:rsid w:val="FDFE6575"/>
    <w:rsid w:val="FEDFDDC2"/>
    <w:rsid w:val="FEED32F6"/>
    <w:rsid w:val="FEF781DD"/>
    <w:rsid w:val="FF3F7E3F"/>
    <w:rsid w:val="FFBA12D7"/>
    <w:rsid w:val="FFDFFAEE"/>
    <w:rsid w:val="FFF9B57B"/>
    <w:rsid w:val="FFFD61D9"/>
    <w:rsid w:val="FFFD8F59"/>
    <w:rsid w:val="FFFF2BB1"/>
    <w:rsid w:val="FFFFB04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nhideWhenUsed="0" w:uiPriority="0" w:name="footnote text"/>
    <w:lsdException w:uiPriority="99" w:name="annotation text"/>
    <w:lsdException w:qFormat="1" w:unhideWhenUsed="0" w:uiPriority="99" w:name="header"/>
    <w:lsdException w:qFormat="1"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99"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28"/>
    <w:qFormat/>
    <w:uiPriority w:val="9"/>
    <w:pPr>
      <w:keepNext/>
      <w:keepLines/>
      <w:spacing w:before="340" w:after="330" w:line="578" w:lineRule="auto"/>
      <w:outlineLvl w:val="0"/>
    </w:pPr>
    <w:rPr>
      <w:b/>
      <w:bCs/>
      <w:kern w:val="44"/>
      <w:sz w:val="44"/>
      <w:szCs w:val="44"/>
    </w:rPr>
  </w:style>
  <w:style w:type="paragraph" w:styleId="4">
    <w:name w:val="heading 2"/>
    <w:basedOn w:val="1"/>
    <w:next w:val="1"/>
    <w:link w:val="29"/>
    <w:unhideWhenUsed/>
    <w:qFormat/>
    <w:uiPriority w:val="9"/>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5">
    <w:name w:val="heading 3"/>
    <w:basedOn w:val="1"/>
    <w:next w:val="1"/>
    <w:link w:val="32"/>
    <w:unhideWhenUsed/>
    <w:qFormat/>
    <w:uiPriority w:val="9"/>
    <w:pPr>
      <w:keepNext/>
      <w:keepLines/>
      <w:spacing w:before="260" w:after="260" w:line="416" w:lineRule="auto"/>
      <w:outlineLvl w:val="2"/>
    </w:pPr>
    <w:rPr>
      <w:b/>
      <w:bCs/>
      <w:sz w:val="32"/>
      <w:szCs w:val="32"/>
    </w:rPr>
  </w:style>
  <w:style w:type="character" w:default="1" w:styleId="16">
    <w:name w:val="Default Paragraph Font"/>
    <w:unhideWhenUsed/>
    <w:qFormat/>
    <w:uiPriority w:val="1"/>
  </w:style>
  <w:style w:type="table" w:default="1" w:styleId="15">
    <w:name w:val="Normal Table"/>
    <w:semiHidden/>
    <w:unhideWhenUsed/>
    <w:qFormat/>
    <w:uiPriority w:val="99"/>
    <w:tblPr>
      <w:tblCellMar>
        <w:top w:w="0" w:type="dxa"/>
        <w:left w:w="108" w:type="dxa"/>
        <w:bottom w:w="0" w:type="dxa"/>
        <w:right w:w="108" w:type="dxa"/>
      </w:tblCellMar>
    </w:tblPr>
  </w:style>
  <w:style w:type="paragraph" w:styleId="2">
    <w:name w:val="Body Text"/>
    <w:basedOn w:val="1"/>
    <w:link w:val="25"/>
    <w:qFormat/>
    <w:uiPriority w:val="99"/>
    <w:pPr>
      <w:spacing w:beforeLines="30"/>
    </w:pPr>
    <w:rPr>
      <w:rFonts w:ascii="仿宋_GB2312" w:eastAsia="仿宋_GB2312"/>
      <w:kern w:val="0"/>
      <w:sz w:val="30"/>
    </w:rPr>
  </w:style>
  <w:style w:type="paragraph" w:styleId="6">
    <w:name w:val="Body Text Indent"/>
    <w:basedOn w:val="1"/>
    <w:next w:val="7"/>
    <w:qFormat/>
    <w:uiPriority w:val="0"/>
    <w:pPr>
      <w:spacing w:after="120"/>
      <w:ind w:leftChars="200"/>
    </w:pPr>
    <w:rPr>
      <w:rFonts w:ascii="仿宋_GB2312"/>
      <w:szCs w:val="32"/>
    </w:rPr>
  </w:style>
  <w:style w:type="paragraph" w:styleId="7">
    <w:name w:val="Body Text First Indent 2"/>
    <w:basedOn w:val="6"/>
    <w:next w:val="1"/>
    <w:unhideWhenUsed/>
    <w:qFormat/>
    <w:uiPriority w:val="99"/>
    <w:pPr>
      <w:ind w:firstLine="420" w:firstLineChars="200"/>
    </w:pPr>
  </w:style>
  <w:style w:type="paragraph" w:styleId="8">
    <w:name w:val="toc 3"/>
    <w:basedOn w:val="1"/>
    <w:next w:val="1"/>
    <w:unhideWhenUsed/>
    <w:qFormat/>
    <w:uiPriority w:val="39"/>
    <w:pPr>
      <w:tabs>
        <w:tab w:val="right" w:leader="dot" w:pos="8296"/>
      </w:tabs>
      <w:ind w:left="840" w:leftChars="400"/>
    </w:pPr>
  </w:style>
  <w:style w:type="paragraph" w:styleId="9">
    <w:name w:val="Balloon Text"/>
    <w:basedOn w:val="1"/>
    <w:link w:val="31"/>
    <w:semiHidden/>
    <w:unhideWhenUsed/>
    <w:qFormat/>
    <w:uiPriority w:val="99"/>
    <w:rPr>
      <w:sz w:val="18"/>
      <w:szCs w:val="18"/>
    </w:rPr>
  </w:style>
  <w:style w:type="paragraph" w:styleId="10">
    <w:name w:val="footer"/>
    <w:basedOn w:val="1"/>
    <w:link w:val="23"/>
    <w:qFormat/>
    <w:uiPriority w:val="99"/>
    <w:pPr>
      <w:tabs>
        <w:tab w:val="center" w:pos="4153"/>
        <w:tab w:val="right" w:pos="8306"/>
      </w:tabs>
      <w:snapToGrid w:val="0"/>
      <w:jc w:val="left"/>
    </w:pPr>
    <w:rPr>
      <w:rFonts w:ascii="Calibri" w:hAnsi="Calibri"/>
      <w:kern w:val="0"/>
      <w:sz w:val="18"/>
      <w:szCs w:val="18"/>
    </w:rPr>
  </w:style>
  <w:style w:type="paragraph" w:styleId="11">
    <w:name w:val="header"/>
    <w:basedOn w:val="1"/>
    <w:link w:val="21"/>
    <w:semiHidden/>
    <w:qFormat/>
    <w:uiPriority w:val="99"/>
    <w:pPr>
      <w:pBdr>
        <w:bottom w:val="single" w:color="auto" w:sz="6" w:space="1"/>
      </w:pBdr>
      <w:tabs>
        <w:tab w:val="center" w:pos="4153"/>
        <w:tab w:val="right" w:pos="8306"/>
      </w:tabs>
      <w:snapToGrid w:val="0"/>
      <w:jc w:val="center"/>
    </w:pPr>
    <w:rPr>
      <w:rFonts w:ascii="Calibri" w:hAnsi="Calibri"/>
      <w:kern w:val="0"/>
      <w:sz w:val="18"/>
      <w:szCs w:val="18"/>
    </w:rPr>
  </w:style>
  <w:style w:type="paragraph" w:styleId="12">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3">
    <w:name w:val="footnote text"/>
    <w:basedOn w:val="1"/>
    <w:next w:val="7"/>
    <w:semiHidden/>
    <w:qFormat/>
    <w:uiPriority w:val="0"/>
    <w:pPr>
      <w:snapToGrid w:val="0"/>
      <w:jc w:val="left"/>
    </w:pPr>
    <w:rPr>
      <w:sz w:val="18"/>
      <w:szCs w:val="18"/>
    </w:rPr>
  </w:style>
  <w:style w:type="paragraph" w:styleId="14">
    <w:name w:val="toc 2"/>
    <w:basedOn w:val="1"/>
    <w:next w:val="1"/>
    <w:unhideWhenUsed/>
    <w:qFormat/>
    <w:uiPriority w:val="39"/>
    <w:pPr>
      <w:tabs>
        <w:tab w:val="right" w:leader="dot" w:pos="8296"/>
      </w:tabs>
      <w:ind w:left="420" w:leftChars="200"/>
    </w:pPr>
  </w:style>
  <w:style w:type="character" w:styleId="17">
    <w:name w:val="Strong"/>
    <w:basedOn w:val="16"/>
    <w:qFormat/>
    <w:uiPriority w:val="99"/>
    <w:rPr>
      <w:b/>
    </w:rPr>
  </w:style>
  <w:style w:type="character" w:styleId="18">
    <w:name w:val="Hyperlink"/>
    <w:basedOn w:val="16"/>
    <w:unhideWhenUsed/>
    <w:qFormat/>
    <w:uiPriority w:val="99"/>
    <w:rPr>
      <w:color w:val="0000FF" w:themeColor="hyperlink"/>
      <w:u w:val="single"/>
      <w14:textFill>
        <w14:solidFill>
          <w14:schemeClr w14:val="hlink"/>
        </w14:solidFill>
      </w14:textFill>
    </w:rPr>
  </w:style>
  <w:style w:type="paragraph" w:customStyle="1" w:styleId="19">
    <w:name w:val="标题 5（有编号）（绿盟科技）"/>
    <w:next w:val="1"/>
    <w:qFormat/>
    <w:uiPriority w:val="99"/>
    <w:pPr>
      <w:keepNext/>
      <w:keepLines/>
      <w:widowControl w:val="0"/>
      <w:spacing w:before="280" w:after="156" w:line="377" w:lineRule="auto"/>
      <w:jc w:val="left"/>
      <w:outlineLvl w:val="4"/>
    </w:pPr>
    <w:rPr>
      <w:rFonts w:ascii="Arial" w:hAnsi="Arial" w:eastAsia="黑体" w:cs="Times New Roman"/>
      <w:b/>
      <w:kern w:val="2"/>
      <w:sz w:val="24"/>
      <w:szCs w:val="28"/>
      <w:lang w:val="en-US" w:eastAsia="zh-CN" w:bidi="ar-SA"/>
    </w:rPr>
  </w:style>
  <w:style w:type="character" w:customStyle="1" w:styleId="20">
    <w:name w:val="Header Char"/>
    <w:basedOn w:val="16"/>
    <w:semiHidden/>
    <w:qFormat/>
    <w:uiPriority w:val="99"/>
    <w:rPr>
      <w:rFonts w:ascii="Times New Roman" w:hAnsi="Times New Roman"/>
      <w:sz w:val="18"/>
      <w:szCs w:val="18"/>
    </w:rPr>
  </w:style>
  <w:style w:type="character" w:customStyle="1" w:styleId="21">
    <w:name w:val="页眉 Char"/>
    <w:link w:val="11"/>
    <w:semiHidden/>
    <w:qFormat/>
    <w:locked/>
    <w:uiPriority w:val="99"/>
    <w:rPr>
      <w:sz w:val="18"/>
    </w:rPr>
  </w:style>
  <w:style w:type="character" w:customStyle="1" w:styleId="22">
    <w:name w:val="Footer Char"/>
    <w:basedOn w:val="16"/>
    <w:semiHidden/>
    <w:qFormat/>
    <w:uiPriority w:val="99"/>
    <w:rPr>
      <w:rFonts w:ascii="Times New Roman" w:hAnsi="Times New Roman"/>
      <w:sz w:val="18"/>
      <w:szCs w:val="18"/>
    </w:rPr>
  </w:style>
  <w:style w:type="character" w:customStyle="1" w:styleId="23">
    <w:name w:val="页脚 Char"/>
    <w:link w:val="10"/>
    <w:qFormat/>
    <w:locked/>
    <w:uiPriority w:val="99"/>
    <w:rPr>
      <w:sz w:val="18"/>
    </w:rPr>
  </w:style>
  <w:style w:type="character" w:customStyle="1" w:styleId="24">
    <w:name w:val="Body Text Char"/>
    <w:basedOn w:val="16"/>
    <w:semiHidden/>
    <w:qFormat/>
    <w:uiPriority w:val="99"/>
    <w:rPr>
      <w:rFonts w:ascii="Times New Roman" w:hAnsi="Times New Roman"/>
      <w:szCs w:val="24"/>
    </w:rPr>
  </w:style>
  <w:style w:type="character" w:customStyle="1" w:styleId="25">
    <w:name w:val="正文文本 Char"/>
    <w:link w:val="2"/>
    <w:qFormat/>
    <w:locked/>
    <w:uiPriority w:val="99"/>
    <w:rPr>
      <w:rFonts w:ascii="仿宋_GB2312" w:hAnsi="Times New Roman" w:eastAsia="仿宋_GB2312"/>
      <w:sz w:val="24"/>
    </w:rPr>
  </w:style>
  <w:style w:type="paragraph" w:customStyle="1" w:styleId="26">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styleId="27">
    <w:name w:val="List Paragraph"/>
    <w:basedOn w:val="1"/>
    <w:qFormat/>
    <w:uiPriority w:val="34"/>
    <w:pPr>
      <w:ind w:firstLine="420" w:firstLineChars="200"/>
    </w:pPr>
  </w:style>
  <w:style w:type="character" w:customStyle="1" w:styleId="28">
    <w:name w:val="标题 1 Char"/>
    <w:basedOn w:val="16"/>
    <w:link w:val="3"/>
    <w:qFormat/>
    <w:uiPriority w:val="9"/>
    <w:rPr>
      <w:rFonts w:ascii="Times New Roman" w:hAnsi="Times New Roman"/>
      <w:b/>
      <w:bCs/>
      <w:kern w:val="44"/>
      <w:sz w:val="44"/>
      <w:szCs w:val="44"/>
    </w:rPr>
  </w:style>
  <w:style w:type="character" w:customStyle="1" w:styleId="29">
    <w:name w:val="标题 2 Char"/>
    <w:basedOn w:val="16"/>
    <w:link w:val="4"/>
    <w:qFormat/>
    <w:uiPriority w:val="9"/>
    <w:rPr>
      <w:rFonts w:asciiTheme="majorHAnsi" w:hAnsiTheme="majorHAnsi" w:eastAsiaTheme="majorEastAsia" w:cstheme="majorBidi"/>
      <w:b/>
      <w:bCs/>
      <w:kern w:val="2"/>
      <w:sz w:val="32"/>
      <w:szCs w:val="32"/>
    </w:rPr>
  </w:style>
  <w:style w:type="paragraph" w:customStyle="1" w:styleId="30">
    <w:name w:val="TOC 标题1"/>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31">
    <w:name w:val="批注框文本 Char"/>
    <w:basedOn w:val="16"/>
    <w:link w:val="9"/>
    <w:semiHidden/>
    <w:qFormat/>
    <w:uiPriority w:val="99"/>
    <w:rPr>
      <w:rFonts w:ascii="Times New Roman" w:hAnsi="Times New Roman"/>
      <w:kern w:val="2"/>
      <w:sz w:val="18"/>
      <w:szCs w:val="18"/>
    </w:rPr>
  </w:style>
  <w:style w:type="character" w:customStyle="1" w:styleId="32">
    <w:name w:val="标题 3 Char"/>
    <w:basedOn w:val="16"/>
    <w:link w:val="5"/>
    <w:qFormat/>
    <w:uiPriority w:val="9"/>
    <w:rPr>
      <w:rFonts w:ascii="Times New Roman" w:hAnsi="Times New Roman"/>
      <w:b/>
      <w:bCs/>
      <w:kern w:val="2"/>
      <w:sz w:val="32"/>
      <w:szCs w:val="32"/>
    </w:rPr>
  </w:style>
  <w:style w:type="paragraph" w:customStyle="1" w:styleId="33">
    <w:name w:val="TOC Heading"/>
    <w:basedOn w:val="3"/>
    <w:next w:val="1"/>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paragraph" w:customStyle="1" w:styleId="34">
    <w:name w:val="四号正文"/>
    <w:basedOn w:val="1"/>
    <w:qFormat/>
    <w:uiPriority w:val="0"/>
    <w:pPr>
      <w:spacing w:line="360" w:lineRule="auto"/>
    </w:pPr>
    <w:rPr>
      <w:rFonts w:ascii="??" w:hAnsi="??" w:eastAsia="宋体"/>
      <w:color w:val="000000"/>
      <w:kern w:val="0"/>
      <w:sz w:val="28"/>
      <w:szCs w:val="21"/>
      <w:lang w:val="zh-CN" w:eastAsia="zh-CN"/>
    </w:rPr>
  </w:style>
</w:styles>
</file>

<file path=word/_rels/document.xml.rels><?xml version="1.0" encoding="UTF-8" standalone="yes"?>
<Relationships xmlns="http://schemas.openxmlformats.org/package/2006/relationships"><Relationship Id="rId9" Type="http://schemas.openxmlformats.org/officeDocument/2006/relationships/footer" Target="footer6.xml"/><Relationship Id="rId8" Type="http://schemas.openxmlformats.org/officeDocument/2006/relationships/footer" Target="footer5.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png"/><Relationship Id="rId13" Type="http://schemas.openxmlformats.org/officeDocument/2006/relationships/image" Target="media/image3.png"/><Relationship Id="rId12" Type="http://schemas.openxmlformats.org/officeDocument/2006/relationships/image" Target="media/image2.png"/><Relationship Id="rId11" Type="http://schemas.openxmlformats.org/officeDocument/2006/relationships/image" Target="media/image1.png"/><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四川省财政厅</Company>
  <Pages>17</Pages>
  <Words>634</Words>
  <Characters>664</Characters>
  <Lines>61</Lines>
  <Paragraphs>17</Paragraphs>
  <TotalTime>64</TotalTime>
  <ScaleCrop>false</ScaleCrop>
  <LinksUpToDate>false</LinksUpToDate>
  <CharactersWithSpaces>705</CharactersWithSpaces>
  <Application>WPS Office_11.8.2.11739_F1E327BC-269C-435d-A152-05C5408002CA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2020-08-09T01:49:00Z</dcterms:created>
  <dc:creator>曹颖</dc:creator>
  <cp:lastModifiedBy>Administrator</cp:lastModifiedBy>
  <cp:lastPrinted>2026-08-03T17:27:00Z</cp:lastPrinted>
  <dcterms:modified xsi:type="dcterms:W3CDTF">2026-09-14T01:17:31Z</dcterms:modified>
  <dc:title>四川省***</dc:title>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2052-11.8.2.11739</vt:lpwstr>
  </property>
  <property fmtid="{D5CDD505-2E9C-101B-9397-08002B2CF9AE}" pid="3" name="ICV">
    <vt:lpwstr>FC1BE4D40B894F1D8D9799859D819562_13</vt:lpwstr>
  </property>
  <property fmtid="{D5CDD505-2E9C-101B-9397-08002B2CF9AE}" pid="4" name="KSOTemplateDocerSaveRecord">
    <vt:lpwstr>eyJoZGlkIjoiM2YwZmY2YzE0ZDJhYTJmYTllNTUyOTY1MTZhMTQwMzciLCJ1c2VySWQiOiI1MDY1OTkwNTgifQ==</vt:lpwstr>
  </property>
</Properties>
</file>