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5" w:beforeAutospacing="0" w:after="375" w:afterAutospacing="0"/>
        <w:ind w:left="0" w:right="0" w:firstLine="0"/>
        <w:jc w:val="center"/>
        <w:outlineLvl w:val="9"/>
        <w:rPr>
          <w:rFonts w:hint="eastAsia" w:ascii="微软雅黑" w:hAnsi="微软雅黑" w:eastAsia="微软雅黑" w:cs="微软雅黑"/>
          <w:b w:val="0"/>
          <w:i w:val="0"/>
          <w:caps w:val="0"/>
          <w:color w:val="auto"/>
          <w:spacing w:val="0"/>
          <w:sz w:val="45"/>
          <w:szCs w:val="45"/>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5" w:beforeAutospacing="0" w:after="375" w:afterAutospacing="0"/>
        <w:ind w:left="0" w:right="0" w:firstLine="0"/>
        <w:jc w:val="center"/>
        <w:outlineLvl w:val="9"/>
        <w:rPr>
          <w:rFonts w:hint="default" w:ascii="Times New Roman" w:hAnsi="Times New Roman" w:eastAsia="微软雅黑" w:cs="Times New Roman"/>
          <w:b w:val="0"/>
          <w:i w:val="0"/>
          <w:caps w:val="0"/>
          <w:color w:val="auto"/>
          <w:spacing w:val="0"/>
          <w:sz w:val="45"/>
          <w:szCs w:val="45"/>
        </w:rPr>
      </w:pPr>
    </w:p>
    <w:p>
      <w:pPr>
        <w:rPr>
          <w:rFonts w:hint="default" w:ascii="Times New Roman" w:hAnsi="Times New Roman" w:eastAsia="微软雅黑" w:cs="Times New Roman"/>
          <w:b w:val="0"/>
          <w:i w:val="0"/>
          <w:caps w:val="0"/>
          <w:color w:val="auto"/>
          <w:spacing w:val="0"/>
          <w:sz w:val="45"/>
          <w:szCs w:val="45"/>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5" w:beforeAutospacing="0" w:after="375" w:afterAutospacing="0"/>
        <w:ind w:left="0" w:right="0" w:firstLine="0"/>
        <w:jc w:val="center"/>
        <w:rPr>
          <w:rFonts w:hint="default" w:ascii="Times New Roman" w:hAnsi="Times New Roman" w:eastAsia="微软雅黑" w:cs="Times New Roman"/>
          <w:b w:val="0"/>
          <w:i w:val="0"/>
          <w:caps w:val="0"/>
          <w:color w:val="auto"/>
          <w:spacing w:val="0"/>
          <w:sz w:val="48"/>
          <w:szCs w:val="48"/>
        </w:rPr>
      </w:pPr>
      <w:bookmarkStart w:id="0" w:name="_Toc25571"/>
      <w:r>
        <w:rPr>
          <w:rFonts w:hint="default" w:ascii="Times New Roman" w:hAnsi="Times New Roman" w:eastAsia="微软雅黑" w:cs="Times New Roman"/>
          <w:b w:val="0"/>
          <w:i w:val="0"/>
          <w:caps w:val="0"/>
          <w:color w:val="auto"/>
          <w:spacing w:val="0"/>
          <w:sz w:val="48"/>
          <w:szCs w:val="48"/>
        </w:rPr>
        <w:t>攀枝花市人力资源和社会保障局</w:t>
      </w:r>
      <w:bookmarkEnd w:id="0"/>
      <w:bookmarkStart w:id="1" w:name="_Toc19024"/>
      <w:r>
        <w:rPr>
          <w:rFonts w:hint="default" w:ascii="Times New Roman" w:hAnsi="Times New Roman" w:eastAsia="微软雅黑" w:cs="Times New Roman"/>
          <w:b w:val="0"/>
          <w:i w:val="0"/>
          <w:caps w:val="0"/>
          <w:color w:val="auto"/>
          <w:spacing w:val="0"/>
          <w:sz w:val="48"/>
          <w:szCs w:val="48"/>
        </w:rPr>
        <w:t>(本</w:t>
      </w:r>
      <w:r>
        <w:rPr>
          <w:rFonts w:hint="eastAsia" w:ascii="Times New Roman" w:hAnsi="Times New Roman" w:eastAsia="微软雅黑" w:cs="Times New Roman"/>
          <w:b w:val="0"/>
          <w:i w:val="0"/>
          <w:caps w:val="0"/>
          <w:color w:val="auto"/>
          <w:spacing w:val="0"/>
          <w:sz w:val="48"/>
          <w:szCs w:val="48"/>
          <w:lang w:eastAsia="zh-CN"/>
        </w:rPr>
        <w:t>级</w:t>
      </w:r>
      <w:r>
        <w:rPr>
          <w:rFonts w:hint="default" w:ascii="Times New Roman" w:hAnsi="Times New Roman" w:eastAsia="微软雅黑" w:cs="Times New Roman"/>
          <w:b w:val="0"/>
          <w:i w:val="0"/>
          <w:caps w:val="0"/>
          <w:color w:val="auto"/>
          <w:spacing w:val="0"/>
          <w:sz w:val="48"/>
          <w:szCs w:val="48"/>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5" w:beforeAutospacing="0" w:after="375" w:afterAutospacing="0"/>
        <w:ind w:left="0" w:right="0" w:firstLine="0"/>
        <w:jc w:val="center"/>
        <w:rPr>
          <w:rFonts w:hint="eastAsia" w:ascii="Times New Roman" w:hAnsi="Times New Roman" w:eastAsia="微软雅黑" w:cs="Times New Roman"/>
          <w:b w:val="0"/>
          <w:i w:val="0"/>
          <w:caps w:val="0"/>
          <w:color w:val="auto"/>
          <w:spacing w:val="0"/>
          <w:sz w:val="48"/>
          <w:szCs w:val="48"/>
          <w:lang w:eastAsia="zh-CN"/>
        </w:rPr>
      </w:pPr>
      <w:r>
        <w:rPr>
          <w:rFonts w:hint="default" w:ascii="Times New Roman" w:hAnsi="Times New Roman" w:eastAsia="微软雅黑" w:cs="Times New Roman"/>
          <w:b w:val="0"/>
          <w:i w:val="0"/>
          <w:caps w:val="0"/>
          <w:color w:val="auto"/>
          <w:spacing w:val="0"/>
          <w:sz w:val="48"/>
          <w:szCs w:val="48"/>
        </w:rPr>
        <w:t>202</w:t>
      </w:r>
      <w:r>
        <w:rPr>
          <w:rFonts w:hint="eastAsia" w:ascii="Times New Roman" w:hAnsi="Times New Roman" w:eastAsia="微软雅黑" w:cs="Times New Roman"/>
          <w:b w:val="0"/>
          <w:i w:val="0"/>
          <w:caps w:val="0"/>
          <w:color w:val="auto"/>
          <w:spacing w:val="0"/>
          <w:sz w:val="48"/>
          <w:szCs w:val="48"/>
          <w:lang w:val="en-US" w:eastAsia="zh-CN"/>
        </w:rPr>
        <w:t>5</w:t>
      </w:r>
      <w:r>
        <w:rPr>
          <w:rFonts w:hint="default" w:ascii="Times New Roman" w:hAnsi="Times New Roman" w:eastAsia="微软雅黑" w:cs="Times New Roman"/>
          <w:b w:val="0"/>
          <w:i w:val="0"/>
          <w:caps w:val="0"/>
          <w:color w:val="auto"/>
          <w:spacing w:val="0"/>
          <w:sz w:val="48"/>
          <w:szCs w:val="48"/>
        </w:rPr>
        <w:t>年度单位决算</w:t>
      </w:r>
      <w:r>
        <w:rPr>
          <w:rFonts w:hint="eastAsia" w:ascii="Times New Roman" w:hAnsi="Times New Roman" w:eastAsia="微软雅黑" w:cs="Times New Roman"/>
          <w:b w:val="0"/>
          <w:i w:val="0"/>
          <w:caps w:val="0"/>
          <w:color w:val="auto"/>
          <w:spacing w:val="0"/>
          <w:sz w:val="48"/>
          <w:szCs w:val="48"/>
          <w:lang w:eastAsia="zh-CN"/>
        </w:rPr>
        <w:t>公开编制说明</w:t>
      </w:r>
      <w:bookmarkEnd w:id="1"/>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tabs>
          <w:tab w:val="left" w:pos="6535"/>
        </w:tabs>
        <w:bidi w:val="0"/>
        <w:jc w:val="left"/>
        <w:rPr>
          <w:rFonts w:hint="default" w:ascii="Times New Roman" w:hAnsi="Times New Roman" w:cs="Times New Roman" w:eastAsiaTheme="minorEastAsia"/>
          <w:lang w:eastAsia="zh-CN"/>
        </w:rPr>
      </w:pPr>
      <w:r>
        <w:rPr>
          <w:rFonts w:hint="default" w:ascii="Times New Roman" w:hAnsi="Times New Roman" w:cs="Times New Roman"/>
          <w:lang w:eastAsia="zh-CN"/>
        </w:rPr>
        <w:tab/>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黑体" w:cs="Times New Roman"/>
          <w:color w:val="auto"/>
          <w:sz w:val="44"/>
          <w:szCs w:val="44"/>
        </w:rPr>
      </w:pPr>
      <w:r>
        <w:rPr>
          <w:rFonts w:hint="default" w:ascii="Times New Roman" w:hAnsi="Times New Roman" w:eastAsia="黑体" w:cs="Times New Roman"/>
          <w:i w:val="0"/>
          <w:caps w:val="0"/>
          <w:color w:val="auto"/>
          <w:spacing w:val="0"/>
          <w:sz w:val="44"/>
          <w:szCs w:val="44"/>
        </w:rPr>
        <w:t>目</w:t>
      </w:r>
      <w:r>
        <w:rPr>
          <w:rFonts w:hint="default" w:ascii="Times New Roman" w:hAnsi="Times New Roman" w:eastAsia="黑体" w:cs="Times New Roman"/>
          <w:i w:val="0"/>
          <w:caps w:val="0"/>
          <w:color w:val="auto"/>
          <w:spacing w:val="0"/>
          <w:sz w:val="44"/>
          <w:szCs w:val="44"/>
          <w:lang w:val="en-US" w:eastAsia="zh-CN"/>
        </w:rPr>
        <w:t xml:space="preserve"> </w:t>
      </w:r>
      <w:r>
        <w:rPr>
          <w:rFonts w:hint="default" w:ascii="Times New Roman" w:hAnsi="Times New Roman" w:eastAsia="黑体" w:cs="Times New Roman"/>
          <w:i w:val="0"/>
          <w:caps w:val="0"/>
          <w:color w:val="auto"/>
          <w:spacing w:val="0"/>
          <w:sz w:val="44"/>
          <w:szCs w:val="44"/>
        </w:rPr>
        <w:t>录</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公开时间：202</w:t>
      </w:r>
      <w:r>
        <w:rPr>
          <w:rFonts w:hint="eastAsia" w:ascii="Times New Roman" w:hAnsi="Times New Roman" w:eastAsia="微软雅黑" w:cs="Times New Roman"/>
          <w:i w:val="0"/>
          <w:caps w:val="0"/>
          <w:color w:val="auto"/>
          <w:spacing w:val="0"/>
          <w:sz w:val="27"/>
          <w:szCs w:val="27"/>
          <w:lang w:val="en-US" w:eastAsia="zh-CN"/>
        </w:rPr>
        <w:t>6</w:t>
      </w:r>
      <w:r>
        <w:rPr>
          <w:rFonts w:hint="default" w:ascii="Times New Roman" w:hAnsi="Times New Roman" w:eastAsia="微软雅黑" w:cs="Times New Roman"/>
          <w:i w:val="0"/>
          <w:caps w:val="0"/>
          <w:color w:val="auto"/>
          <w:spacing w:val="0"/>
          <w:sz w:val="27"/>
          <w:szCs w:val="27"/>
        </w:rPr>
        <w:t>年9月</w:t>
      </w:r>
      <w:r>
        <w:rPr>
          <w:rFonts w:hint="eastAsia" w:ascii="Times New Roman" w:hAnsi="Times New Roman" w:eastAsia="微软雅黑" w:cs="Times New Roman"/>
          <w:i w:val="0"/>
          <w:caps w:val="0"/>
          <w:color w:val="auto"/>
          <w:spacing w:val="0"/>
          <w:sz w:val="27"/>
          <w:szCs w:val="27"/>
          <w:lang w:val="en-US" w:eastAsia="zh-CN"/>
        </w:rPr>
        <w:t>15</w:t>
      </w:r>
      <w:r>
        <w:rPr>
          <w:rFonts w:hint="default" w:ascii="Times New Roman" w:hAnsi="Times New Roman" w:eastAsia="微软雅黑" w:cs="Times New Roman"/>
          <w:i w:val="0"/>
          <w:caps w:val="0"/>
          <w:color w:val="auto"/>
          <w:spacing w:val="0"/>
          <w:sz w:val="27"/>
          <w:szCs w:val="27"/>
        </w:rPr>
        <w:t>日</w:t>
      </w:r>
    </w:p>
    <w:sdt>
      <w:sdtPr>
        <w:rPr>
          <w:rFonts w:ascii="宋体" w:hAnsi="宋体" w:eastAsia="宋体" w:cstheme="minorBidi"/>
          <w:kern w:val="2"/>
          <w:sz w:val="21"/>
          <w:szCs w:val="24"/>
          <w:lang w:val="en-US" w:eastAsia="zh-CN" w:bidi="ar-SA"/>
        </w:rPr>
        <w:id w:val="147471743"/>
        <w15:color w:val="DBDBDB"/>
        <w:docPartObj>
          <w:docPartGallery w:val="Table of Contents"/>
          <w:docPartUnique/>
        </w:docPartObj>
      </w:sdtPr>
      <w:sdtEndPr>
        <w:rPr>
          <w:rFonts w:ascii="宋体" w:hAnsi="宋体" w:eastAsia="宋体" w:cstheme="minorBidi"/>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17"/>
            <w:tabs>
              <w:tab w:val="right" w:leader="dot" w:pos="8306"/>
            </w:tabs>
            <w:rPr>
              <w:b/>
            </w:rPr>
          </w:pPr>
          <w:r>
            <w:fldChar w:fldCharType="begin"/>
          </w:r>
          <w:r>
            <w:instrText xml:space="preserve">TOC \o "1-2" \h \u </w:instrText>
          </w:r>
          <w:r>
            <w:fldChar w:fldCharType="separate"/>
          </w:r>
        </w:p>
        <w:p>
          <w:pPr>
            <w:pStyle w:val="17"/>
            <w:tabs>
              <w:tab w:val="right" w:leader="dot" w:pos="8306"/>
            </w:tabs>
            <w:rPr>
              <w:b/>
            </w:rPr>
          </w:pPr>
          <w:r>
            <w:rPr>
              <w:b/>
            </w:rPr>
            <w:fldChar w:fldCharType="begin"/>
          </w:r>
          <w:r>
            <w:rPr>
              <w:b/>
            </w:rPr>
            <w:instrText xml:space="preserve"> HYPERLINK \l _Toc18496 </w:instrText>
          </w:r>
          <w:r>
            <w:rPr>
              <w:b/>
            </w:rPr>
            <w:fldChar w:fldCharType="separate"/>
          </w:r>
          <w:r>
            <w:rPr>
              <w:rFonts w:hint="default" w:ascii="Times New Roman" w:hAnsi="Times New Roman" w:eastAsia="黑体" w:cs="Times New Roman"/>
              <w:b/>
              <w:i w:val="0"/>
              <w:caps w:val="0"/>
              <w:spacing w:val="0"/>
              <w:szCs w:val="44"/>
            </w:rPr>
            <w:t>第一部分 单位概况</w:t>
          </w:r>
          <w:r>
            <w:rPr>
              <w:b/>
            </w:rPr>
            <w:tab/>
          </w:r>
          <w:r>
            <w:rPr>
              <w:b/>
            </w:rPr>
            <w:fldChar w:fldCharType="begin"/>
          </w:r>
          <w:r>
            <w:rPr>
              <w:b/>
            </w:rPr>
            <w:instrText xml:space="preserve"> PAGEREF _Toc18496 \h </w:instrText>
          </w:r>
          <w:r>
            <w:rPr>
              <w:b/>
            </w:rPr>
            <w:fldChar w:fldCharType="separate"/>
          </w:r>
          <w:r>
            <w:rPr>
              <w:b/>
            </w:rPr>
            <w:t>1</w:t>
          </w:r>
          <w:r>
            <w:rPr>
              <w:b/>
            </w:rPr>
            <w:fldChar w:fldCharType="end"/>
          </w:r>
          <w:r>
            <w:rPr>
              <w:b/>
            </w:rPr>
            <w:fldChar w:fldCharType="end"/>
          </w:r>
        </w:p>
        <w:p>
          <w:pPr>
            <w:pStyle w:val="18"/>
            <w:tabs>
              <w:tab w:val="right" w:leader="dot" w:pos="8306"/>
            </w:tabs>
          </w:pPr>
          <w:r>
            <w:fldChar w:fldCharType="begin"/>
          </w:r>
          <w:r>
            <w:instrText xml:space="preserve"> HYPERLINK \l _Toc15544 </w:instrText>
          </w:r>
          <w:r>
            <w:fldChar w:fldCharType="separate"/>
          </w:r>
          <w:r>
            <w:rPr>
              <w:rFonts w:hint="default" w:ascii="Times New Roman" w:hAnsi="Times New Roman" w:eastAsia="黑体" w:cs="Times New Roman"/>
              <w:bCs w:val="0"/>
              <w:i w:val="0"/>
              <w:caps w:val="0"/>
              <w:spacing w:val="0"/>
              <w:szCs w:val="32"/>
            </w:rPr>
            <w:t>一、</w:t>
          </w:r>
          <w:r>
            <w:rPr>
              <w:rFonts w:hint="default" w:ascii="Times New Roman" w:hAnsi="Times New Roman" w:eastAsia="黑体" w:cs="Times New Roman"/>
              <w:bCs w:val="0"/>
              <w:i w:val="0"/>
              <w:caps w:val="0"/>
              <w:spacing w:val="0"/>
              <w:szCs w:val="32"/>
              <w:lang w:eastAsia="zh-CN"/>
            </w:rPr>
            <w:t>单位职责</w:t>
          </w:r>
          <w:r>
            <w:tab/>
          </w:r>
          <w:r>
            <w:fldChar w:fldCharType="begin"/>
          </w:r>
          <w:r>
            <w:instrText xml:space="preserve"> PAGEREF _Toc15544 \h </w:instrText>
          </w:r>
          <w:r>
            <w:fldChar w:fldCharType="separate"/>
          </w:r>
          <w:r>
            <w:t>1</w:t>
          </w:r>
          <w:r>
            <w:fldChar w:fldCharType="end"/>
          </w:r>
          <w:r>
            <w:fldChar w:fldCharType="end"/>
          </w:r>
        </w:p>
        <w:p>
          <w:pPr>
            <w:pStyle w:val="18"/>
            <w:tabs>
              <w:tab w:val="right" w:leader="dot" w:pos="8306"/>
            </w:tabs>
          </w:pPr>
          <w:r>
            <w:fldChar w:fldCharType="begin"/>
          </w:r>
          <w:r>
            <w:instrText xml:space="preserve"> HYPERLINK \l _Toc20135 </w:instrText>
          </w:r>
          <w:r>
            <w:fldChar w:fldCharType="separate"/>
          </w:r>
          <w:r>
            <w:rPr>
              <w:rFonts w:hint="default" w:ascii="Times New Roman" w:hAnsi="Times New Roman" w:eastAsia="黑体" w:cs="Times New Roman"/>
              <w:bCs w:val="0"/>
              <w:i w:val="0"/>
              <w:caps w:val="0"/>
              <w:spacing w:val="0"/>
              <w:szCs w:val="32"/>
              <w:lang w:eastAsia="zh-CN"/>
            </w:rPr>
            <w:t>二、机构设置</w:t>
          </w:r>
          <w:r>
            <w:tab/>
          </w:r>
          <w:r>
            <w:fldChar w:fldCharType="begin"/>
          </w:r>
          <w:r>
            <w:instrText xml:space="preserve"> PAGEREF _Toc20135 \h </w:instrText>
          </w:r>
          <w:r>
            <w:fldChar w:fldCharType="separate"/>
          </w:r>
          <w:r>
            <w:t>4</w:t>
          </w:r>
          <w:r>
            <w:fldChar w:fldCharType="end"/>
          </w:r>
          <w:r>
            <w:fldChar w:fldCharType="end"/>
          </w:r>
        </w:p>
        <w:p>
          <w:pPr>
            <w:pStyle w:val="17"/>
            <w:tabs>
              <w:tab w:val="right" w:leader="dot" w:pos="8306"/>
            </w:tabs>
            <w:rPr>
              <w:b/>
            </w:rPr>
          </w:pPr>
          <w:r>
            <w:rPr>
              <w:b/>
            </w:rPr>
            <w:fldChar w:fldCharType="begin"/>
          </w:r>
          <w:r>
            <w:rPr>
              <w:b/>
            </w:rPr>
            <w:instrText xml:space="preserve"> HYPERLINK \l _Toc23623 </w:instrText>
          </w:r>
          <w:r>
            <w:rPr>
              <w:b/>
            </w:rPr>
            <w:fldChar w:fldCharType="separate"/>
          </w:r>
          <w:r>
            <w:rPr>
              <w:rFonts w:hint="default" w:ascii="Times New Roman" w:hAnsi="Times New Roman" w:eastAsia="黑体" w:cs="Times New Roman"/>
              <w:b/>
              <w:i w:val="0"/>
              <w:caps w:val="0"/>
              <w:spacing w:val="0"/>
              <w:szCs w:val="44"/>
            </w:rPr>
            <w:t>第二部分 202</w:t>
          </w:r>
          <w:r>
            <w:rPr>
              <w:rFonts w:hint="eastAsia" w:ascii="Times New Roman" w:hAnsi="Times New Roman" w:eastAsia="黑体" w:cs="Times New Roman"/>
              <w:b/>
              <w:i w:val="0"/>
              <w:caps w:val="0"/>
              <w:spacing w:val="0"/>
              <w:szCs w:val="44"/>
              <w:lang w:val="en-US" w:eastAsia="zh-CN"/>
            </w:rPr>
            <w:t>5</w:t>
          </w:r>
          <w:r>
            <w:rPr>
              <w:rFonts w:hint="default" w:ascii="Times New Roman" w:hAnsi="Times New Roman" w:eastAsia="黑体" w:cs="Times New Roman"/>
              <w:b/>
              <w:i w:val="0"/>
              <w:caps w:val="0"/>
              <w:spacing w:val="0"/>
              <w:szCs w:val="44"/>
            </w:rPr>
            <w:t>年度单位决算情况说明</w:t>
          </w:r>
          <w:r>
            <w:rPr>
              <w:b/>
            </w:rPr>
            <w:tab/>
          </w:r>
          <w:r>
            <w:rPr>
              <w:b/>
            </w:rPr>
            <w:fldChar w:fldCharType="begin"/>
          </w:r>
          <w:r>
            <w:rPr>
              <w:b/>
            </w:rPr>
            <w:instrText xml:space="preserve"> PAGEREF _Toc23623 \h </w:instrText>
          </w:r>
          <w:r>
            <w:rPr>
              <w:b/>
            </w:rPr>
            <w:fldChar w:fldCharType="separate"/>
          </w:r>
          <w:r>
            <w:rPr>
              <w:b/>
            </w:rPr>
            <w:t>5</w:t>
          </w:r>
          <w:r>
            <w:rPr>
              <w:b/>
            </w:rPr>
            <w:fldChar w:fldCharType="end"/>
          </w:r>
          <w:r>
            <w:rPr>
              <w:b/>
            </w:rPr>
            <w:fldChar w:fldCharType="end"/>
          </w:r>
        </w:p>
        <w:p>
          <w:pPr>
            <w:pStyle w:val="18"/>
            <w:tabs>
              <w:tab w:val="right" w:leader="dot" w:pos="8306"/>
            </w:tabs>
          </w:pPr>
          <w:r>
            <w:fldChar w:fldCharType="begin"/>
          </w:r>
          <w:r>
            <w:instrText xml:space="preserve"> HYPERLINK \l _Toc29899 </w:instrText>
          </w:r>
          <w:r>
            <w:fldChar w:fldCharType="separate"/>
          </w:r>
          <w:r>
            <w:rPr>
              <w:rFonts w:hint="default" w:ascii="Times New Roman" w:hAnsi="Times New Roman" w:eastAsia="黑体" w:cs="Times New Roman"/>
              <w:bCs w:val="0"/>
              <w:i w:val="0"/>
              <w:caps w:val="0"/>
              <w:spacing w:val="0"/>
              <w:szCs w:val="32"/>
            </w:rPr>
            <w:t>一、收入支出决算总体情况说明</w:t>
          </w:r>
          <w:r>
            <w:tab/>
          </w:r>
          <w:r>
            <w:fldChar w:fldCharType="begin"/>
          </w:r>
          <w:r>
            <w:instrText xml:space="preserve"> PAGEREF _Toc29899 \h </w:instrText>
          </w:r>
          <w:r>
            <w:fldChar w:fldCharType="separate"/>
          </w:r>
          <w:r>
            <w:t>5</w:t>
          </w:r>
          <w:r>
            <w:fldChar w:fldCharType="end"/>
          </w:r>
          <w:r>
            <w:fldChar w:fldCharType="end"/>
          </w:r>
        </w:p>
        <w:p>
          <w:pPr>
            <w:pStyle w:val="18"/>
            <w:tabs>
              <w:tab w:val="right" w:leader="dot" w:pos="8306"/>
            </w:tabs>
          </w:pPr>
          <w:r>
            <w:fldChar w:fldCharType="begin"/>
          </w:r>
          <w:r>
            <w:instrText xml:space="preserve"> HYPERLINK \l _Toc1032 </w:instrText>
          </w:r>
          <w:r>
            <w:fldChar w:fldCharType="separate"/>
          </w:r>
          <w:r>
            <w:rPr>
              <w:rFonts w:hint="default" w:ascii="Times New Roman" w:hAnsi="Times New Roman" w:eastAsia="黑体" w:cs="Times New Roman"/>
              <w:bCs/>
              <w:i w:val="0"/>
              <w:caps w:val="0"/>
              <w:spacing w:val="0"/>
              <w:szCs w:val="32"/>
            </w:rPr>
            <w:t>二、收入决算情况说明</w:t>
          </w:r>
          <w:r>
            <w:tab/>
          </w:r>
          <w:r>
            <w:fldChar w:fldCharType="begin"/>
          </w:r>
          <w:r>
            <w:instrText xml:space="preserve"> PAGEREF _Toc1032 \h </w:instrText>
          </w:r>
          <w:r>
            <w:fldChar w:fldCharType="separate"/>
          </w:r>
          <w:r>
            <w:t>5</w:t>
          </w:r>
          <w:r>
            <w:fldChar w:fldCharType="end"/>
          </w:r>
          <w:r>
            <w:fldChar w:fldCharType="end"/>
          </w:r>
        </w:p>
        <w:p>
          <w:pPr>
            <w:pStyle w:val="18"/>
            <w:tabs>
              <w:tab w:val="right" w:leader="dot" w:pos="8306"/>
            </w:tabs>
          </w:pPr>
          <w:r>
            <w:fldChar w:fldCharType="begin"/>
          </w:r>
          <w:r>
            <w:instrText xml:space="preserve"> HYPERLINK \l _Toc13606 </w:instrText>
          </w:r>
          <w:r>
            <w:fldChar w:fldCharType="separate"/>
          </w:r>
          <w:r>
            <w:rPr>
              <w:rFonts w:hint="default" w:ascii="Times New Roman" w:hAnsi="Times New Roman" w:eastAsia="黑体" w:cs="Times New Roman"/>
              <w:bCs w:val="0"/>
              <w:i w:val="0"/>
              <w:caps w:val="0"/>
              <w:spacing w:val="0"/>
              <w:szCs w:val="32"/>
            </w:rPr>
            <w:t>三、支出决算情况说明</w:t>
          </w:r>
          <w:r>
            <w:tab/>
          </w:r>
          <w:r>
            <w:fldChar w:fldCharType="begin"/>
          </w:r>
          <w:r>
            <w:instrText xml:space="preserve"> PAGEREF _Toc13606 \h </w:instrText>
          </w:r>
          <w:r>
            <w:fldChar w:fldCharType="separate"/>
          </w:r>
          <w:r>
            <w:t>6</w:t>
          </w:r>
          <w:r>
            <w:fldChar w:fldCharType="end"/>
          </w:r>
          <w:r>
            <w:fldChar w:fldCharType="end"/>
          </w:r>
        </w:p>
        <w:p>
          <w:pPr>
            <w:pStyle w:val="18"/>
            <w:tabs>
              <w:tab w:val="right" w:leader="dot" w:pos="8306"/>
            </w:tabs>
          </w:pPr>
          <w:r>
            <w:fldChar w:fldCharType="begin"/>
          </w:r>
          <w:r>
            <w:instrText xml:space="preserve"> HYPERLINK \l _Toc2490 </w:instrText>
          </w:r>
          <w:r>
            <w:fldChar w:fldCharType="separate"/>
          </w:r>
          <w:r>
            <w:rPr>
              <w:rFonts w:hint="default" w:ascii="Times New Roman" w:hAnsi="Times New Roman" w:eastAsia="黑体" w:cs="Times New Roman"/>
              <w:bCs w:val="0"/>
              <w:i w:val="0"/>
              <w:caps w:val="0"/>
              <w:spacing w:val="0"/>
              <w:szCs w:val="32"/>
            </w:rPr>
            <w:t>四、财政拨款收入支出决算总体情况说明</w:t>
          </w:r>
          <w:r>
            <w:tab/>
          </w:r>
          <w:r>
            <w:fldChar w:fldCharType="begin"/>
          </w:r>
          <w:r>
            <w:instrText xml:space="preserve"> PAGEREF _Toc2490 \h </w:instrText>
          </w:r>
          <w:r>
            <w:fldChar w:fldCharType="separate"/>
          </w:r>
          <w:r>
            <w:t>7</w:t>
          </w:r>
          <w:r>
            <w:fldChar w:fldCharType="end"/>
          </w:r>
          <w:r>
            <w:fldChar w:fldCharType="end"/>
          </w:r>
        </w:p>
        <w:p>
          <w:pPr>
            <w:pStyle w:val="18"/>
            <w:tabs>
              <w:tab w:val="right" w:leader="dot" w:pos="8306"/>
            </w:tabs>
            <w:rPr>
              <w:sz w:val="28"/>
              <w:szCs w:val="28"/>
            </w:rPr>
          </w:pPr>
          <w:r>
            <w:fldChar w:fldCharType="begin"/>
          </w:r>
          <w:r>
            <w:instrText xml:space="preserve"> HYPERLINK \l _Toc1765 </w:instrText>
          </w:r>
          <w:r>
            <w:fldChar w:fldCharType="separate"/>
          </w:r>
          <w:r>
            <w:rPr>
              <w:rFonts w:hint="default" w:ascii="Times New Roman" w:hAnsi="Times New Roman" w:eastAsia="黑体" w:cs="Times New Roman"/>
              <w:bCs w:val="0"/>
              <w:i w:val="0"/>
              <w:caps w:val="0"/>
              <w:spacing w:val="0"/>
              <w:szCs w:val="32"/>
            </w:rPr>
            <w:t>五、一般公共预算财政拨款支出决算情况说明</w:t>
          </w:r>
          <w:r>
            <w:tab/>
          </w:r>
          <w:r>
            <w:fldChar w:fldCharType="begin"/>
          </w:r>
          <w:r>
            <w:instrText xml:space="preserve"> PAGEREF _Toc1765 \h </w:instrText>
          </w:r>
          <w:r>
            <w:fldChar w:fldCharType="separate"/>
          </w:r>
          <w:r>
            <w:t>7</w:t>
          </w:r>
          <w:r>
            <w:fldChar w:fldCharType="end"/>
          </w:r>
          <w:r>
            <w:fldChar w:fldCharType="end"/>
          </w:r>
        </w:p>
        <w:p>
          <w:pPr>
            <w:pStyle w:val="18"/>
            <w:tabs>
              <w:tab w:val="right" w:leader="dot" w:pos="8306"/>
            </w:tabs>
          </w:pPr>
          <w:r>
            <w:fldChar w:fldCharType="begin"/>
          </w:r>
          <w:r>
            <w:instrText xml:space="preserve"> HYPERLINK \l _Toc18073 </w:instrText>
          </w:r>
          <w:r>
            <w:fldChar w:fldCharType="separate"/>
          </w:r>
          <w:r>
            <w:rPr>
              <w:rFonts w:hint="default" w:ascii="Times New Roman" w:hAnsi="Times New Roman" w:eastAsia="黑体" w:cs="Times New Roman"/>
              <w:bCs w:val="0"/>
              <w:i w:val="0"/>
              <w:caps w:val="0"/>
              <w:spacing w:val="0"/>
              <w:szCs w:val="32"/>
            </w:rPr>
            <w:t>六、一般公共预算财政拨款基本支出决算情况说明</w:t>
          </w:r>
          <w:r>
            <w:tab/>
          </w:r>
          <w:r>
            <w:fldChar w:fldCharType="begin"/>
          </w:r>
          <w:r>
            <w:instrText xml:space="preserve"> PAGEREF _Toc18073 \h </w:instrText>
          </w:r>
          <w:r>
            <w:fldChar w:fldCharType="separate"/>
          </w:r>
          <w:r>
            <w:t>12</w:t>
          </w:r>
          <w:r>
            <w:fldChar w:fldCharType="end"/>
          </w:r>
          <w:r>
            <w:fldChar w:fldCharType="end"/>
          </w:r>
        </w:p>
        <w:p>
          <w:pPr>
            <w:pStyle w:val="18"/>
            <w:tabs>
              <w:tab w:val="right" w:leader="dot" w:pos="8306"/>
            </w:tabs>
          </w:pPr>
          <w:r>
            <w:fldChar w:fldCharType="begin"/>
          </w:r>
          <w:r>
            <w:instrText xml:space="preserve"> HYPERLINK \l _Toc10768 </w:instrText>
          </w:r>
          <w:r>
            <w:fldChar w:fldCharType="separate"/>
          </w:r>
          <w:r>
            <w:rPr>
              <w:rFonts w:hint="default" w:ascii="Times New Roman" w:hAnsi="Times New Roman" w:eastAsia="黑体" w:cs="Times New Roman"/>
              <w:bCs w:val="0"/>
              <w:i w:val="0"/>
              <w:caps w:val="0"/>
              <w:spacing w:val="0"/>
              <w:szCs w:val="32"/>
            </w:rPr>
            <w:t>七、</w:t>
          </w:r>
          <w:r>
            <w:rPr>
              <w:rFonts w:hint="default" w:ascii="Times New Roman" w:hAnsi="Times New Roman" w:eastAsia="黑体" w:cs="Times New Roman"/>
              <w:bCs w:val="0"/>
              <w:i w:val="0"/>
              <w:caps w:val="0"/>
              <w:spacing w:val="0"/>
              <w:szCs w:val="32"/>
              <w:lang w:eastAsia="zh-CN"/>
            </w:rPr>
            <w:t>财政拨款</w:t>
          </w:r>
          <w:r>
            <w:rPr>
              <w:rFonts w:hint="default" w:ascii="Times New Roman" w:hAnsi="Times New Roman" w:eastAsia="黑体" w:cs="Times New Roman"/>
              <w:bCs w:val="0"/>
              <w:i w:val="0"/>
              <w:caps w:val="0"/>
              <w:spacing w:val="0"/>
              <w:szCs w:val="32"/>
            </w:rPr>
            <w:t>“三公”经费支出决算情况说明</w:t>
          </w:r>
          <w:r>
            <w:tab/>
          </w:r>
          <w:r>
            <w:fldChar w:fldCharType="begin"/>
          </w:r>
          <w:r>
            <w:instrText xml:space="preserve"> PAGEREF _Toc10768 \h </w:instrText>
          </w:r>
          <w:r>
            <w:fldChar w:fldCharType="separate"/>
          </w:r>
          <w:r>
            <w:t>12</w:t>
          </w:r>
          <w:r>
            <w:fldChar w:fldCharType="end"/>
          </w:r>
          <w:r>
            <w:fldChar w:fldCharType="end"/>
          </w:r>
        </w:p>
        <w:p>
          <w:pPr>
            <w:pStyle w:val="18"/>
            <w:tabs>
              <w:tab w:val="right" w:leader="dot" w:pos="8306"/>
            </w:tabs>
          </w:pPr>
          <w:r>
            <w:fldChar w:fldCharType="begin"/>
          </w:r>
          <w:r>
            <w:instrText xml:space="preserve"> HYPERLINK \l _Toc32609 </w:instrText>
          </w:r>
          <w:r>
            <w:fldChar w:fldCharType="separate"/>
          </w:r>
          <w:r>
            <w:rPr>
              <w:rFonts w:hint="default" w:ascii="Times New Roman" w:hAnsi="Times New Roman" w:eastAsia="黑体" w:cs="Times New Roman"/>
              <w:bCs w:val="0"/>
              <w:i w:val="0"/>
              <w:caps w:val="0"/>
              <w:spacing w:val="0"/>
              <w:szCs w:val="32"/>
            </w:rPr>
            <w:t>八、政府性基金预算支出决算情况说明</w:t>
          </w:r>
          <w:r>
            <w:tab/>
          </w:r>
          <w:r>
            <w:fldChar w:fldCharType="begin"/>
          </w:r>
          <w:r>
            <w:instrText xml:space="preserve"> PAGEREF _Toc32609 \h </w:instrText>
          </w:r>
          <w:r>
            <w:fldChar w:fldCharType="separate"/>
          </w:r>
          <w:r>
            <w:t>14</w:t>
          </w:r>
          <w:r>
            <w:fldChar w:fldCharType="end"/>
          </w:r>
          <w:r>
            <w:fldChar w:fldCharType="end"/>
          </w:r>
        </w:p>
        <w:p>
          <w:pPr>
            <w:pStyle w:val="18"/>
            <w:tabs>
              <w:tab w:val="right" w:leader="dot" w:pos="8306"/>
            </w:tabs>
          </w:pPr>
          <w:r>
            <w:fldChar w:fldCharType="begin"/>
          </w:r>
          <w:r>
            <w:instrText xml:space="preserve"> HYPERLINK \l _Toc2555 </w:instrText>
          </w:r>
          <w:r>
            <w:fldChar w:fldCharType="separate"/>
          </w:r>
          <w:r>
            <w:rPr>
              <w:rFonts w:hint="default" w:ascii="Times New Roman" w:hAnsi="Times New Roman" w:eastAsia="黑体" w:cs="Times New Roman"/>
              <w:bCs w:val="0"/>
              <w:i w:val="0"/>
              <w:caps w:val="0"/>
              <w:spacing w:val="0"/>
              <w:szCs w:val="32"/>
            </w:rPr>
            <w:t>九、国有资本经营预算支出决算情况说明</w:t>
          </w:r>
          <w:r>
            <w:tab/>
          </w:r>
          <w:r>
            <w:fldChar w:fldCharType="begin"/>
          </w:r>
          <w:r>
            <w:instrText xml:space="preserve"> PAGEREF _Toc2555 \h </w:instrText>
          </w:r>
          <w:r>
            <w:fldChar w:fldCharType="separate"/>
          </w:r>
          <w:r>
            <w:t>14</w:t>
          </w:r>
          <w:r>
            <w:fldChar w:fldCharType="end"/>
          </w:r>
          <w:r>
            <w:fldChar w:fldCharType="end"/>
          </w:r>
        </w:p>
        <w:p>
          <w:pPr>
            <w:pStyle w:val="18"/>
            <w:tabs>
              <w:tab w:val="right" w:leader="dot" w:pos="8306"/>
            </w:tabs>
          </w:pPr>
          <w:r>
            <w:fldChar w:fldCharType="begin"/>
          </w:r>
          <w:r>
            <w:instrText xml:space="preserve"> HYPERLINK \l _Toc28027 </w:instrText>
          </w:r>
          <w:r>
            <w:fldChar w:fldCharType="separate"/>
          </w:r>
          <w:r>
            <w:rPr>
              <w:rFonts w:hint="default" w:ascii="Times New Roman" w:hAnsi="Times New Roman" w:eastAsia="黑体" w:cs="Times New Roman"/>
              <w:bCs w:val="0"/>
              <w:i w:val="0"/>
              <w:caps w:val="0"/>
              <w:spacing w:val="0"/>
              <w:szCs w:val="32"/>
            </w:rPr>
            <w:t>十、其他重要事项的情况说明</w:t>
          </w:r>
          <w:r>
            <w:tab/>
          </w:r>
          <w:r>
            <w:fldChar w:fldCharType="begin"/>
          </w:r>
          <w:r>
            <w:instrText xml:space="preserve"> PAGEREF _Toc28027 \h </w:instrText>
          </w:r>
          <w:r>
            <w:fldChar w:fldCharType="separate"/>
          </w:r>
          <w:r>
            <w:t>14</w:t>
          </w:r>
          <w:r>
            <w:fldChar w:fldCharType="end"/>
          </w:r>
          <w:r>
            <w:fldChar w:fldCharType="end"/>
          </w:r>
        </w:p>
        <w:p>
          <w:pPr>
            <w:pStyle w:val="17"/>
            <w:tabs>
              <w:tab w:val="right" w:leader="dot" w:pos="8306"/>
            </w:tabs>
            <w:rPr>
              <w:b/>
            </w:rPr>
          </w:pPr>
          <w:r>
            <w:rPr>
              <w:b/>
            </w:rPr>
            <w:fldChar w:fldCharType="begin"/>
          </w:r>
          <w:r>
            <w:rPr>
              <w:b/>
            </w:rPr>
            <w:instrText xml:space="preserve"> HYPERLINK \l _Toc4167 </w:instrText>
          </w:r>
          <w:r>
            <w:rPr>
              <w:b/>
            </w:rPr>
            <w:fldChar w:fldCharType="separate"/>
          </w:r>
          <w:r>
            <w:rPr>
              <w:rFonts w:hint="default" w:ascii="Times New Roman" w:hAnsi="Times New Roman" w:eastAsia="黑体" w:cs="Times New Roman"/>
              <w:b/>
              <w:i w:val="0"/>
              <w:caps w:val="0"/>
              <w:spacing w:val="0"/>
              <w:szCs w:val="44"/>
            </w:rPr>
            <w:t>第三部分 名词解释</w:t>
          </w:r>
          <w:r>
            <w:rPr>
              <w:b/>
            </w:rPr>
            <w:tab/>
          </w:r>
          <w:r>
            <w:rPr>
              <w:b/>
            </w:rPr>
            <w:fldChar w:fldCharType="begin"/>
          </w:r>
          <w:r>
            <w:rPr>
              <w:b/>
            </w:rPr>
            <w:instrText xml:space="preserve"> PAGEREF _Toc4167 \h </w:instrText>
          </w:r>
          <w:r>
            <w:rPr>
              <w:b/>
            </w:rPr>
            <w:fldChar w:fldCharType="separate"/>
          </w:r>
          <w:r>
            <w:rPr>
              <w:b/>
            </w:rPr>
            <w:t>17</w:t>
          </w:r>
          <w:r>
            <w:rPr>
              <w:b/>
            </w:rPr>
            <w:fldChar w:fldCharType="end"/>
          </w:r>
          <w:r>
            <w:rPr>
              <w:b/>
            </w:rPr>
            <w:fldChar w:fldCharType="end"/>
          </w:r>
        </w:p>
        <w:p>
          <w:pPr>
            <w:pStyle w:val="17"/>
            <w:tabs>
              <w:tab w:val="right" w:leader="dot" w:pos="8306"/>
            </w:tabs>
            <w:rPr>
              <w:b/>
            </w:rPr>
          </w:pPr>
          <w:r>
            <w:rPr>
              <w:b/>
            </w:rPr>
            <w:fldChar w:fldCharType="begin"/>
          </w:r>
          <w:r>
            <w:rPr>
              <w:b/>
            </w:rPr>
            <w:instrText xml:space="preserve"> HYPERLINK \l _Toc31342 </w:instrText>
          </w:r>
          <w:r>
            <w:rPr>
              <w:b/>
            </w:rPr>
            <w:fldChar w:fldCharType="separate"/>
          </w:r>
          <w:r>
            <w:rPr>
              <w:rFonts w:hint="eastAsia" w:ascii="Times New Roman" w:hAnsi="Times New Roman" w:eastAsia="黑体" w:cs="Times New Roman"/>
              <w:b/>
              <w:i w:val="0"/>
              <w:caps w:val="0"/>
              <w:spacing w:val="0"/>
              <w:szCs w:val="44"/>
            </w:rPr>
            <w:t xml:space="preserve">第四部分 </w:t>
          </w:r>
          <w:r>
            <w:rPr>
              <w:rFonts w:hint="default" w:ascii="Times New Roman" w:hAnsi="Times New Roman" w:eastAsia="黑体" w:cs="Times New Roman"/>
              <w:b/>
              <w:i w:val="0"/>
              <w:caps w:val="0"/>
              <w:spacing w:val="0"/>
              <w:szCs w:val="44"/>
            </w:rPr>
            <w:t>附件</w:t>
          </w:r>
          <w:r>
            <w:rPr>
              <w:b/>
            </w:rPr>
            <w:tab/>
          </w:r>
          <w:r>
            <w:rPr>
              <w:b/>
            </w:rPr>
            <w:fldChar w:fldCharType="begin"/>
          </w:r>
          <w:r>
            <w:rPr>
              <w:b/>
            </w:rPr>
            <w:instrText xml:space="preserve"> PAGEREF _Toc31342 \h </w:instrText>
          </w:r>
          <w:r>
            <w:rPr>
              <w:b/>
            </w:rPr>
            <w:fldChar w:fldCharType="separate"/>
          </w:r>
          <w:r>
            <w:rPr>
              <w:b/>
            </w:rPr>
            <w:t>22</w:t>
          </w:r>
          <w:r>
            <w:rPr>
              <w:b/>
            </w:rPr>
            <w:fldChar w:fldCharType="end"/>
          </w:r>
          <w:r>
            <w:rPr>
              <w:b/>
            </w:rPr>
            <w:fldChar w:fldCharType="end"/>
          </w:r>
        </w:p>
        <w:p>
          <w:pPr>
            <w:pStyle w:val="17"/>
            <w:tabs>
              <w:tab w:val="right" w:leader="dot" w:pos="8306"/>
            </w:tabs>
            <w:rPr>
              <w:b/>
            </w:rPr>
          </w:pPr>
          <w:r>
            <w:rPr>
              <w:b/>
            </w:rPr>
            <w:fldChar w:fldCharType="begin"/>
          </w:r>
          <w:r>
            <w:rPr>
              <w:b/>
            </w:rPr>
            <w:instrText xml:space="preserve"> HYPERLINK \l _Toc21764 </w:instrText>
          </w:r>
          <w:r>
            <w:rPr>
              <w:b/>
            </w:rPr>
            <w:fldChar w:fldCharType="separate"/>
          </w:r>
          <w:r>
            <w:rPr>
              <w:rFonts w:hint="eastAsia" w:ascii="Times New Roman" w:hAnsi="Times New Roman" w:eastAsia="黑体" w:cs="Times New Roman"/>
              <w:b/>
              <w:i w:val="0"/>
              <w:caps w:val="0"/>
              <w:spacing w:val="0"/>
              <w:szCs w:val="44"/>
            </w:rPr>
            <w:t xml:space="preserve">第五部分 </w:t>
          </w:r>
          <w:r>
            <w:rPr>
              <w:rFonts w:hint="default" w:ascii="Times New Roman" w:hAnsi="Times New Roman" w:eastAsia="黑体" w:cs="Times New Roman"/>
              <w:b/>
              <w:i w:val="0"/>
              <w:caps w:val="0"/>
              <w:spacing w:val="0"/>
              <w:szCs w:val="44"/>
            </w:rPr>
            <w:t>附表</w:t>
          </w:r>
          <w:r>
            <w:rPr>
              <w:b/>
            </w:rPr>
            <w:tab/>
          </w:r>
          <w:r>
            <w:rPr>
              <w:b/>
            </w:rPr>
            <w:fldChar w:fldCharType="begin"/>
          </w:r>
          <w:r>
            <w:rPr>
              <w:b/>
            </w:rPr>
            <w:instrText xml:space="preserve"> PAGEREF _Toc21764 \h </w:instrText>
          </w:r>
          <w:r>
            <w:rPr>
              <w:b/>
            </w:rPr>
            <w:fldChar w:fldCharType="separate"/>
          </w:r>
          <w:r>
            <w:rPr>
              <w:b/>
            </w:rPr>
            <w:t>23</w:t>
          </w:r>
          <w:r>
            <w:rPr>
              <w:b/>
            </w:rPr>
            <w:fldChar w:fldCharType="end"/>
          </w:r>
          <w:r>
            <w:rPr>
              <w:b/>
            </w:rPr>
            <w:fldChar w:fldCharType="end"/>
          </w:r>
        </w:p>
        <w:p>
          <w:pPr>
            <w:pStyle w:val="18"/>
            <w:tabs>
              <w:tab w:val="right" w:leader="dot" w:pos="8306"/>
            </w:tabs>
          </w:pPr>
          <w:r>
            <w:fldChar w:fldCharType="begin"/>
          </w:r>
          <w:r>
            <w:instrText xml:space="preserve"> HYPERLINK \l _Toc2066 </w:instrText>
          </w:r>
          <w:r>
            <w:fldChar w:fldCharType="separate"/>
          </w:r>
          <w:r>
            <w:rPr>
              <w:rFonts w:hint="default" w:ascii="Times New Roman" w:hAnsi="Times New Roman" w:eastAsia="仿宋_GB2312" w:cs="Times New Roman"/>
              <w:bCs/>
              <w:szCs w:val="32"/>
            </w:rPr>
            <w:t>一、收入支出决算总表</w:t>
          </w:r>
          <w:r>
            <w:tab/>
          </w:r>
          <w:r>
            <w:fldChar w:fldCharType="begin"/>
          </w:r>
          <w:r>
            <w:instrText xml:space="preserve"> PAGEREF _Toc2066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_Toc15529 </w:instrText>
          </w:r>
          <w:r>
            <w:fldChar w:fldCharType="separate"/>
          </w:r>
          <w:r>
            <w:rPr>
              <w:rFonts w:hint="default" w:ascii="Times New Roman" w:hAnsi="Times New Roman" w:eastAsia="仿宋_GB2312" w:cs="Times New Roman"/>
              <w:bCs/>
              <w:szCs w:val="32"/>
            </w:rPr>
            <w:t>二、收入决算表</w:t>
          </w:r>
          <w:r>
            <w:tab/>
          </w:r>
          <w:r>
            <w:fldChar w:fldCharType="begin"/>
          </w:r>
          <w:r>
            <w:instrText xml:space="preserve"> PAGEREF _Toc15529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_Toc13074 </w:instrText>
          </w:r>
          <w:r>
            <w:fldChar w:fldCharType="separate"/>
          </w:r>
          <w:r>
            <w:rPr>
              <w:rFonts w:hint="default" w:ascii="Times New Roman" w:hAnsi="Times New Roman" w:eastAsia="仿宋_GB2312" w:cs="Times New Roman"/>
              <w:bCs/>
              <w:szCs w:val="32"/>
            </w:rPr>
            <w:t>三、支出决算表</w:t>
          </w:r>
          <w:r>
            <w:tab/>
          </w:r>
          <w:r>
            <w:fldChar w:fldCharType="begin"/>
          </w:r>
          <w:r>
            <w:instrText xml:space="preserve"> PAGEREF _Toc13074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_Toc23292 </w:instrText>
          </w:r>
          <w:r>
            <w:fldChar w:fldCharType="separate"/>
          </w:r>
          <w:r>
            <w:rPr>
              <w:rFonts w:hint="default" w:ascii="Times New Roman" w:hAnsi="Times New Roman" w:eastAsia="仿宋_GB2312" w:cs="Times New Roman"/>
              <w:bCs/>
              <w:szCs w:val="32"/>
            </w:rPr>
            <w:t>四、财政拨款收入支出决算总表</w:t>
          </w:r>
          <w:r>
            <w:tab/>
          </w:r>
          <w:r>
            <w:fldChar w:fldCharType="begin"/>
          </w:r>
          <w:r>
            <w:instrText xml:space="preserve"> PAGEREF _Toc23292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_Toc10942 </w:instrText>
          </w:r>
          <w:r>
            <w:fldChar w:fldCharType="separate"/>
          </w:r>
          <w:r>
            <w:rPr>
              <w:rFonts w:hint="default" w:ascii="Times New Roman" w:hAnsi="Times New Roman" w:eastAsia="仿宋_GB2312" w:cs="Times New Roman"/>
              <w:bCs/>
              <w:szCs w:val="32"/>
            </w:rPr>
            <w:t>五、财政拨款支出决算明细表</w:t>
          </w:r>
          <w:r>
            <w:tab/>
          </w:r>
          <w:r>
            <w:fldChar w:fldCharType="begin"/>
          </w:r>
          <w:r>
            <w:instrText xml:space="preserve"> PAGEREF _Toc10942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_Toc27177 </w:instrText>
          </w:r>
          <w:r>
            <w:fldChar w:fldCharType="separate"/>
          </w:r>
          <w:r>
            <w:rPr>
              <w:rFonts w:hint="default" w:ascii="Times New Roman" w:hAnsi="Times New Roman" w:eastAsia="仿宋_GB2312" w:cs="Times New Roman"/>
              <w:bCs/>
              <w:szCs w:val="32"/>
            </w:rPr>
            <w:t>六、一般公共预算财政拨款支出决算表</w:t>
          </w:r>
          <w:r>
            <w:tab/>
          </w:r>
          <w:r>
            <w:fldChar w:fldCharType="begin"/>
          </w:r>
          <w:r>
            <w:instrText xml:space="preserve"> PAGEREF _Toc27177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_Toc20546 </w:instrText>
          </w:r>
          <w:r>
            <w:fldChar w:fldCharType="separate"/>
          </w:r>
          <w:r>
            <w:rPr>
              <w:rFonts w:hint="default" w:ascii="Times New Roman" w:hAnsi="Times New Roman" w:eastAsia="仿宋_GB2312" w:cs="Times New Roman"/>
              <w:bCs/>
              <w:szCs w:val="32"/>
            </w:rPr>
            <w:t>七、一般公共预算财政拨款支出决算明细表</w:t>
          </w:r>
          <w:r>
            <w:tab/>
          </w:r>
          <w:r>
            <w:fldChar w:fldCharType="begin"/>
          </w:r>
          <w:r>
            <w:instrText xml:space="preserve"> PAGEREF _Toc20546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_Toc24468 </w:instrText>
          </w:r>
          <w:r>
            <w:fldChar w:fldCharType="separate"/>
          </w:r>
          <w:r>
            <w:rPr>
              <w:rFonts w:hint="default" w:ascii="Times New Roman" w:hAnsi="Times New Roman" w:eastAsia="仿宋_GB2312" w:cs="Times New Roman"/>
              <w:bCs/>
              <w:szCs w:val="32"/>
            </w:rPr>
            <w:t>八、一般公共预算财政拨款基本支出决算表</w:t>
          </w:r>
          <w:r>
            <w:tab/>
          </w:r>
          <w:r>
            <w:fldChar w:fldCharType="begin"/>
          </w:r>
          <w:r>
            <w:instrText xml:space="preserve"> PAGEREF _Toc24468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_Toc8378 </w:instrText>
          </w:r>
          <w:r>
            <w:fldChar w:fldCharType="separate"/>
          </w:r>
          <w:r>
            <w:rPr>
              <w:rFonts w:hint="default" w:ascii="Times New Roman" w:hAnsi="Times New Roman" w:eastAsia="仿宋_GB2312" w:cs="Times New Roman"/>
              <w:bCs/>
              <w:szCs w:val="32"/>
            </w:rPr>
            <w:t>九、一般公共预算财政拨款项目支出决算表</w:t>
          </w:r>
          <w:r>
            <w:tab/>
          </w:r>
          <w:r>
            <w:fldChar w:fldCharType="begin"/>
          </w:r>
          <w:r>
            <w:instrText xml:space="preserve"> PAGEREF _Toc8378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_Toc13349 </w:instrText>
          </w:r>
          <w:r>
            <w:fldChar w:fldCharType="separate"/>
          </w:r>
          <w:r>
            <w:rPr>
              <w:rFonts w:hint="default" w:ascii="Times New Roman" w:hAnsi="Times New Roman" w:eastAsia="仿宋_GB2312" w:cs="Times New Roman"/>
              <w:bCs/>
              <w:szCs w:val="32"/>
            </w:rPr>
            <w:t>十、政府性基金预算财政拨款收入支出决算表</w:t>
          </w:r>
          <w:r>
            <w:tab/>
          </w:r>
          <w:r>
            <w:fldChar w:fldCharType="begin"/>
          </w:r>
          <w:r>
            <w:instrText xml:space="preserve"> PAGEREF _Toc13349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_Toc18619 </w:instrText>
          </w:r>
          <w:r>
            <w:fldChar w:fldCharType="separate"/>
          </w:r>
          <w:r>
            <w:rPr>
              <w:rFonts w:hint="default" w:ascii="Times New Roman" w:hAnsi="Times New Roman" w:eastAsia="仿宋_GB2312" w:cs="Times New Roman"/>
              <w:bCs/>
              <w:szCs w:val="32"/>
            </w:rPr>
            <w:t>十一、国有资本经营预算财政拨款收入支出决算表</w:t>
          </w:r>
          <w:r>
            <w:tab/>
          </w:r>
          <w:r>
            <w:fldChar w:fldCharType="begin"/>
          </w:r>
          <w:r>
            <w:instrText xml:space="preserve"> PAGEREF _Toc18619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_Toc25640 </w:instrText>
          </w:r>
          <w:r>
            <w:fldChar w:fldCharType="separate"/>
          </w:r>
          <w:r>
            <w:rPr>
              <w:rFonts w:hint="default" w:ascii="Times New Roman" w:hAnsi="Times New Roman" w:eastAsia="仿宋_GB2312" w:cs="Times New Roman"/>
              <w:bCs/>
              <w:szCs w:val="32"/>
            </w:rPr>
            <w:t>十二、国有资本经营预算财政拨款支出决算表</w:t>
          </w:r>
          <w:r>
            <w:tab/>
          </w:r>
          <w:r>
            <w:fldChar w:fldCharType="begin"/>
          </w:r>
          <w:r>
            <w:instrText xml:space="preserve"> PAGEREF _Toc25640 \h </w:instrText>
          </w:r>
          <w:r>
            <w:fldChar w:fldCharType="separate"/>
          </w:r>
          <w:r>
            <w:t>23</w:t>
          </w:r>
          <w:r>
            <w:fldChar w:fldCharType="end"/>
          </w:r>
          <w:r>
            <w:fldChar w:fldCharType="end"/>
          </w:r>
        </w:p>
        <w:p>
          <w:pPr>
            <w:pStyle w:val="18"/>
            <w:tabs>
              <w:tab w:val="right" w:leader="dot" w:pos="8306"/>
            </w:tabs>
          </w:pPr>
          <w:r>
            <w:fldChar w:fldCharType="begin"/>
          </w:r>
          <w:r>
            <w:instrText xml:space="preserve"> HYPERLINK \l _Toc30021 </w:instrText>
          </w:r>
          <w:r>
            <w:fldChar w:fldCharType="separate"/>
          </w:r>
          <w:r>
            <w:rPr>
              <w:rFonts w:hint="default" w:ascii="Times New Roman" w:hAnsi="Times New Roman" w:eastAsia="仿宋_GB2312" w:cs="Times New Roman"/>
              <w:bCs/>
              <w:szCs w:val="32"/>
            </w:rPr>
            <w:t>十三、财政拨款“三公”经费支出决算表</w:t>
          </w:r>
          <w:r>
            <w:tab/>
          </w:r>
          <w:r>
            <w:fldChar w:fldCharType="begin"/>
          </w:r>
          <w:r>
            <w:instrText xml:space="preserve"> PAGEREF _Toc30021 \h </w:instrText>
          </w:r>
          <w:r>
            <w:fldChar w:fldCharType="separate"/>
          </w:r>
          <w:r>
            <w:t>23</w:t>
          </w:r>
          <w:r>
            <w:fldChar w:fldCharType="end"/>
          </w:r>
          <w:r>
            <w:fldChar w:fldCharType="end"/>
          </w:r>
        </w:p>
        <w:p>
          <w:r>
            <w:rPr>
              <w:b/>
            </w:rPr>
            <w:fldChar w:fldCharType="end"/>
          </w:r>
        </w:p>
      </w:sdtContent>
    </w:sdt>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sectPr>
          <w:pgSz w:w="11906" w:h="16838"/>
          <w:pgMar w:top="1440" w:right="1800" w:bottom="1440" w:left="1800" w:header="851" w:footer="992" w:gutter="0"/>
          <w:cols w:space="425" w:num="1"/>
          <w:docGrid w:type="lines" w:linePitch="312" w:charSpace="0"/>
        </w:sectPr>
      </w:pPr>
      <w:r>
        <w:rPr>
          <w:rFonts w:hint="default" w:ascii="Times New Roman" w:hAnsi="Times New Roman" w:eastAsia="微软雅黑" w:cs="Times New Roman"/>
          <w:i w:val="0"/>
          <w:caps w:val="0"/>
          <w:color w:val="auto"/>
          <w:spacing w:val="0"/>
          <w:sz w:val="27"/>
          <w:szCs w:val="27"/>
        </w:rPr>
        <w:t>　　　</w:t>
      </w:r>
      <w:bookmarkStart w:id="2" w:name="_Toc4655_WPSOffice_Level1"/>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outlineLvl w:val="0"/>
        <w:rPr>
          <w:rFonts w:hint="default" w:ascii="Times New Roman" w:hAnsi="Times New Roman" w:eastAsia="黑体" w:cs="Times New Roman"/>
          <w:color w:val="auto"/>
          <w:sz w:val="44"/>
          <w:szCs w:val="44"/>
        </w:rPr>
      </w:pPr>
      <w:bookmarkStart w:id="3" w:name="_Toc13548_WPSOffice_Level1"/>
      <w:bookmarkStart w:id="4" w:name="_Toc18496"/>
      <w:r>
        <w:rPr>
          <w:rFonts w:hint="default" w:ascii="Times New Roman" w:hAnsi="Times New Roman" w:eastAsia="黑体" w:cs="Times New Roman"/>
          <w:i w:val="0"/>
          <w:caps w:val="0"/>
          <w:color w:val="auto"/>
          <w:spacing w:val="0"/>
          <w:sz w:val="44"/>
          <w:szCs w:val="44"/>
        </w:rPr>
        <w:t>第一部分 单位概况</w:t>
      </w:r>
      <w:bookmarkEnd w:id="2"/>
      <w:bookmarkEnd w:id="3"/>
      <w:bookmarkEnd w:id="4"/>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rPr>
        <w:t>　　</w:t>
      </w:r>
      <w:bookmarkStart w:id="5" w:name="_Toc1628_WPSOffice_Level2"/>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lang w:eastAsia="zh-CN"/>
        </w:rPr>
      </w:pPr>
      <w:bookmarkStart w:id="6" w:name="_Toc15544"/>
      <w:r>
        <w:rPr>
          <w:rFonts w:hint="default" w:ascii="Times New Roman" w:hAnsi="Times New Roman" w:eastAsia="黑体" w:cs="Times New Roman"/>
          <w:b w:val="0"/>
          <w:bCs w:val="0"/>
          <w:i w:val="0"/>
          <w:caps w:val="0"/>
          <w:color w:val="auto"/>
          <w:spacing w:val="0"/>
          <w:sz w:val="32"/>
          <w:szCs w:val="32"/>
        </w:rPr>
        <w:t>一、</w:t>
      </w:r>
      <w:bookmarkEnd w:id="5"/>
      <w:r>
        <w:rPr>
          <w:rFonts w:hint="default" w:ascii="Times New Roman" w:hAnsi="Times New Roman" w:eastAsia="黑体" w:cs="Times New Roman"/>
          <w:b w:val="0"/>
          <w:bCs w:val="0"/>
          <w:i w:val="0"/>
          <w:caps w:val="0"/>
          <w:color w:val="auto"/>
          <w:spacing w:val="0"/>
          <w:sz w:val="32"/>
          <w:szCs w:val="32"/>
          <w:lang w:eastAsia="zh-CN"/>
        </w:rPr>
        <w:t>单位职责</w:t>
      </w:r>
      <w:bookmarkEnd w:id="6"/>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color w:val="auto"/>
          <w:sz w:val="32"/>
          <w:szCs w:val="32"/>
        </w:rPr>
        <w:t>经</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委、</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政府批准同意，根据《关于</w:t>
      </w:r>
      <w:r>
        <w:rPr>
          <w:rFonts w:hint="default" w:ascii="Times New Roman" w:hAnsi="Times New Roman" w:eastAsia="仿宋_GB2312" w:cs="Times New Roman"/>
          <w:color w:val="auto"/>
          <w:sz w:val="32"/>
          <w:szCs w:val="32"/>
          <w:lang w:eastAsia="zh-CN"/>
        </w:rPr>
        <w:t>印发</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攀枝花市</w:t>
      </w:r>
      <w:r>
        <w:rPr>
          <w:rFonts w:hint="default" w:ascii="Times New Roman" w:hAnsi="Times New Roman" w:eastAsia="仿宋_GB2312" w:cs="Times New Roman"/>
          <w:color w:val="auto"/>
          <w:sz w:val="32"/>
          <w:szCs w:val="32"/>
        </w:rPr>
        <w:t>人力资源和社会保障</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职能配置、内设机构和人员编制规定〉的通知》（</w:t>
      </w:r>
      <w:r>
        <w:rPr>
          <w:rFonts w:hint="default" w:ascii="Times New Roman" w:hAnsi="Times New Roman" w:eastAsia="仿宋_GB2312" w:cs="Times New Roman"/>
          <w:color w:val="auto"/>
          <w:sz w:val="32"/>
          <w:szCs w:val="32"/>
          <w:lang w:eastAsia="zh-CN"/>
        </w:rPr>
        <w:t>攀</w:t>
      </w:r>
      <w:r>
        <w:rPr>
          <w:rFonts w:hint="default" w:ascii="Times New Roman" w:hAnsi="Times New Roman" w:eastAsia="仿宋_GB2312" w:cs="Times New Roman"/>
          <w:color w:val="auto"/>
          <w:sz w:val="32"/>
          <w:szCs w:val="32"/>
        </w:rPr>
        <w:t>委</w:t>
      </w:r>
      <w:r>
        <w:rPr>
          <w:rFonts w:hint="default" w:ascii="Times New Roman" w:hAnsi="Times New Roman" w:eastAsia="仿宋_GB2312" w:cs="Times New Roman"/>
          <w:color w:val="auto"/>
          <w:sz w:val="32"/>
          <w:szCs w:val="32"/>
          <w:lang w:eastAsia="zh-CN"/>
        </w:rPr>
        <w:t>办</w:t>
      </w:r>
      <w:r>
        <w:rPr>
          <w:rFonts w:hint="default" w:ascii="Times New Roman" w:hAnsi="Times New Roman" w:eastAsia="仿宋_GB2312" w:cs="Times New Roman"/>
          <w:color w:val="auto"/>
          <w:sz w:val="32"/>
          <w:szCs w:val="32"/>
        </w:rPr>
        <w:t>〔2019〕</w:t>
      </w:r>
      <w:r>
        <w:rPr>
          <w:rFonts w:hint="default" w:ascii="Times New Roman" w:hAnsi="Times New Roman" w:eastAsia="仿宋_GB2312" w:cs="Times New Roman"/>
          <w:color w:val="auto"/>
          <w:sz w:val="32"/>
          <w:szCs w:val="32"/>
          <w:lang w:val="en-US" w:eastAsia="zh-CN"/>
        </w:rPr>
        <w:t>53</w:t>
      </w:r>
      <w:r>
        <w:rPr>
          <w:rFonts w:hint="default" w:ascii="Times New Roman" w:hAnsi="Times New Roman" w:eastAsia="仿宋_GB2312" w:cs="Times New Roman"/>
          <w:color w:val="auto"/>
          <w:sz w:val="32"/>
          <w:szCs w:val="32"/>
        </w:rPr>
        <w:t>号），人力资源社会保障</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是</w:t>
      </w:r>
      <w:r>
        <w:rPr>
          <w:rFonts w:hint="default" w:ascii="Times New Roman" w:hAnsi="Times New Roman" w:eastAsia="仿宋_GB2312" w:cs="Times New Roman"/>
          <w:color w:val="auto"/>
          <w:sz w:val="32"/>
          <w:szCs w:val="32"/>
          <w:lang w:eastAsia="zh-CN"/>
        </w:rPr>
        <w:t>攀枝花市</w:t>
      </w:r>
      <w:r>
        <w:rPr>
          <w:rFonts w:hint="default" w:ascii="Times New Roman" w:hAnsi="Times New Roman" w:eastAsia="仿宋_GB2312" w:cs="Times New Roman"/>
          <w:color w:val="auto"/>
          <w:sz w:val="32"/>
          <w:szCs w:val="32"/>
        </w:rPr>
        <w:t>人民政府</w:t>
      </w:r>
      <w:r>
        <w:rPr>
          <w:rFonts w:hint="default" w:ascii="Times New Roman" w:hAnsi="Times New Roman" w:eastAsia="仿宋_GB2312" w:cs="Times New Roman"/>
          <w:color w:val="auto"/>
          <w:sz w:val="32"/>
          <w:szCs w:val="32"/>
          <w:lang w:eastAsia="zh-CN"/>
        </w:rPr>
        <w:t>工作</w:t>
      </w:r>
      <w:r>
        <w:rPr>
          <w:rFonts w:hint="default" w:ascii="Times New Roman" w:hAnsi="Times New Roman" w:eastAsia="仿宋_GB2312" w:cs="Times New Roman"/>
          <w:color w:val="auto"/>
          <w:sz w:val="32"/>
          <w:szCs w:val="32"/>
        </w:rPr>
        <w:t>部门，为正</w:t>
      </w:r>
      <w:r>
        <w:rPr>
          <w:rFonts w:hint="default" w:ascii="Times New Roman" w:hAnsi="Times New Roman" w:eastAsia="仿宋_GB2312" w:cs="Times New Roman"/>
          <w:color w:val="auto"/>
          <w:sz w:val="32"/>
          <w:szCs w:val="32"/>
          <w:lang w:eastAsia="zh-CN"/>
        </w:rPr>
        <w:t>县</w:t>
      </w:r>
      <w:r>
        <w:rPr>
          <w:rFonts w:hint="default" w:ascii="Times New Roman" w:hAnsi="Times New Roman" w:eastAsia="仿宋_GB2312" w:cs="Times New Roman"/>
          <w:color w:val="auto"/>
          <w:sz w:val="32"/>
          <w:szCs w:val="32"/>
        </w:rPr>
        <w:t>级。人力资源社会保障</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承担以下</w:t>
      </w:r>
      <w:r>
        <w:rPr>
          <w:rFonts w:hint="default" w:ascii="Times New Roman" w:hAnsi="Times New Roman" w:eastAsia="仿宋_GB2312" w:cs="Times New Roman"/>
          <w:color w:val="auto"/>
          <w:sz w:val="32"/>
          <w:szCs w:val="32"/>
          <w:lang w:eastAsia="zh-CN"/>
        </w:rPr>
        <w:t>主要职责</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i w:val="0"/>
          <w:caps w:val="0"/>
          <w:color w:val="auto"/>
          <w:spacing w:val="0"/>
          <w:sz w:val="32"/>
          <w:szCs w:val="32"/>
          <w:lang w:val="en-US" w:eastAsia="zh-CN"/>
        </w:rPr>
        <w:t>1.</w:t>
      </w:r>
      <w:r>
        <w:rPr>
          <w:rFonts w:hint="default" w:ascii="Times New Roman" w:hAnsi="Times New Roman" w:eastAsia="仿宋_GB2312" w:cs="Times New Roman"/>
          <w:i w:val="0"/>
          <w:caps w:val="0"/>
          <w:color w:val="auto"/>
          <w:spacing w:val="0"/>
          <w:sz w:val="32"/>
          <w:szCs w:val="32"/>
        </w:rPr>
        <w:t>贯彻执行国家、省人力资源和社会保障工作的法律、法规、规章和政策，拟订全市人力资源和社会保障事业发展规划、政策并组织实施，统筹推进人力资源和社会保障事业发展。</w:t>
      </w:r>
      <w:r>
        <w:rPr>
          <w:rFonts w:hint="default" w:ascii="Times New Roman" w:hAnsi="Times New Roman" w:eastAsia="仿宋_GB2312" w:cs="Times New Roman"/>
          <w:i w:val="0"/>
          <w:caps w:val="0"/>
          <w:color w:val="auto"/>
          <w:spacing w:val="0"/>
          <w:sz w:val="32"/>
          <w:szCs w:val="32"/>
          <w:lang w:val="en-US" w:eastAsia="zh-CN"/>
        </w:rPr>
        <w:t>2.</w:t>
      </w:r>
      <w:r>
        <w:rPr>
          <w:rFonts w:hint="default" w:ascii="Times New Roman" w:hAnsi="Times New Roman" w:eastAsia="仿宋_GB2312" w:cs="Times New Roman"/>
          <w:i w:val="0"/>
          <w:caps w:val="0"/>
          <w:color w:val="auto"/>
          <w:spacing w:val="0"/>
          <w:sz w:val="32"/>
          <w:szCs w:val="32"/>
        </w:rPr>
        <w:t>拟订并组织实施全市人力资源市场发展规划和人力资源服务业发展、人力资源流动政策，促进人力资源合理流动，有效配置。</w:t>
      </w:r>
      <w:r>
        <w:rPr>
          <w:rFonts w:hint="default" w:ascii="Times New Roman" w:hAnsi="Times New Roman" w:eastAsia="仿宋_GB2312" w:cs="Times New Roman"/>
          <w:i w:val="0"/>
          <w:caps w:val="0"/>
          <w:color w:val="auto"/>
          <w:spacing w:val="0"/>
          <w:sz w:val="32"/>
          <w:szCs w:val="32"/>
          <w:lang w:val="en-US" w:eastAsia="zh-CN"/>
        </w:rPr>
        <w:t>3.</w:t>
      </w:r>
      <w:r>
        <w:rPr>
          <w:rFonts w:hint="default" w:ascii="Times New Roman" w:hAnsi="Times New Roman" w:eastAsia="仿宋_GB2312" w:cs="Times New Roman"/>
          <w:i w:val="0"/>
          <w:caps w:val="0"/>
          <w:color w:val="auto"/>
          <w:spacing w:val="0"/>
          <w:sz w:val="32"/>
          <w:szCs w:val="32"/>
        </w:rPr>
        <w:t>负责促进就业工作，拟订统筹全市城乡就业发展规划和政策，完善公共就业创业服务体系，统筹建立面向城乡劳动者的职业技能培训制度，拟订并组织落实创业、就业援助制度，提出就业资金安排计划并组织实施，牵头拟订高校毕业生就业政策，组织实施高校毕业生就业创业服务工作。</w:t>
      </w:r>
      <w:r>
        <w:rPr>
          <w:rFonts w:hint="default" w:ascii="Times New Roman" w:hAnsi="Times New Roman" w:eastAsia="仿宋_GB2312" w:cs="Times New Roman"/>
          <w:i w:val="0"/>
          <w:caps w:val="0"/>
          <w:color w:val="auto"/>
          <w:spacing w:val="0"/>
          <w:sz w:val="32"/>
          <w:szCs w:val="32"/>
          <w:lang w:val="en-US" w:eastAsia="zh-CN"/>
        </w:rPr>
        <w:t>4.</w:t>
      </w:r>
      <w:r>
        <w:rPr>
          <w:rFonts w:hint="default" w:ascii="Times New Roman" w:hAnsi="Times New Roman" w:eastAsia="仿宋_GB2312" w:cs="Times New Roman"/>
          <w:i w:val="0"/>
          <w:caps w:val="0"/>
          <w:color w:val="auto"/>
          <w:spacing w:val="0"/>
          <w:sz w:val="32"/>
          <w:szCs w:val="32"/>
        </w:rPr>
        <w:t>统筹推进建立覆盖全市城乡的多层次社会保障体系。贯彻执行国家、省养老、失业、工伤等社会保险及其补充保险政策和标准，拟订全市的相关政策并组织实施，贯彻落实养老保险全国统筹办法和全国统一的养老、失业、工伤保险关系转续办法，会同有关部门拟订全市养老、失业、工伤等社会保险及其补充保险基金管理和监督制度并组织实施，编制全市相关社会保险基金预决算草案，会同有关部门实施全民参保计划并建立全市统一的社会保险公共服务平台。负责全市养老、失业、工伤保险基金保值增值的监督检查。拟订人力资源和社会保障信息化建设总体规划、年度计划，制定相关制度并组织实施。</w:t>
      </w:r>
      <w:r>
        <w:rPr>
          <w:rFonts w:hint="default" w:ascii="Times New Roman" w:hAnsi="Times New Roman" w:eastAsia="仿宋_GB2312" w:cs="Times New Roman"/>
          <w:i w:val="0"/>
          <w:caps w:val="0"/>
          <w:color w:val="auto"/>
          <w:spacing w:val="0"/>
          <w:sz w:val="32"/>
          <w:szCs w:val="32"/>
          <w:lang w:val="en-US" w:eastAsia="zh-CN"/>
        </w:rPr>
        <w:t>5.</w:t>
      </w:r>
      <w:r>
        <w:rPr>
          <w:rFonts w:hint="default" w:ascii="Times New Roman" w:hAnsi="Times New Roman" w:eastAsia="仿宋_GB2312" w:cs="Times New Roman"/>
          <w:i w:val="0"/>
          <w:caps w:val="0"/>
          <w:color w:val="auto"/>
          <w:spacing w:val="0"/>
          <w:sz w:val="32"/>
          <w:szCs w:val="32"/>
        </w:rPr>
        <w:t>负责就业、失业和相关社会保障基金预测预警和信息引导，拟订应对预案，实施预防、调节和控制，保持就业形势稳定和相关社会保险基金总体收支平衡。</w:t>
      </w:r>
      <w:r>
        <w:rPr>
          <w:rFonts w:hint="default" w:ascii="Times New Roman" w:hAnsi="Times New Roman" w:eastAsia="仿宋_GB2312" w:cs="Times New Roman"/>
          <w:i w:val="0"/>
          <w:caps w:val="0"/>
          <w:color w:val="auto"/>
          <w:spacing w:val="0"/>
          <w:sz w:val="32"/>
          <w:szCs w:val="32"/>
          <w:lang w:val="en-US" w:eastAsia="zh-CN"/>
        </w:rPr>
        <w:t>6.</w:t>
      </w:r>
      <w:r>
        <w:rPr>
          <w:rFonts w:hint="default" w:ascii="Times New Roman" w:hAnsi="Times New Roman" w:eastAsia="仿宋_GB2312" w:cs="Times New Roman"/>
          <w:i w:val="0"/>
          <w:caps w:val="0"/>
          <w:color w:val="auto"/>
          <w:spacing w:val="0"/>
          <w:sz w:val="32"/>
          <w:szCs w:val="32"/>
        </w:rPr>
        <w:t>统筹拟订劳动人事争议调解仲裁制度和劳动关系政策，完善劳动关系协商协调机制，拟订职工工作时间、休息休假制度，拟订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r>
        <w:rPr>
          <w:rFonts w:hint="default" w:ascii="Times New Roman" w:hAnsi="Times New Roman" w:eastAsia="仿宋_GB2312" w:cs="Times New Roman"/>
          <w:i w:val="0"/>
          <w:caps w:val="0"/>
          <w:color w:val="auto"/>
          <w:spacing w:val="0"/>
          <w:sz w:val="32"/>
          <w:szCs w:val="32"/>
          <w:lang w:val="en-US" w:eastAsia="zh-CN"/>
        </w:rPr>
        <w:t>7.</w:t>
      </w:r>
      <w:r>
        <w:rPr>
          <w:rFonts w:hint="default" w:ascii="Times New Roman" w:hAnsi="Times New Roman" w:eastAsia="仿宋_GB2312" w:cs="Times New Roman"/>
          <w:i w:val="0"/>
          <w:caps w:val="0"/>
          <w:color w:val="auto"/>
          <w:spacing w:val="0"/>
          <w:sz w:val="32"/>
          <w:szCs w:val="32"/>
        </w:rPr>
        <w:t>牵头推进深化职称制度改革，拟订专业技术人员管理、继续教育和博士后管理政策并组织实施，负责高层次专业技术人才选拔和培养工作，负责留学回国人员的服务和管理工作。组织拟订技能人才培养评价、使用和激励制度。贯彻落实职业资格制度，健全职业技能多元化评价政策。指导、监督各级各类技工学校、民办职业培训机构按国家、省和我市有关规定履行安全管理责任。</w:t>
      </w:r>
      <w:r>
        <w:rPr>
          <w:rFonts w:hint="default"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rPr>
        <w:t>组织实施国家表彰制度，综合管理表彰奖励工作，承担全市评比达标表彰和市级部门表彰奖励工作，根据授权承办以市委、市政府名义开展的市级表彰活动。承办市委管理的部分领导人员的行政任免手续。</w:t>
      </w:r>
      <w:r>
        <w:rPr>
          <w:rFonts w:hint="default"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rPr>
        <w:t>会同有关部门指导实施事业单位人事制度改革，按照管理权限承办事业单位岗位设置、公开招聘、人员聘用等人事综合管理工作，拟订事业单位工作人员和机关工勤人员管理政策，将安全生产责任履行情况作为事业单位工作人员奖惩、考核的重要内容。</w:t>
      </w:r>
      <w:r>
        <w:rPr>
          <w:rFonts w:hint="default" w:ascii="Times New Roman" w:hAnsi="Times New Roman" w:eastAsia="仿宋_GB2312" w:cs="Times New Roman"/>
          <w:i w:val="0"/>
          <w:caps w:val="0"/>
          <w:color w:val="auto"/>
          <w:spacing w:val="0"/>
          <w:sz w:val="32"/>
          <w:szCs w:val="32"/>
          <w:lang w:val="en-US" w:eastAsia="zh-CN"/>
        </w:rPr>
        <w:t>10.</w:t>
      </w:r>
      <w:r>
        <w:rPr>
          <w:rFonts w:hint="default" w:ascii="Times New Roman" w:hAnsi="Times New Roman" w:eastAsia="仿宋_GB2312" w:cs="Times New Roman"/>
          <w:i w:val="0"/>
          <w:caps w:val="0"/>
          <w:color w:val="auto"/>
          <w:spacing w:val="0"/>
          <w:sz w:val="32"/>
          <w:szCs w:val="32"/>
        </w:rPr>
        <w:t>贯彻执行国家、省企业职工工资收入分配、支付、保障和调控政策，指导和监督国有企业工资总额管理和国有企业负责人工资收入分配。贯彻落实事业单位人员工资收入分配政策，建立企事业单位人员工资决定、正常增长和支付保障机制，贯彻落实企事业单位人员福利和退休政策。</w:t>
      </w:r>
      <w:r>
        <w:rPr>
          <w:rFonts w:hint="default" w:ascii="Times New Roman" w:hAnsi="Times New Roman" w:eastAsia="仿宋_GB2312" w:cs="Times New Roman"/>
          <w:i w:val="0"/>
          <w:caps w:val="0"/>
          <w:color w:val="auto"/>
          <w:spacing w:val="0"/>
          <w:sz w:val="32"/>
          <w:szCs w:val="32"/>
          <w:lang w:val="en-US" w:eastAsia="zh-CN"/>
        </w:rPr>
        <w:t>11.</w:t>
      </w:r>
      <w:r>
        <w:rPr>
          <w:rFonts w:hint="default" w:ascii="Times New Roman" w:hAnsi="Times New Roman" w:eastAsia="仿宋_GB2312" w:cs="Times New Roman"/>
          <w:i w:val="0"/>
          <w:caps w:val="0"/>
          <w:color w:val="auto"/>
          <w:spacing w:val="0"/>
          <w:sz w:val="32"/>
          <w:szCs w:val="32"/>
        </w:rPr>
        <w:t>会同有关部门拟订劳务开发及农民工工作综合性政策和规划并推动相关政策的落实，协调解决重点难点问题，维护农民工合法权益。负责将安全生产纳入农民工技能培训内容。</w:t>
      </w:r>
      <w:r>
        <w:rPr>
          <w:rFonts w:hint="default" w:ascii="Times New Roman" w:hAnsi="Times New Roman" w:eastAsia="仿宋_GB2312" w:cs="Times New Roman"/>
          <w:i w:val="0"/>
          <w:caps w:val="0"/>
          <w:color w:val="auto"/>
          <w:spacing w:val="0"/>
          <w:sz w:val="32"/>
          <w:szCs w:val="32"/>
          <w:lang w:val="en-US" w:eastAsia="zh-CN"/>
        </w:rPr>
        <w:t>12.</w:t>
      </w:r>
      <w:r>
        <w:rPr>
          <w:rFonts w:hint="default" w:ascii="Times New Roman" w:hAnsi="Times New Roman" w:eastAsia="仿宋_GB2312" w:cs="Times New Roman"/>
          <w:i w:val="0"/>
          <w:caps w:val="0"/>
          <w:color w:val="auto"/>
          <w:spacing w:val="0"/>
          <w:sz w:val="32"/>
          <w:szCs w:val="32"/>
        </w:rPr>
        <w:t>受理人力资源和社会保障方面的信访事项，会同有关部门协调处理重大信访事件或突发事件。</w:t>
      </w:r>
      <w:r>
        <w:rPr>
          <w:rFonts w:hint="default" w:ascii="Times New Roman" w:hAnsi="Times New Roman" w:eastAsia="仿宋_GB2312" w:cs="Times New Roman"/>
          <w:i w:val="0"/>
          <w:caps w:val="0"/>
          <w:color w:val="auto"/>
          <w:spacing w:val="0"/>
          <w:sz w:val="32"/>
          <w:szCs w:val="32"/>
          <w:lang w:val="en-US" w:eastAsia="zh-CN"/>
        </w:rPr>
        <w:t>13.</w:t>
      </w:r>
      <w:r>
        <w:rPr>
          <w:rFonts w:hint="default" w:ascii="Times New Roman" w:hAnsi="Times New Roman" w:eastAsia="仿宋_GB2312" w:cs="Times New Roman"/>
          <w:i w:val="0"/>
          <w:caps w:val="0"/>
          <w:color w:val="auto"/>
          <w:spacing w:val="0"/>
          <w:sz w:val="32"/>
          <w:szCs w:val="32"/>
        </w:rPr>
        <w:t>负责市人力资源社会保障领域的对外交流与合作工作。</w:t>
      </w:r>
      <w:r>
        <w:rPr>
          <w:rFonts w:hint="default" w:ascii="Times New Roman" w:hAnsi="Times New Roman" w:eastAsia="仿宋_GB2312" w:cs="Times New Roman"/>
          <w:i w:val="0"/>
          <w:caps w:val="0"/>
          <w:color w:val="auto"/>
          <w:spacing w:val="0"/>
          <w:sz w:val="32"/>
          <w:szCs w:val="32"/>
          <w:lang w:val="en-US" w:eastAsia="zh-CN"/>
        </w:rPr>
        <w:t>14.</w:t>
      </w:r>
      <w:r>
        <w:rPr>
          <w:rFonts w:hint="default" w:ascii="Times New Roman" w:hAnsi="Times New Roman" w:eastAsia="仿宋_GB2312" w:cs="Times New Roman"/>
          <w:i w:val="0"/>
          <w:caps w:val="0"/>
          <w:color w:val="auto"/>
          <w:spacing w:val="0"/>
          <w:sz w:val="32"/>
          <w:szCs w:val="32"/>
        </w:rPr>
        <w:t>承担职责范围内的安全生产和职业健康、生态环境保护、审批服务便民化等工作。</w:t>
      </w:r>
      <w:r>
        <w:rPr>
          <w:rFonts w:hint="default" w:ascii="Times New Roman" w:hAnsi="Times New Roman" w:eastAsia="仿宋_GB2312" w:cs="Times New Roman"/>
          <w:i w:val="0"/>
          <w:caps w:val="0"/>
          <w:color w:val="auto"/>
          <w:spacing w:val="0"/>
          <w:sz w:val="32"/>
          <w:szCs w:val="32"/>
          <w:lang w:val="en-US" w:eastAsia="zh-CN"/>
        </w:rPr>
        <w:t>15.</w:t>
      </w:r>
      <w:r>
        <w:rPr>
          <w:rFonts w:hint="default" w:ascii="Times New Roman" w:hAnsi="Times New Roman" w:eastAsia="仿宋_GB2312" w:cs="Times New Roman"/>
          <w:i w:val="0"/>
          <w:caps w:val="0"/>
          <w:color w:val="auto"/>
          <w:spacing w:val="0"/>
          <w:sz w:val="32"/>
          <w:szCs w:val="32"/>
        </w:rPr>
        <w:t>完成市委、市政府交办的其他任务。</w:t>
      </w:r>
      <w:r>
        <w:rPr>
          <w:rFonts w:hint="default" w:ascii="Times New Roman" w:hAnsi="Times New Roman" w:eastAsia="仿宋_GB2312" w:cs="Times New Roman"/>
          <w:i w:val="0"/>
          <w:caps w:val="0"/>
          <w:color w:val="auto"/>
          <w:spacing w:val="0"/>
          <w:sz w:val="32"/>
          <w:szCs w:val="32"/>
          <w:lang w:val="en-US" w:eastAsia="zh-CN"/>
        </w:rPr>
        <w:t>16.</w:t>
      </w:r>
      <w:r>
        <w:rPr>
          <w:rFonts w:hint="default" w:ascii="Times New Roman" w:hAnsi="Times New Roman" w:eastAsia="仿宋_GB2312" w:cs="Times New Roman"/>
          <w:i w:val="0"/>
          <w:caps w:val="0"/>
          <w:color w:val="auto"/>
          <w:spacing w:val="0"/>
          <w:sz w:val="32"/>
          <w:szCs w:val="32"/>
        </w:rPr>
        <w:t>职能转变。深入推进简政放权、放管结合、优化服务改革，进一步减少行政审批事项，规范和优化对外办理事项，减少职业资格许可和认定等事项，实行职业资格目录清单管理，加强事中事后监管，创新就业和社会保障等公共服务方式，加强信息共享，提高公共服务水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outlineLvl w:val="1"/>
        <w:rPr>
          <w:rFonts w:hint="default" w:ascii="Times New Roman" w:hAnsi="Times New Roman" w:eastAsia="黑体" w:cs="Times New Roman"/>
          <w:b w:val="0"/>
          <w:bCs w:val="0"/>
          <w:i w:val="0"/>
          <w:caps w:val="0"/>
          <w:color w:val="auto"/>
          <w:spacing w:val="0"/>
          <w:sz w:val="32"/>
          <w:szCs w:val="32"/>
          <w:lang w:eastAsia="zh-CN"/>
        </w:rPr>
      </w:pPr>
      <w:bookmarkStart w:id="7" w:name="_Toc20135"/>
      <w:r>
        <w:rPr>
          <w:rFonts w:hint="default" w:ascii="Times New Roman" w:hAnsi="Times New Roman" w:eastAsia="黑体" w:cs="Times New Roman"/>
          <w:b w:val="0"/>
          <w:bCs w:val="0"/>
          <w:i w:val="0"/>
          <w:caps w:val="0"/>
          <w:color w:val="auto"/>
          <w:spacing w:val="0"/>
          <w:sz w:val="32"/>
          <w:szCs w:val="32"/>
          <w:lang w:eastAsia="zh-CN"/>
        </w:rPr>
        <w:t>二、机构设置</w:t>
      </w:r>
      <w:bookmarkEnd w:id="7"/>
    </w:p>
    <w:p>
      <w:pPr>
        <w:pStyle w:val="7"/>
        <w:adjustRightInd w:val="0"/>
        <w:spacing w:before="0" w:beforeLines="0" w:line="360"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highlight w:val="none"/>
        </w:rPr>
        <w:t>攀枝花市人力资源和社会保障局（本级）</w:t>
      </w:r>
      <w:r>
        <w:rPr>
          <w:rFonts w:hint="default" w:ascii="Times New Roman" w:hAnsi="Times New Roman" w:cs="Times New Roman"/>
          <w:color w:val="auto"/>
          <w:sz w:val="32"/>
          <w:szCs w:val="32"/>
          <w:lang w:val="en-US" w:eastAsia="zh-CN"/>
        </w:rPr>
        <w:t>含市人力资源社会保障局机关和</w:t>
      </w:r>
      <w:r>
        <w:rPr>
          <w:rFonts w:hint="default" w:ascii="Times New Roman" w:hAnsi="Times New Roman" w:eastAsia="仿宋_GB2312" w:cs="Times New Roman"/>
          <w:color w:val="auto"/>
          <w:sz w:val="32"/>
          <w:szCs w:val="32"/>
        </w:rPr>
        <w:t>下属非独立核算单位，其中行政单位</w:t>
      </w:r>
      <w:r>
        <w:rPr>
          <w:rFonts w:hint="default" w:ascii="Times New Roman" w:hAnsi="Times New Roman" w:cs="Times New Roman"/>
          <w:color w:val="auto"/>
          <w:sz w:val="32"/>
          <w:szCs w:val="32"/>
          <w:lang w:val="en-US" w:eastAsia="zh-CN"/>
        </w:rPr>
        <w:t>1</w:t>
      </w:r>
      <w:r>
        <w:rPr>
          <w:rFonts w:hint="default" w:ascii="Times New Roman" w:hAnsi="Times New Roman" w:eastAsia="仿宋_GB2312" w:cs="Times New Roman"/>
          <w:color w:val="auto"/>
          <w:sz w:val="32"/>
          <w:szCs w:val="32"/>
        </w:rPr>
        <w:t>个，参照公务员法管理的事业单位0个，其他事业单位1个。主要包括：市人力资源社会保障局</w:t>
      </w:r>
      <w:r>
        <w:rPr>
          <w:rFonts w:hint="default" w:ascii="Times New Roman" w:hAnsi="Times New Roman" w:cs="Times New Roman"/>
          <w:color w:val="auto"/>
          <w:sz w:val="32"/>
          <w:szCs w:val="32"/>
          <w:lang w:eastAsia="zh-CN"/>
        </w:rPr>
        <w:t>机关、</w:t>
      </w:r>
      <w:r>
        <w:rPr>
          <w:rFonts w:hint="default" w:ascii="Times New Roman" w:hAnsi="Times New Roman" w:eastAsia="仿宋_GB2312" w:cs="Times New Roman"/>
          <w:color w:val="auto"/>
          <w:sz w:val="32"/>
          <w:szCs w:val="32"/>
        </w:rPr>
        <w:t>市职业技能鉴定和培训指导中心。</w:t>
      </w:r>
    </w:p>
    <w:p>
      <w:pPr>
        <w:pStyle w:val="7"/>
        <w:numPr>
          <w:ilvl w:val="0"/>
          <w:numId w:val="0"/>
        </w:numPr>
        <w:adjustRightInd w:val="0"/>
        <w:snapToGrid w:val="0"/>
        <w:spacing w:before="93" w:line="600" w:lineRule="exact"/>
        <w:ind w:left="672" w:leftChars="0"/>
        <w:outlineLvl w:val="9"/>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384"/>
        </w:tabs>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eastAsia="zh-CN"/>
        </w:rPr>
        <w:tab/>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outlineLvl w:val="0"/>
        <w:rPr>
          <w:rFonts w:hint="default" w:ascii="Times New Roman" w:hAnsi="Times New Roman" w:eastAsia="黑体" w:cs="Times New Roman"/>
          <w:color w:val="auto"/>
          <w:sz w:val="44"/>
          <w:szCs w:val="44"/>
        </w:rPr>
      </w:pPr>
      <w:bookmarkStart w:id="8" w:name="_Toc23623"/>
      <w:bookmarkStart w:id="9" w:name="_Toc1628_WPSOffice_Level1"/>
      <w:r>
        <w:rPr>
          <w:rFonts w:hint="default" w:ascii="Times New Roman" w:hAnsi="Times New Roman" w:eastAsia="黑体" w:cs="Times New Roman"/>
          <w:i w:val="0"/>
          <w:caps w:val="0"/>
          <w:color w:val="auto"/>
          <w:spacing w:val="0"/>
          <w:sz w:val="44"/>
          <w:szCs w:val="44"/>
        </w:rPr>
        <w:t>第二部分 202</w:t>
      </w:r>
      <w:r>
        <w:rPr>
          <w:rFonts w:hint="eastAsia" w:ascii="Times New Roman" w:hAnsi="Times New Roman" w:eastAsia="黑体" w:cs="Times New Roman"/>
          <w:i w:val="0"/>
          <w:caps w:val="0"/>
          <w:color w:val="auto"/>
          <w:spacing w:val="0"/>
          <w:sz w:val="44"/>
          <w:szCs w:val="44"/>
          <w:lang w:val="en-US" w:eastAsia="zh-CN"/>
        </w:rPr>
        <w:t>5</w:t>
      </w:r>
      <w:r>
        <w:rPr>
          <w:rFonts w:hint="default" w:ascii="Times New Roman" w:hAnsi="Times New Roman" w:eastAsia="黑体" w:cs="Times New Roman"/>
          <w:i w:val="0"/>
          <w:caps w:val="0"/>
          <w:color w:val="auto"/>
          <w:spacing w:val="0"/>
          <w:sz w:val="44"/>
          <w:szCs w:val="44"/>
        </w:rPr>
        <w:t>年度单位决算情况说明</w:t>
      </w:r>
      <w:bookmarkEnd w:id="8"/>
      <w:bookmarkEnd w:id="9"/>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rPr>
        <w:t>　　</w:t>
      </w:r>
      <w:bookmarkStart w:id="10" w:name="_Toc18889_WPSOffice_Level2"/>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11" w:name="_Toc29899"/>
      <w:r>
        <w:rPr>
          <w:rFonts w:hint="default" w:ascii="Times New Roman" w:hAnsi="Times New Roman" w:eastAsia="黑体" w:cs="Times New Roman"/>
          <w:b w:val="0"/>
          <w:bCs w:val="0"/>
          <w:i w:val="0"/>
          <w:caps w:val="0"/>
          <w:color w:val="auto"/>
          <w:spacing w:val="0"/>
          <w:sz w:val="32"/>
          <w:szCs w:val="32"/>
        </w:rPr>
        <w:t>一、收入支出决算总体情况说明</w:t>
      </w:r>
      <w:bookmarkEnd w:id="10"/>
      <w:bookmarkEnd w:id="11"/>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default" w:ascii="Times New Roman" w:hAnsi="Times New Roman" w:eastAsia="仿宋" w:cs="Times New Roman"/>
          <w:color w:val="auto"/>
          <w:sz w:val="32"/>
          <w:szCs w:val="32"/>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收</w:t>
      </w:r>
      <w:r>
        <w:rPr>
          <w:rFonts w:hint="default" w:ascii="Times New Roman" w:hAnsi="Times New Roman" w:eastAsia="仿宋_GB2312" w:cs="Times New Roman"/>
          <w:i w:val="0"/>
          <w:caps w:val="0"/>
          <w:color w:val="auto"/>
          <w:spacing w:val="0"/>
          <w:sz w:val="32"/>
          <w:szCs w:val="32"/>
          <w:lang w:eastAsia="zh-CN"/>
        </w:rPr>
        <w:t>入</w:t>
      </w:r>
      <w:r>
        <w:rPr>
          <w:rFonts w:hint="default" w:ascii="Times New Roman" w:hAnsi="Times New Roman" w:eastAsia="仿宋_GB2312" w:cs="Times New Roman"/>
          <w:i w:val="0"/>
          <w:caps w:val="0"/>
          <w:color w:val="auto"/>
          <w:spacing w:val="0"/>
          <w:sz w:val="32"/>
          <w:szCs w:val="32"/>
        </w:rPr>
        <w:t>、支</w:t>
      </w:r>
      <w:r>
        <w:rPr>
          <w:rFonts w:hint="default" w:ascii="Times New Roman" w:hAnsi="Times New Roman" w:eastAsia="仿宋_GB2312" w:cs="Times New Roman"/>
          <w:i w:val="0"/>
          <w:caps w:val="0"/>
          <w:color w:val="auto"/>
          <w:spacing w:val="0"/>
          <w:sz w:val="32"/>
          <w:szCs w:val="32"/>
          <w:lang w:eastAsia="zh-CN"/>
        </w:rPr>
        <w:t>出</w:t>
      </w:r>
      <w:r>
        <w:rPr>
          <w:rFonts w:hint="default" w:ascii="Times New Roman" w:hAnsi="Times New Roman" w:eastAsia="仿宋_GB2312" w:cs="Times New Roman"/>
          <w:i w:val="0"/>
          <w:caps w:val="0"/>
          <w:color w:val="auto"/>
          <w:spacing w:val="0"/>
          <w:sz w:val="32"/>
          <w:szCs w:val="32"/>
        </w:rPr>
        <w:t>总计</w:t>
      </w:r>
      <w:r>
        <w:rPr>
          <w:rFonts w:hint="default" w:ascii="Times New Roman" w:hAnsi="Times New Roman" w:eastAsia="仿宋_GB2312" w:cs="Times New Roman"/>
          <w:i w:val="0"/>
          <w:caps w:val="0"/>
          <w:color w:val="auto"/>
          <w:spacing w:val="0"/>
          <w:sz w:val="32"/>
          <w:szCs w:val="32"/>
          <w:lang w:eastAsia="zh-CN"/>
        </w:rPr>
        <w:t>均为</w:t>
      </w:r>
      <w:r>
        <w:rPr>
          <w:rFonts w:hint="eastAsia" w:ascii="Times New Roman" w:hAnsi="Times New Roman" w:eastAsia="仿宋_GB2312" w:cs="Times New Roman"/>
          <w:i w:val="0"/>
          <w:caps w:val="0"/>
          <w:color w:val="auto"/>
          <w:spacing w:val="0"/>
          <w:sz w:val="32"/>
          <w:szCs w:val="32"/>
          <w:lang w:val="en-US" w:eastAsia="zh-CN"/>
        </w:rPr>
        <w:t>3939.71</w:t>
      </w:r>
      <w:r>
        <w:rPr>
          <w:rFonts w:hint="default" w:ascii="Times New Roman" w:hAnsi="Times New Roman" w:eastAsia="仿宋_GB2312" w:cs="Times New Roman"/>
          <w:i w:val="0"/>
          <w:caps w:val="0"/>
          <w:color w:val="auto"/>
          <w:spacing w:val="0"/>
          <w:sz w:val="32"/>
          <w:szCs w:val="32"/>
        </w:rPr>
        <w:t>万元。与</w:t>
      </w:r>
      <w:r>
        <w:rPr>
          <w:rFonts w:hint="eastAsia" w:ascii="Times New Roman" w:hAnsi="Times New Roman" w:eastAsia="仿宋_GB2312" w:cs="Times New Roman"/>
          <w:i w:val="0"/>
          <w:caps w:val="0"/>
          <w:color w:val="auto"/>
          <w:spacing w:val="0"/>
          <w:sz w:val="32"/>
          <w:szCs w:val="32"/>
          <w:lang w:eastAsia="zh-CN"/>
        </w:rPr>
        <w:t>上年度</w:t>
      </w:r>
      <w:r>
        <w:rPr>
          <w:rFonts w:hint="default" w:ascii="Times New Roman" w:hAnsi="Times New Roman" w:eastAsia="仿宋_GB2312" w:cs="Times New Roman"/>
          <w:i w:val="0"/>
          <w:caps w:val="0"/>
          <w:color w:val="auto"/>
          <w:spacing w:val="0"/>
          <w:sz w:val="32"/>
          <w:szCs w:val="32"/>
        </w:rPr>
        <w:t>相比，收</w:t>
      </w:r>
      <w:r>
        <w:rPr>
          <w:rFonts w:hint="default" w:ascii="Times New Roman" w:hAnsi="Times New Roman" w:eastAsia="仿宋_GB2312" w:cs="Times New Roman"/>
          <w:i w:val="0"/>
          <w:caps w:val="0"/>
          <w:color w:val="auto"/>
          <w:spacing w:val="0"/>
          <w:sz w:val="32"/>
          <w:szCs w:val="32"/>
          <w:lang w:eastAsia="zh-CN"/>
        </w:rPr>
        <w:t>入</w:t>
      </w:r>
      <w:r>
        <w:rPr>
          <w:rFonts w:hint="default" w:ascii="Times New Roman" w:hAnsi="Times New Roman" w:eastAsia="仿宋_GB2312" w:cs="Times New Roman"/>
          <w:i w:val="0"/>
          <w:caps w:val="0"/>
          <w:color w:val="auto"/>
          <w:spacing w:val="0"/>
          <w:sz w:val="32"/>
          <w:szCs w:val="32"/>
        </w:rPr>
        <w:t>、支</w:t>
      </w:r>
      <w:r>
        <w:rPr>
          <w:rFonts w:hint="default" w:ascii="Times New Roman" w:hAnsi="Times New Roman" w:eastAsia="仿宋_GB2312" w:cs="Times New Roman"/>
          <w:i w:val="0"/>
          <w:caps w:val="0"/>
          <w:color w:val="auto"/>
          <w:spacing w:val="0"/>
          <w:sz w:val="32"/>
          <w:szCs w:val="32"/>
          <w:lang w:eastAsia="zh-CN"/>
        </w:rPr>
        <w:t>出</w:t>
      </w:r>
      <w:r>
        <w:rPr>
          <w:rFonts w:hint="default" w:ascii="Times New Roman" w:hAnsi="Times New Roman" w:eastAsia="仿宋_GB2312" w:cs="Times New Roman"/>
          <w:i w:val="0"/>
          <w:caps w:val="0"/>
          <w:color w:val="auto"/>
          <w:spacing w:val="0"/>
          <w:sz w:val="32"/>
          <w:szCs w:val="32"/>
        </w:rPr>
        <w:t>总计各</w:t>
      </w:r>
      <w:r>
        <w:rPr>
          <w:rFonts w:hint="eastAsia" w:ascii="Times New Roman" w:hAnsi="Times New Roman" w:eastAsia="仿宋_GB2312" w:cs="Times New Roman"/>
          <w:i w:val="0"/>
          <w:caps w:val="0"/>
          <w:color w:val="auto"/>
          <w:spacing w:val="0"/>
          <w:sz w:val="32"/>
          <w:szCs w:val="32"/>
          <w:lang w:eastAsia="zh-CN"/>
        </w:rPr>
        <w:t>减少</w:t>
      </w:r>
      <w:r>
        <w:rPr>
          <w:rFonts w:hint="eastAsia" w:ascii="Times New Roman" w:hAnsi="Times New Roman" w:eastAsia="仿宋_GB2312" w:cs="Times New Roman"/>
          <w:i w:val="0"/>
          <w:caps w:val="0"/>
          <w:color w:val="auto"/>
          <w:spacing w:val="0"/>
          <w:sz w:val="32"/>
          <w:szCs w:val="32"/>
          <w:lang w:val="en-US" w:eastAsia="zh-CN"/>
        </w:rPr>
        <w:t>619.91</w:t>
      </w:r>
      <w:r>
        <w:rPr>
          <w:rFonts w:hint="default" w:ascii="Times New Roman" w:hAnsi="Times New Roman" w:eastAsia="仿宋_GB2312" w:cs="Times New Roman"/>
          <w:i w:val="0"/>
          <w:caps w:val="0"/>
          <w:color w:val="auto"/>
          <w:spacing w:val="0"/>
          <w:sz w:val="32"/>
          <w:szCs w:val="32"/>
        </w:rPr>
        <w:t>万元，</w:t>
      </w:r>
      <w:r>
        <w:rPr>
          <w:rFonts w:hint="eastAsia" w:ascii="Times New Roman" w:hAnsi="Times New Roman" w:eastAsia="仿宋_GB2312" w:cs="Times New Roman"/>
          <w:i w:val="0"/>
          <w:caps w:val="0"/>
          <w:color w:val="auto"/>
          <w:spacing w:val="0"/>
          <w:sz w:val="32"/>
          <w:szCs w:val="32"/>
          <w:lang w:eastAsia="zh-CN"/>
        </w:rPr>
        <w:t>下降</w:t>
      </w:r>
      <w:r>
        <w:rPr>
          <w:rFonts w:hint="eastAsia" w:ascii="Times New Roman" w:hAnsi="Times New Roman" w:eastAsia="仿宋_GB2312" w:cs="Times New Roman"/>
          <w:i w:val="0"/>
          <w:caps w:val="0"/>
          <w:color w:val="auto"/>
          <w:spacing w:val="0"/>
          <w:sz w:val="32"/>
          <w:szCs w:val="32"/>
          <w:lang w:val="en-US" w:eastAsia="zh-CN"/>
        </w:rPr>
        <w:t>13.6</w:t>
      </w:r>
      <w:r>
        <w:rPr>
          <w:rFonts w:hint="default" w:ascii="Times New Roman" w:hAnsi="Times New Roman" w:eastAsia="仿宋_GB2312" w:cs="Times New Roman"/>
          <w:i w:val="0"/>
          <w:caps w:val="0"/>
          <w:color w:val="auto"/>
          <w:spacing w:val="0"/>
          <w:sz w:val="32"/>
          <w:szCs w:val="32"/>
        </w:rPr>
        <w:t>%。主要变动原因是</w:t>
      </w:r>
      <w:r>
        <w:rPr>
          <w:rFonts w:hint="eastAsia" w:ascii="方正仿宋_GBK" w:hAnsi="方正仿宋_GBK" w:eastAsia="方正仿宋_GBK" w:cs="方正仿宋_GBK"/>
          <w:bCs/>
          <w:color w:val="000000"/>
          <w:sz w:val="32"/>
          <w:szCs w:val="32"/>
          <w:highlight w:val="none"/>
          <w:lang w:eastAsia="zh-CN"/>
        </w:rPr>
        <w:t>厉行节约，勤俭办一切事业。</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drawing>
          <wp:inline distT="0" distB="0" distL="114300" distR="114300">
            <wp:extent cx="4378325" cy="2864485"/>
            <wp:effectExtent l="4445" t="4445" r="17780" b="762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hint="default" w:ascii="Times New Roman" w:hAnsi="Times New Roman" w:eastAsia="微软雅黑" w:cs="Times New Roman"/>
          <w:i w:val="0"/>
          <w:caps w:val="0"/>
          <w:color w:val="auto"/>
          <w:spacing w:val="0"/>
          <w:sz w:val="27"/>
          <w:szCs w:val="27"/>
        </w:rPr>
        <w:br w:type="textWrapping"/>
      </w:r>
      <w:r>
        <w:rPr>
          <w:rFonts w:hint="default" w:ascii="Times New Roman" w:hAnsi="Times New Roman" w:eastAsia="微软雅黑" w:cs="Times New Roman"/>
          <w:i w:val="0"/>
          <w:caps w:val="0"/>
          <w:color w:val="auto"/>
          <w:spacing w:val="0"/>
          <w:sz w:val="27"/>
          <w:szCs w:val="27"/>
        </w:rPr>
        <w:t>（图1：收</w:t>
      </w:r>
      <w:r>
        <w:rPr>
          <w:rFonts w:hint="eastAsia" w:ascii="Times New Roman" w:hAnsi="Times New Roman" w:eastAsia="微软雅黑" w:cs="Times New Roman"/>
          <w:i w:val="0"/>
          <w:caps w:val="0"/>
          <w:color w:val="auto"/>
          <w:spacing w:val="0"/>
          <w:sz w:val="27"/>
          <w:szCs w:val="27"/>
          <w:lang w:eastAsia="zh-CN"/>
        </w:rPr>
        <w:t>入</w:t>
      </w:r>
      <w:r>
        <w:rPr>
          <w:rFonts w:hint="default" w:ascii="Times New Roman" w:hAnsi="Times New Roman" w:eastAsia="微软雅黑" w:cs="Times New Roman"/>
          <w:i w:val="0"/>
          <w:caps w:val="0"/>
          <w:color w:val="auto"/>
          <w:spacing w:val="0"/>
          <w:sz w:val="27"/>
          <w:szCs w:val="27"/>
        </w:rPr>
        <w:t>、支</w:t>
      </w:r>
      <w:r>
        <w:rPr>
          <w:rFonts w:hint="eastAsia" w:ascii="Times New Roman" w:hAnsi="Times New Roman" w:eastAsia="微软雅黑" w:cs="Times New Roman"/>
          <w:i w:val="0"/>
          <w:caps w:val="0"/>
          <w:color w:val="auto"/>
          <w:spacing w:val="0"/>
          <w:sz w:val="27"/>
          <w:szCs w:val="27"/>
          <w:lang w:eastAsia="zh-CN"/>
        </w:rPr>
        <w:t>出</w:t>
      </w:r>
      <w:r>
        <w:rPr>
          <w:rFonts w:hint="default" w:ascii="Times New Roman" w:hAnsi="Times New Roman" w:eastAsia="微软雅黑" w:cs="Times New Roman"/>
          <w:i w:val="0"/>
          <w:caps w:val="0"/>
          <w:color w:val="auto"/>
          <w:spacing w:val="0"/>
          <w:sz w:val="27"/>
          <w:szCs w:val="27"/>
        </w:rPr>
        <w:t>决算总计变动情况图）</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outlineLvl w:val="1"/>
        <w:rPr>
          <w:rFonts w:hint="default" w:ascii="Times New Roman" w:hAnsi="Times New Roman" w:eastAsia="黑体" w:cs="Times New Roman"/>
          <w:b/>
          <w:bCs/>
          <w:color w:val="auto"/>
          <w:sz w:val="32"/>
          <w:szCs w:val="32"/>
        </w:rPr>
      </w:pPr>
      <w:bookmarkStart w:id="12" w:name="_Toc29889_WPSOffice_Level2"/>
      <w:bookmarkStart w:id="13" w:name="_Toc1032"/>
      <w:r>
        <w:rPr>
          <w:rFonts w:hint="default" w:ascii="Times New Roman" w:hAnsi="Times New Roman" w:eastAsia="黑体" w:cs="Times New Roman"/>
          <w:b/>
          <w:bCs/>
          <w:i w:val="0"/>
          <w:caps w:val="0"/>
          <w:color w:val="auto"/>
          <w:spacing w:val="0"/>
          <w:sz w:val="32"/>
          <w:szCs w:val="32"/>
        </w:rPr>
        <w:t>二、收入决算情况说明</w:t>
      </w:r>
      <w:bookmarkEnd w:id="12"/>
      <w:bookmarkEnd w:id="13"/>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本年收入合计</w:t>
      </w:r>
      <w:r>
        <w:rPr>
          <w:rFonts w:hint="eastAsia" w:ascii="Times New Roman" w:hAnsi="Times New Roman" w:eastAsia="仿宋_GB2312" w:cs="Times New Roman"/>
          <w:i w:val="0"/>
          <w:caps w:val="0"/>
          <w:color w:val="auto"/>
          <w:spacing w:val="0"/>
          <w:sz w:val="32"/>
          <w:szCs w:val="32"/>
          <w:lang w:val="en-US" w:eastAsia="zh-CN"/>
        </w:rPr>
        <w:t>3939.71</w:t>
      </w:r>
      <w:r>
        <w:rPr>
          <w:rFonts w:hint="default" w:ascii="Times New Roman" w:hAnsi="Times New Roman" w:eastAsia="仿宋_GB2312" w:cs="Times New Roman"/>
          <w:i w:val="0"/>
          <w:caps w:val="0"/>
          <w:color w:val="auto"/>
          <w:spacing w:val="0"/>
          <w:sz w:val="32"/>
          <w:szCs w:val="32"/>
        </w:rPr>
        <w:t>万元，其中：一般公共预算财政拨款收入</w:t>
      </w:r>
      <w:r>
        <w:rPr>
          <w:rFonts w:hint="eastAsia" w:ascii="Times New Roman" w:hAnsi="Times New Roman" w:eastAsia="仿宋_GB2312" w:cs="Times New Roman"/>
          <w:i w:val="0"/>
          <w:caps w:val="0"/>
          <w:color w:val="auto"/>
          <w:spacing w:val="0"/>
          <w:sz w:val="32"/>
          <w:szCs w:val="32"/>
          <w:lang w:val="en-US" w:eastAsia="zh-CN"/>
        </w:rPr>
        <w:t>3936.11</w:t>
      </w:r>
      <w:r>
        <w:rPr>
          <w:rFonts w:hint="default" w:ascii="Times New Roman" w:hAnsi="Times New Roman" w:eastAsia="仿宋_GB2312" w:cs="Times New Roman"/>
          <w:i w:val="0"/>
          <w:caps w:val="0"/>
          <w:color w:val="auto"/>
          <w:spacing w:val="0"/>
          <w:sz w:val="32"/>
          <w:szCs w:val="32"/>
        </w:rPr>
        <w:t>万元，占</w:t>
      </w:r>
      <w:r>
        <w:rPr>
          <w:rFonts w:hint="eastAsia" w:ascii="Times New Roman" w:hAnsi="Times New Roman" w:eastAsia="仿宋_GB2312" w:cs="Times New Roman"/>
          <w:i w:val="0"/>
          <w:caps w:val="0"/>
          <w:color w:val="auto"/>
          <w:spacing w:val="0"/>
          <w:sz w:val="32"/>
          <w:szCs w:val="32"/>
          <w:lang w:val="en-US" w:eastAsia="zh-CN"/>
        </w:rPr>
        <w:t>99.9</w:t>
      </w:r>
      <w:r>
        <w:rPr>
          <w:rFonts w:hint="default" w:ascii="Times New Roman" w:hAnsi="Times New Roman" w:eastAsia="仿宋_GB2312" w:cs="Times New Roman"/>
          <w:i w:val="0"/>
          <w:caps w:val="0"/>
          <w:color w:val="auto"/>
          <w:spacing w:val="0"/>
          <w:sz w:val="32"/>
          <w:szCs w:val="32"/>
        </w:rPr>
        <w:t>%；政府性基金预算财政拨款收入</w:t>
      </w:r>
      <w:r>
        <w:rPr>
          <w:rFonts w:hint="eastAsia" w:ascii="Times New Roman" w:hAnsi="Times New Roman" w:eastAsia="仿宋_GB2312" w:cs="Times New Roman"/>
          <w:i w:val="0"/>
          <w:caps w:val="0"/>
          <w:color w:val="auto"/>
          <w:spacing w:val="0"/>
          <w:sz w:val="32"/>
          <w:szCs w:val="32"/>
          <w:lang w:val="en-US" w:eastAsia="zh-CN"/>
        </w:rPr>
        <w:t>3.6</w:t>
      </w:r>
      <w:r>
        <w:rPr>
          <w:rFonts w:hint="default" w:ascii="Times New Roman" w:hAnsi="Times New Roman" w:eastAsia="仿宋_GB2312" w:cs="Times New Roman"/>
          <w:i w:val="0"/>
          <w:caps w:val="0"/>
          <w:color w:val="auto"/>
          <w:spacing w:val="0"/>
          <w:sz w:val="32"/>
          <w:szCs w:val="32"/>
        </w:rPr>
        <w:t>万元</w:t>
      </w:r>
      <w:r>
        <w:rPr>
          <w:rFonts w:hint="default" w:ascii="Times New Roman" w:hAnsi="Times New Roman" w:eastAsia="仿宋_GB2312" w:cs="Times New Roman"/>
          <w:i w:val="0"/>
          <w:caps w:val="0"/>
          <w:color w:val="auto"/>
          <w:spacing w:val="0"/>
          <w:sz w:val="32"/>
          <w:szCs w:val="32"/>
          <w:lang w:eastAsia="zh-CN"/>
        </w:rPr>
        <w:t>，占</w:t>
      </w:r>
      <w:r>
        <w:rPr>
          <w:rFonts w:hint="eastAsia" w:ascii="Times New Roman" w:hAnsi="Times New Roman" w:eastAsia="仿宋_GB2312" w:cs="Times New Roman"/>
          <w:i w:val="0"/>
          <w:caps w:val="0"/>
          <w:color w:val="auto"/>
          <w:spacing w:val="0"/>
          <w:sz w:val="32"/>
          <w:szCs w:val="32"/>
          <w:lang w:val="en-US" w:eastAsia="zh-CN"/>
        </w:rPr>
        <w:t>0.1</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both"/>
        <w:textAlignment w:val="auto"/>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drawing>
          <wp:inline distT="0" distB="0" distL="114300" distR="114300">
            <wp:extent cx="4695190" cy="2968625"/>
            <wp:effectExtent l="4445" t="4445" r="5715" b="177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（图2：收入决算结构图）</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14" w:name="_Toc13606"/>
      <w:bookmarkStart w:id="15" w:name="_Toc5503_WPSOffice_Level2"/>
      <w:r>
        <w:rPr>
          <w:rFonts w:hint="default" w:ascii="Times New Roman" w:hAnsi="Times New Roman" w:eastAsia="黑体" w:cs="Times New Roman"/>
          <w:b w:val="0"/>
          <w:bCs w:val="0"/>
          <w:i w:val="0"/>
          <w:caps w:val="0"/>
          <w:color w:val="auto"/>
          <w:spacing w:val="0"/>
          <w:sz w:val="32"/>
          <w:szCs w:val="32"/>
        </w:rPr>
        <w:t>三、支出决算情况说明</w:t>
      </w:r>
      <w:bookmarkEnd w:id="14"/>
      <w:bookmarkEnd w:id="15"/>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宋体" w:cs="Times New Roman"/>
          <w:i w:val="0"/>
          <w:caps w:val="0"/>
          <w:color w:val="auto"/>
          <w:spacing w:val="0"/>
          <w:sz w:val="32"/>
          <w:szCs w:val="32"/>
        </w:rPr>
      </w:pPr>
      <w:r>
        <w:rPr>
          <w:rFonts w:hint="eastAsia" w:ascii="Times New Roman" w:hAnsi="Times New Roman" w:eastAsia="仿宋_GB2312"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lang w:eastAsia="zh-CN"/>
        </w:rPr>
        <w:t>本年支出合计</w:t>
      </w:r>
      <w:r>
        <w:rPr>
          <w:rFonts w:hint="eastAsia" w:ascii="Times New Roman" w:hAnsi="Times New Roman" w:eastAsia="仿宋_GB2312" w:cs="Times New Roman"/>
          <w:sz w:val="32"/>
          <w:szCs w:val="32"/>
          <w:lang w:val="en-US" w:eastAsia="zh-CN"/>
        </w:rPr>
        <w:t>3939.71</w:t>
      </w:r>
      <w:r>
        <w:rPr>
          <w:rFonts w:hint="default" w:ascii="Times New Roman" w:hAnsi="Times New Roman" w:eastAsia="仿宋_GB2312" w:cs="Times New Roman"/>
          <w:color w:val="auto"/>
          <w:sz w:val="32"/>
          <w:szCs w:val="32"/>
          <w:highlight w:val="none"/>
          <w:lang w:eastAsia="zh-CN"/>
        </w:rPr>
        <w:t>万元，其中：基本支出</w:t>
      </w:r>
      <w:r>
        <w:rPr>
          <w:rFonts w:hint="eastAsia" w:ascii="Times New Roman" w:hAnsi="Times New Roman" w:eastAsia="仿宋_GB2312" w:cs="Times New Roman"/>
          <w:sz w:val="32"/>
          <w:szCs w:val="32"/>
          <w:lang w:val="en-US" w:eastAsia="zh-CN"/>
        </w:rPr>
        <w:t>1520.28</w:t>
      </w:r>
      <w:r>
        <w:rPr>
          <w:rFonts w:hint="default"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sz w:val="32"/>
          <w:szCs w:val="32"/>
          <w:lang w:val="en-US" w:eastAsia="zh-CN"/>
        </w:rPr>
        <w:t>38.6</w:t>
      </w:r>
      <w:r>
        <w:rPr>
          <w:rFonts w:hint="default" w:ascii="Times New Roman" w:hAnsi="Times New Roman" w:eastAsia="仿宋_GB2312" w:cs="Times New Roman"/>
          <w:color w:val="auto"/>
          <w:sz w:val="32"/>
          <w:szCs w:val="32"/>
          <w:highlight w:val="none"/>
          <w:lang w:eastAsia="zh-CN"/>
        </w:rPr>
        <w:t>%；项目支出</w:t>
      </w:r>
      <w:r>
        <w:rPr>
          <w:rFonts w:hint="eastAsia" w:ascii="Times New Roman" w:hAnsi="Times New Roman" w:eastAsia="仿宋_GB2312" w:cs="Times New Roman"/>
          <w:sz w:val="32"/>
          <w:szCs w:val="32"/>
          <w:lang w:val="en-US" w:eastAsia="zh-CN"/>
        </w:rPr>
        <w:t>2419.43</w:t>
      </w:r>
      <w:r>
        <w:rPr>
          <w:rFonts w:hint="default"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sz w:val="32"/>
          <w:szCs w:val="32"/>
          <w:lang w:val="en-US" w:eastAsia="zh-CN"/>
        </w:rPr>
        <w:t>61.4</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宋体" w:cs="Times New Roman"/>
          <w:i w:val="0"/>
          <w:caps w:val="0"/>
          <w:color w:val="auto"/>
          <w:spacing w:val="0"/>
          <w:sz w:val="32"/>
          <w:szCs w:val="32"/>
          <w:lang w:eastAsia="zh-CN"/>
        </w:rPr>
      </w:pPr>
      <w:r>
        <w:rPr>
          <w:rFonts w:hint="default" w:ascii="Times New Roman" w:hAnsi="Times New Roman" w:eastAsia="宋体" w:cs="Times New Roman"/>
          <w:i w:val="0"/>
          <w:caps w:val="0"/>
          <w:color w:val="auto"/>
          <w:spacing w:val="0"/>
          <w:sz w:val="32"/>
          <w:szCs w:val="32"/>
          <w:lang w:eastAsia="zh-CN"/>
        </w:rPr>
        <w:drawing>
          <wp:inline distT="0" distB="0" distL="114300" distR="114300">
            <wp:extent cx="4607560" cy="2680970"/>
            <wp:effectExtent l="4445" t="5080" r="17145" b="1905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eastAsia="微软雅黑" w:cs="Times New Roman"/>
          <w:i w:val="0"/>
          <w:caps w:val="0"/>
          <w:color w:val="auto"/>
          <w:spacing w:val="0"/>
          <w:sz w:val="27"/>
          <w:szCs w:val="27"/>
        </w:rPr>
      </w:pPr>
      <w:r>
        <w:rPr>
          <w:rFonts w:hint="default" w:ascii="Times New Roman" w:hAnsi="Times New Roman" w:eastAsia="微软雅黑" w:cs="Times New Roman"/>
          <w:i w:val="0"/>
          <w:caps w:val="0"/>
          <w:color w:val="auto"/>
          <w:spacing w:val="0"/>
          <w:sz w:val="27"/>
          <w:szCs w:val="27"/>
        </w:rPr>
        <w:t>　　</w:t>
      </w:r>
      <w:r>
        <w:rPr>
          <w:rFonts w:hint="default" w:ascii="Times New Roman" w:hAnsi="Times New Roman" w:eastAsia="微软雅黑" w:cs="Times New Roman"/>
          <w:i w:val="0"/>
          <w:caps w:val="0"/>
          <w:color w:val="auto"/>
          <w:spacing w:val="0"/>
          <w:sz w:val="27"/>
          <w:szCs w:val="27"/>
          <w:lang w:eastAsia="zh-CN"/>
        </w:rPr>
        <w:t>（</w:t>
      </w:r>
      <w:r>
        <w:rPr>
          <w:rFonts w:hint="default" w:ascii="Times New Roman" w:hAnsi="Times New Roman" w:eastAsia="微软雅黑" w:cs="Times New Roman"/>
          <w:i w:val="0"/>
          <w:caps w:val="0"/>
          <w:color w:val="auto"/>
          <w:spacing w:val="0"/>
          <w:sz w:val="27"/>
          <w:szCs w:val="27"/>
        </w:rPr>
        <w:t>图3：支出决算结构图）　</w:t>
      </w:r>
      <w:bookmarkStart w:id="16" w:name="_Toc19522_WPSOffice_Level2"/>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17" w:name="_Toc2490"/>
      <w:r>
        <w:rPr>
          <w:rFonts w:hint="default" w:ascii="Times New Roman" w:hAnsi="Times New Roman" w:eastAsia="黑体" w:cs="Times New Roman"/>
          <w:b w:val="0"/>
          <w:bCs w:val="0"/>
          <w:i w:val="0"/>
          <w:caps w:val="0"/>
          <w:color w:val="auto"/>
          <w:spacing w:val="0"/>
          <w:sz w:val="32"/>
          <w:szCs w:val="32"/>
        </w:rPr>
        <w:t>四、财政拨款收入支出决算总体情况说明</w:t>
      </w:r>
      <w:bookmarkEnd w:id="16"/>
      <w:bookmarkEnd w:id="17"/>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default" w:ascii="Times New Roman" w:hAnsi="Times New Roman" w:eastAsia="仿宋" w:cs="Times New Roman"/>
          <w:color w:val="auto"/>
          <w:sz w:val="32"/>
          <w:szCs w:val="32"/>
        </w:rPr>
      </w:pPr>
      <w:r>
        <w:rPr>
          <w:rFonts w:hint="eastAsia"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财政拨款收入、支出总计均为</w:t>
      </w:r>
      <w:r>
        <w:rPr>
          <w:rFonts w:hint="eastAsia" w:ascii="Times New Roman" w:hAnsi="Times New Roman" w:eastAsia="仿宋_GB2312" w:cs="Times New Roman"/>
          <w:sz w:val="32"/>
          <w:szCs w:val="32"/>
          <w:lang w:val="en-US" w:eastAsia="zh-CN"/>
        </w:rPr>
        <w:t>3939.71</w:t>
      </w:r>
      <w:r>
        <w:rPr>
          <w:rFonts w:hint="default" w:ascii="Times New Roman" w:hAnsi="Times New Roman" w:eastAsia="仿宋_GB2312" w:cs="Times New Roman"/>
          <w:color w:val="auto"/>
          <w:kern w:val="2"/>
          <w:sz w:val="32"/>
          <w:szCs w:val="32"/>
          <w:highlight w:val="none"/>
          <w:lang w:val="en-US" w:eastAsia="zh-CN" w:bidi="ar-SA"/>
        </w:rPr>
        <w:t>万元。与</w:t>
      </w:r>
      <w:r>
        <w:rPr>
          <w:rFonts w:hint="eastAsia" w:ascii="Times New Roman" w:hAnsi="Times New Roman" w:eastAsia="仿宋_GB2312" w:cs="Times New Roman"/>
          <w:color w:val="auto"/>
          <w:kern w:val="2"/>
          <w:sz w:val="32"/>
          <w:szCs w:val="32"/>
          <w:highlight w:val="none"/>
          <w:lang w:val="en-US" w:eastAsia="zh-CN" w:bidi="ar-SA"/>
        </w:rPr>
        <w:t>上年度</w:t>
      </w:r>
      <w:r>
        <w:rPr>
          <w:rFonts w:hint="default" w:ascii="Times New Roman" w:hAnsi="Times New Roman" w:eastAsia="仿宋_GB2312" w:cs="Times New Roman"/>
          <w:color w:val="auto"/>
          <w:kern w:val="2"/>
          <w:sz w:val="32"/>
          <w:szCs w:val="32"/>
          <w:highlight w:val="none"/>
          <w:lang w:val="en-US" w:eastAsia="zh-CN" w:bidi="ar-SA"/>
        </w:rPr>
        <w:t>相比，财政拨款收入、支出总计</w:t>
      </w:r>
      <w:r>
        <w:rPr>
          <w:rFonts w:hint="default" w:ascii="Times New Roman" w:hAnsi="Times New Roman" w:eastAsia="仿宋_GB2312" w:cs="Times New Roman"/>
          <w:i w:val="0"/>
          <w:caps w:val="0"/>
          <w:color w:val="auto"/>
          <w:spacing w:val="0"/>
          <w:sz w:val="32"/>
          <w:szCs w:val="32"/>
        </w:rPr>
        <w:t>各</w:t>
      </w:r>
      <w:r>
        <w:rPr>
          <w:rFonts w:hint="eastAsia" w:ascii="Times New Roman" w:hAnsi="Times New Roman" w:eastAsia="仿宋_GB2312" w:cs="Times New Roman"/>
          <w:i w:val="0"/>
          <w:caps w:val="0"/>
          <w:color w:val="auto"/>
          <w:spacing w:val="0"/>
          <w:sz w:val="32"/>
          <w:szCs w:val="32"/>
          <w:lang w:eastAsia="zh-CN"/>
        </w:rPr>
        <w:t>减少</w:t>
      </w:r>
      <w:r>
        <w:rPr>
          <w:rFonts w:hint="eastAsia" w:ascii="Times New Roman" w:hAnsi="Times New Roman" w:eastAsia="仿宋_GB2312" w:cs="Times New Roman"/>
          <w:i w:val="0"/>
          <w:caps w:val="0"/>
          <w:color w:val="auto"/>
          <w:spacing w:val="0"/>
          <w:sz w:val="32"/>
          <w:szCs w:val="32"/>
          <w:lang w:val="en-US" w:eastAsia="zh-CN"/>
        </w:rPr>
        <w:t>619.91</w:t>
      </w:r>
      <w:r>
        <w:rPr>
          <w:rFonts w:hint="default" w:ascii="Times New Roman" w:hAnsi="Times New Roman" w:eastAsia="仿宋_GB2312" w:cs="Times New Roman"/>
          <w:i w:val="0"/>
          <w:caps w:val="0"/>
          <w:color w:val="auto"/>
          <w:spacing w:val="0"/>
          <w:sz w:val="32"/>
          <w:szCs w:val="32"/>
        </w:rPr>
        <w:t>万元，</w:t>
      </w:r>
      <w:r>
        <w:rPr>
          <w:rFonts w:hint="eastAsia" w:ascii="Times New Roman" w:hAnsi="Times New Roman" w:eastAsia="仿宋_GB2312" w:cs="Times New Roman"/>
          <w:i w:val="0"/>
          <w:caps w:val="0"/>
          <w:color w:val="auto"/>
          <w:spacing w:val="0"/>
          <w:sz w:val="32"/>
          <w:szCs w:val="32"/>
          <w:lang w:eastAsia="zh-CN"/>
        </w:rPr>
        <w:t>下降</w:t>
      </w:r>
      <w:r>
        <w:rPr>
          <w:rFonts w:hint="eastAsia" w:ascii="Times New Roman" w:hAnsi="Times New Roman" w:eastAsia="仿宋_GB2312" w:cs="Times New Roman"/>
          <w:i w:val="0"/>
          <w:caps w:val="0"/>
          <w:color w:val="auto"/>
          <w:spacing w:val="0"/>
          <w:sz w:val="32"/>
          <w:szCs w:val="32"/>
          <w:lang w:val="en-US" w:eastAsia="zh-CN"/>
        </w:rPr>
        <w:t>13.6</w:t>
      </w:r>
      <w:r>
        <w:rPr>
          <w:rFonts w:hint="default" w:ascii="Times New Roman" w:hAnsi="Times New Roman" w:eastAsia="仿宋_GB2312" w:cs="Times New Roman"/>
          <w:i w:val="0"/>
          <w:caps w:val="0"/>
          <w:color w:val="auto"/>
          <w:spacing w:val="0"/>
          <w:sz w:val="32"/>
          <w:szCs w:val="32"/>
        </w:rPr>
        <w:t>%。主要变动原因是</w:t>
      </w:r>
      <w:r>
        <w:rPr>
          <w:rFonts w:hint="eastAsia" w:ascii="方正仿宋_GBK" w:hAnsi="方正仿宋_GBK" w:eastAsia="方正仿宋_GBK" w:cs="方正仿宋_GBK"/>
          <w:bCs/>
          <w:color w:val="000000"/>
          <w:sz w:val="32"/>
          <w:szCs w:val="32"/>
          <w:highlight w:val="none"/>
          <w:lang w:eastAsia="zh-CN"/>
        </w:rPr>
        <w:t>厉行节约，勤俭办一切事业。</w:t>
      </w:r>
    </w:p>
    <w:p>
      <w:pPr>
        <w:pStyle w:val="2"/>
        <w:rPr>
          <w:rFonts w:hint="default"/>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宋体" w:cs="Times New Roman"/>
          <w:i w:val="0"/>
          <w:caps w:val="0"/>
          <w:color w:val="auto"/>
          <w:spacing w:val="0"/>
          <w:sz w:val="27"/>
          <w:szCs w:val="27"/>
        </w:rPr>
      </w:pPr>
      <w:r>
        <w:rPr>
          <w:rFonts w:hint="default" w:ascii="Times New Roman" w:hAnsi="Times New Roman" w:eastAsia="宋体" w:cs="Times New Roman"/>
          <w:i w:val="0"/>
          <w:caps w:val="0"/>
          <w:color w:val="auto"/>
          <w:spacing w:val="0"/>
          <w:sz w:val="27"/>
          <w:szCs w:val="27"/>
        </w:rPr>
        <w:drawing>
          <wp:inline distT="0" distB="0" distL="114300" distR="114300">
            <wp:extent cx="4533265" cy="2785745"/>
            <wp:effectExtent l="4445" t="4445" r="15240" b="1016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3" w:beforeLines="100" w:beforeAutospacing="0" w:after="313" w:afterLines="100" w:afterAutospacing="0" w:line="525" w:lineRule="atLeast"/>
        <w:ind w:left="0" w:right="0"/>
        <w:jc w:val="center"/>
        <w:textAlignment w:val="auto"/>
        <w:rPr>
          <w:rFonts w:hint="default" w:ascii="Times New Roman" w:hAnsi="Times New Roman" w:eastAsia="微软雅黑" w:cs="Times New Roman"/>
          <w:i w:val="0"/>
          <w:caps w:val="0"/>
          <w:color w:val="auto"/>
          <w:spacing w:val="0"/>
          <w:sz w:val="27"/>
          <w:szCs w:val="27"/>
        </w:rPr>
      </w:pPr>
      <w:r>
        <w:rPr>
          <w:rFonts w:hint="default" w:ascii="Times New Roman" w:hAnsi="Times New Roman" w:eastAsia="微软雅黑" w:cs="Times New Roman"/>
          <w:i w:val="0"/>
          <w:caps w:val="0"/>
          <w:color w:val="auto"/>
          <w:spacing w:val="0"/>
          <w:sz w:val="27"/>
          <w:szCs w:val="27"/>
        </w:rPr>
        <w:t>（图4：财政拨款收、支决算总计变动情况）</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18" w:name="_Toc1765"/>
      <w:bookmarkStart w:id="19" w:name="_Toc9013_WPSOffice_Level2"/>
      <w:r>
        <w:rPr>
          <w:rFonts w:hint="default" w:ascii="Times New Roman" w:hAnsi="Times New Roman" w:eastAsia="黑体" w:cs="Times New Roman"/>
          <w:b w:val="0"/>
          <w:bCs w:val="0"/>
          <w:i w:val="0"/>
          <w:caps w:val="0"/>
          <w:color w:val="auto"/>
          <w:spacing w:val="0"/>
          <w:sz w:val="32"/>
          <w:szCs w:val="32"/>
        </w:rPr>
        <w:t>五、一般公共预算财政拨款支出决算情况说明</w:t>
      </w:r>
      <w:bookmarkEnd w:id="18"/>
      <w:bookmarkEnd w:id="19"/>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（一）一般公共预算财政拨款支出决算总体情况</w:t>
      </w:r>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default" w:ascii="Times New Roman" w:hAnsi="Times New Roman" w:eastAsia="仿宋" w:cs="Times New Roman"/>
          <w:color w:val="auto"/>
          <w:sz w:val="32"/>
          <w:szCs w:val="32"/>
        </w:rPr>
      </w:pPr>
      <w:r>
        <w:rPr>
          <w:rFonts w:hint="eastAsia"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一般公共预算财政拨款支出</w:t>
      </w:r>
      <w:r>
        <w:rPr>
          <w:rFonts w:hint="eastAsia" w:ascii="Times New Roman" w:hAnsi="Times New Roman" w:eastAsia="仿宋_GB2312" w:cs="Times New Roman"/>
          <w:sz w:val="32"/>
          <w:szCs w:val="32"/>
          <w:lang w:val="en-US" w:eastAsia="zh-CN"/>
        </w:rPr>
        <w:t>3936.11万</w:t>
      </w:r>
      <w:r>
        <w:rPr>
          <w:rFonts w:hint="default" w:ascii="Times New Roman" w:hAnsi="Times New Roman" w:eastAsia="仿宋_GB2312" w:cs="Times New Roman"/>
          <w:color w:val="auto"/>
          <w:kern w:val="2"/>
          <w:sz w:val="32"/>
          <w:szCs w:val="32"/>
          <w:highlight w:val="none"/>
          <w:lang w:val="en-US" w:eastAsia="zh-CN" w:bidi="ar-SA"/>
        </w:rPr>
        <w:t>元，占本年支出合计的</w:t>
      </w:r>
      <w:r>
        <w:rPr>
          <w:rFonts w:hint="eastAsia" w:ascii="Times New Roman" w:hAnsi="Times New Roman" w:eastAsia="仿宋_GB2312" w:cs="Times New Roman"/>
          <w:sz w:val="32"/>
          <w:szCs w:val="32"/>
          <w:lang w:val="en-US" w:eastAsia="zh-CN"/>
        </w:rPr>
        <w:t>99.9</w:t>
      </w:r>
      <w:r>
        <w:rPr>
          <w:rFonts w:hint="default" w:ascii="Times New Roman" w:hAnsi="Times New Roman" w:eastAsia="仿宋_GB2312" w:cs="Times New Roman"/>
          <w:color w:val="auto"/>
          <w:kern w:val="2"/>
          <w:sz w:val="32"/>
          <w:szCs w:val="32"/>
          <w:highlight w:val="none"/>
          <w:lang w:val="en-US" w:eastAsia="zh-CN" w:bidi="ar-SA"/>
        </w:rPr>
        <w:t>%。与</w:t>
      </w:r>
      <w:r>
        <w:rPr>
          <w:rFonts w:hint="eastAsia" w:ascii="Times New Roman" w:hAnsi="Times New Roman" w:eastAsia="仿宋_GB2312" w:cs="Times New Roman"/>
          <w:color w:val="auto"/>
          <w:kern w:val="2"/>
          <w:sz w:val="32"/>
          <w:szCs w:val="32"/>
          <w:highlight w:val="none"/>
          <w:lang w:val="en-US" w:eastAsia="zh-CN" w:bidi="ar-SA"/>
        </w:rPr>
        <w:t>上年度</w:t>
      </w:r>
      <w:r>
        <w:rPr>
          <w:rFonts w:hint="default" w:ascii="Times New Roman" w:hAnsi="Times New Roman" w:eastAsia="仿宋_GB2312" w:cs="Times New Roman"/>
          <w:color w:val="auto"/>
          <w:kern w:val="2"/>
          <w:sz w:val="32"/>
          <w:szCs w:val="32"/>
          <w:highlight w:val="none"/>
          <w:lang w:val="en-US" w:eastAsia="zh-CN" w:bidi="ar-SA"/>
        </w:rPr>
        <w:t>相比，</w:t>
      </w:r>
      <w:r>
        <w:rPr>
          <w:rFonts w:hint="default" w:ascii="Times New Roman" w:hAnsi="Times New Roman" w:eastAsia="仿宋_GB2312" w:cs="Times New Roman"/>
          <w:i w:val="0"/>
          <w:caps w:val="0"/>
          <w:color w:val="auto"/>
          <w:spacing w:val="0"/>
          <w:sz w:val="32"/>
          <w:szCs w:val="32"/>
        </w:rPr>
        <w:t>一般公共预算财政拨款支出</w:t>
      </w:r>
      <w:r>
        <w:rPr>
          <w:rFonts w:hint="eastAsia" w:ascii="Times New Roman" w:hAnsi="Times New Roman" w:eastAsia="仿宋_GB2312" w:cs="Times New Roman"/>
          <w:i w:val="0"/>
          <w:caps w:val="0"/>
          <w:color w:val="auto"/>
          <w:spacing w:val="0"/>
          <w:sz w:val="32"/>
          <w:szCs w:val="32"/>
          <w:lang w:eastAsia="zh-CN"/>
        </w:rPr>
        <w:t>减少</w:t>
      </w:r>
      <w:r>
        <w:rPr>
          <w:rFonts w:hint="eastAsia" w:ascii="Times New Roman" w:hAnsi="Times New Roman" w:eastAsia="仿宋_GB2312" w:cs="Times New Roman"/>
          <w:i w:val="0"/>
          <w:caps w:val="0"/>
          <w:color w:val="auto"/>
          <w:spacing w:val="0"/>
          <w:sz w:val="32"/>
          <w:szCs w:val="32"/>
          <w:lang w:val="en-US" w:eastAsia="zh-CN"/>
        </w:rPr>
        <w:t>523.51</w:t>
      </w:r>
      <w:r>
        <w:rPr>
          <w:rFonts w:hint="default" w:ascii="Times New Roman" w:hAnsi="Times New Roman" w:eastAsia="仿宋_GB2312" w:cs="Times New Roman"/>
          <w:i w:val="0"/>
          <w:caps w:val="0"/>
          <w:color w:val="auto"/>
          <w:spacing w:val="0"/>
          <w:sz w:val="32"/>
          <w:szCs w:val="32"/>
        </w:rPr>
        <w:t>万元，</w:t>
      </w:r>
      <w:r>
        <w:rPr>
          <w:rFonts w:hint="eastAsia" w:ascii="Times New Roman" w:hAnsi="Times New Roman" w:eastAsia="仿宋_GB2312" w:cs="Times New Roman"/>
          <w:i w:val="0"/>
          <w:caps w:val="0"/>
          <w:color w:val="auto"/>
          <w:spacing w:val="0"/>
          <w:sz w:val="32"/>
          <w:szCs w:val="32"/>
          <w:lang w:eastAsia="zh-CN"/>
        </w:rPr>
        <w:t>下降</w:t>
      </w:r>
      <w:r>
        <w:rPr>
          <w:rFonts w:hint="eastAsia" w:ascii="Times New Roman" w:hAnsi="Times New Roman" w:eastAsia="仿宋_GB2312" w:cs="Times New Roman"/>
          <w:i w:val="0"/>
          <w:caps w:val="0"/>
          <w:color w:val="auto"/>
          <w:spacing w:val="0"/>
          <w:sz w:val="32"/>
          <w:szCs w:val="32"/>
          <w:lang w:val="en-US" w:eastAsia="zh-CN"/>
        </w:rPr>
        <w:t>11.7</w:t>
      </w:r>
      <w:r>
        <w:rPr>
          <w:rFonts w:hint="default" w:ascii="Times New Roman" w:hAnsi="Times New Roman" w:eastAsia="仿宋_GB2312" w:cs="Times New Roman"/>
          <w:i w:val="0"/>
          <w:caps w:val="0"/>
          <w:color w:val="auto"/>
          <w:spacing w:val="0"/>
          <w:sz w:val="32"/>
          <w:szCs w:val="32"/>
        </w:rPr>
        <w:t>%。主要变动原因是</w:t>
      </w:r>
      <w:r>
        <w:rPr>
          <w:rFonts w:hint="eastAsia" w:ascii="方正仿宋_GBK" w:hAnsi="方正仿宋_GBK" w:eastAsia="方正仿宋_GBK" w:cs="方正仿宋_GBK"/>
          <w:bCs/>
          <w:color w:val="000000"/>
          <w:sz w:val="32"/>
          <w:szCs w:val="32"/>
          <w:highlight w:val="none"/>
          <w:lang w:eastAsia="zh-CN"/>
        </w:rPr>
        <w:t>厉行节约，勤俭办一切事业。</w:t>
      </w:r>
    </w:p>
    <w:p>
      <w:pPr>
        <w:keepNext w:val="0"/>
        <w:keepLines w:val="0"/>
        <w:pageBreakBefore w:val="0"/>
        <w:widowControl w:val="0"/>
        <w:kinsoku/>
        <w:wordWrap/>
        <w:overflowPunct/>
        <w:topLinePunct w:val="0"/>
        <w:autoSpaceDE/>
        <w:autoSpaceDN/>
        <w:bidi w:val="0"/>
        <w:adjustRightInd/>
        <w:spacing w:line="360" w:lineRule="auto"/>
        <w:ind w:firstLine="640" w:firstLineChars="200"/>
        <w:jc w:val="both"/>
        <w:textAlignment w:val="auto"/>
        <w:rPr>
          <w:rFonts w:hint="default" w:ascii="Times New Roman" w:hAnsi="Times New Roman" w:eastAsia="仿宋" w:cs="Times New Roman"/>
          <w:sz w:val="32"/>
          <w:szCs w:val="32"/>
          <w:lang w:eastAsia="zh-CN"/>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仿宋_GB2312" w:cs="Times New Roman"/>
          <w:bCs/>
          <w:color w:val="auto"/>
          <w:sz w:val="32"/>
          <w:szCs w:val="32"/>
          <w:lang w:eastAsia="zh-CN"/>
        </w:rPr>
      </w:pPr>
      <w:r>
        <w:rPr>
          <w:rFonts w:hint="default" w:ascii="Times New Roman" w:hAnsi="Times New Roman" w:eastAsia="仿宋_GB2312" w:cs="Times New Roman"/>
          <w:bCs/>
          <w:color w:val="auto"/>
          <w:sz w:val="32"/>
          <w:szCs w:val="32"/>
          <w:lang w:eastAsia="zh-CN"/>
        </w:rPr>
        <w:drawing>
          <wp:inline distT="0" distB="0" distL="114300" distR="114300">
            <wp:extent cx="4679315" cy="2221865"/>
            <wp:effectExtent l="4445" t="4445" r="21590" b="21590"/>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525" w:lineRule="atLeast"/>
        <w:ind w:left="0" w:right="0"/>
        <w:jc w:val="center"/>
        <w:textAlignment w:val="auto"/>
        <w:rPr>
          <w:rFonts w:hint="default" w:ascii="Times New Roman" w:hAnsi="Times New Roman" w:eastAsia="微软雅黑" w:cs="Times New Roman"/>
          <w:i w:val="0"/>
          <w:caps w:val="0"/>
          <w:color w:val="auto"/>
          <w:spacing w:val="0"/>
          <w:sz w:val="27"/>
          <w:szCs w:val="27"/>
        </w:rPr>
      </w:pPr>
      <w:r>
        <w:rPr>
          <w:rFonts w:hint="default" w:ascii="Times New Roman" w:hAnsi="Times New Roman" w:eastAsia="微软雅黑" w:cs="Times New Roman"/>
          <w:i w:val="0"/>
          <w:caps w:val="0"/>
          <w:color w:val="auto"/>
          <w:spacing w:val="0"/>
          <w:sz w:val="27"/>
          <w:szCs w:val="27"/>
        </w:rPr>
        <w:t>（图5：一般公共预算财政拨款支出决算变动情况）</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（二）一般公共预算财政拨款支出决算结构情况</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一般公共预算财政拨款支出</w:t>
      </w:r>
      <w:r>
        <w:rPr>
          <w:rFonts w:hint="eastAsia" w:ascii="Times New Roman" w:hAnsi="Times New Roman" w:eastAsia="仿宋_GB2312" w:cs="Times New Roman"/>
          <w:i w:val="0"/>
          <w:caps w:val="0"/>
          <w:color w:val="auto"/>
          <w:spacing w:val="0"/>
          <w:sz w:val="32"/>
          <w:szCs w:val="32"/>
          <w:lang w:val="en-US" w:eastAsia="zh-CN"/>
        </w:rPr>
        <w:t>3936.11</w:t>
      </w:r>
      <w:r>
        <w:rPr>
          <w:rFonts w:hint="default" w:ascii="Times New Roman" w:hAnsi="Times New Roman" w:eastAsia="仿宋_GB2312" w:cs="Times New Roman"/>
          <w:i w:val="0"/>
          <w:caps w:val="0"/>
          <w:color w:val="auto"/>
          <w:spacing w:val="0"/>
          <w:sz w:val="32"/>
          <w:szCs w:val="32"/>
        </w:rPr>
        <w:t>万元，主要用于以下方面:</w:t>
      </w:r>
      <w:r>
        <w:rPr>
          <w:rFonts w:hint="default" w:ascii="Times New Roman" w:hAnsi="Times New Roman" w:eastAsia="仿宋_GB2312" w:cs="Times New Roman"/>
          <w:i w:val="0"/>
          <w:caps w:val="0"/>
          <w:color w:val="auto"/>
          <w:spacing w:val="0"/>
          <w:sz w:val="32"/>
          <w:szCs w:val="32"/>
          <w:lang w:eastAsia="zh-CN"/>
        </w:rPr>
        <w:t>一般公共服务支出</w:t>
      </w:r>
      <w:r>
        <w:rPr>
          <w:rFonts w:hint="eastAsia" w:ascii="Times New Roman" w:hAnsi="Times New Roman" w:eastAsia="仿宋_GB2312" w:cs="Times New Roman"/>
          <w:i w:val="0"/>
          <w:caps w:val="0"/>
          <w:color w:val="auto"/>
          <w:spacing w:val="0"/>
          <w:sz w:val="32"/>
          <w:szCs w:val="32"/>
          <w:lang w:val="en-US" w:eastAsia="zh-CN"/>
        </w:rPr>
        <w:t>2.56</w:t>
      </w:r>
      <w:r>
        <w:rPr>
          <w:rFonts w:hint="default" w:ascii="Times New Roman" w:hAnsi="Times New Roman" w:eastAsia="仿宋_GB2312" w:cs="Times New Roman"/>
          <w:i w:val="0"/>
          <w:caps w:val="0"/>
          <w:color w:val="auto"/>
          <w:spacing w:val="0"/>
          <w:sz w:val="32"/>
          <w:szCs w:val="32"/>
          <w:lang w:val="en-US" w:eastAsia="zh-CN"/>
        </w:rPr>
        <w:t>万元，占0.</w:t>
      </w:r>
      <w:r>
        <w:rPr>
          <w:rFonts w:hint="eastAsia" w:ascii="Times New Roman" w:hAnsi="Times New Roman" w:eastAsia="仿宋_GB2312" w:cs="Times New Roman"/>
          <w:i w:val="0"/>
          <w:caps w:val="0"/>
          <w:color w:val="auto"/>
          <w:spacing w:val="0"/>
          <w:sz w:val="32"/>
          <w:szCs w:val="32"/>
          <w:lang w:val="en-US" w:eastAsia="zh-CN"/>
        </w:rPr>
        <w:t>1</w:t>
      </w:r>
      <w:r>
        <w:rPr>
          <w:rFonts w:hint="default" w:ascii="Times New Roman" w:hAnsi="Times New Roman" w:eastAsia="仿宋_GB2312" w:cs="Times New Roman"/>
          <w:i w:val="0"/>
          <w:caps w:val="0"/>
          <w:color w:val="auto"/>
          <w:spacing w:val="0"/>
          <w:sz w:val="32"/>
          <w:szCs w:val="32"/>
          <w:lang w:val="en-US" w:eastAsia="zh-CN"/>
        </w:rPr>
        <w:t>%；教育支出</w:t>
      </w:r>
      <w:r>
        <w:rPr>
          <w:rFonts w:hint="eastAsia" w:ascii="Times New Roman" w:hAnsi="Times New Roman" w:eastAsia="仿宋_GB2312" w:cs="Times New Roman"/>
          <w:i w:val="0"/>
          <w:caps w:val="0"/>
          <w:color w:val="auto"/>
          <w:spacing w:val="0"/>
          <w:sz w:val="32"/>
          <w:szCs w:val="32"/>
          <w:lang w:val="en-US" w:eastAsia="zh-CN"/>
        </w:rPr>
        <w:t>1267.58</w:t>
      </w:r>
      <w:r>
        <w:rPr>
          <w:rFonts w:hint="default" w:ascii="Times New Roman" w:hAnsi="Times New Roman" w:eastAsia="仿宋_GB2312" w:cs="Times New Roman"/>
          <w:i w:val="0"/>
          <w:caps w:val="0"/>
          <w:color w:val="auto"/>
          <w:spacing w:val="0"/>
          <w:sz w:val="32"/>
          <w:szCs w:val="32"/>
          <w:lang w:val="en-US" w:eastAsia="zh-CN"/>
        </w:rPr>
        <w:t>万元，占</w:t>
      </w:r>
      <w:r>
        <w:rPr>
          <w:rFonts w:hint="eastAsia" w:ascii="Times New Roman" w:hAnsi="Times New Roman" w:eastAsia="仿宋_GB2312" w:cs="Times New Roman"/>
          <w:i w:val="0"/>
          <w:caps w:val="0"/>
          <w:color w:val="auto"/>
          <w:spacing w:val="0"/>
          <w:sz w:val="32"/>
          <w:szCs w:val="32"/>
          <w:lang w:val="en-US" w:eastAsia="zh-CN"/>
        </w:rPr>
        <w:t>32.2</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w:t>
      </w:r>
      <w:r>
        <w:rPr>
          <w:rFonts w:hint="eastAsia" w:ascii="Times New Roman" w:hAnsi="Times New Roman" w:eastAsia="仿宋_GB2312" w:cs="Times New Roman"/>
          <w:i w:val="0"/>
          <w:caps w:val="0"/>
          <w:color w:val="auto"/>
          <w:spacing w:val="0"/>
          <w:sz w:val="32"/>
          <w:szCs w:val="32"/>
          <w:lang w:val="en-US" w:eastAsia="zh-CN"/>
        </w:rPr>
        <w:t>2417.78</w:t>
      </w:r>
      <w:r>
        <w:rPr>
          <w:rFonts w:hint="default" w:ascii="Times New Roman" w:hAnsi="Times New Roman" w:eastAsia="仿宋_GB2312" w:cs="Times New Roman"/>
          <w:i w:val="0"/>
          <w:caps w:val="0"/>
          <w:color w:val="auto"/>
          <w:spacing w:val="0"/>
          <w:sz w:val="32"/>
          <w:szCs w:val="32"/>
        </w:rPr>
        <w:t>万元，占</w:t>
      </w:r>
      <w:r>
        <w:rPr>
          <w:rFonts w:hint="eastAsia" w:ascii="Times New Roman" w:hAnsi="Times New Roman" w:eastAsia="仿宋_GB2312" w:cs="Times New Roman"/>
          <w:i w:val="0"/>
          <w:caps w:val="0"/>
          <w:color w:val="auto"/>
          <w:spacing w:val="0"/>
          <w:sz w:val="32"/>
          <w:szCs w:val="32"/>
          <w:lang w:val="en-US" w:eastAsia="zh-CN"/>
        </w:rPr>
        <w:t>61.4</w:t>
      </w:r>
      <w:r>
        <w:rPr>
          <w:rFonts w:hint="default" w:ascii="Times New Roman" w:hAnsi="Times New Roman" w:eastAsia="仿宋_GB2312" w:cs="Times New Roman"/>
          <w:i w:val="0"/>
          <w:caps w:val="0"/>
          <w:color w:val="auto"/>
          <w:spacing w:val="0"/>
          <w:sz w:val="32"/>
          <w:szCs w:val="32"/>
        </w:rPr>
        <w:t>%；</w:t>
      </w:r>
      <w:r>
        <w:rPr>
          <w:rFonts w:hint="default" w:ascii="Times New Roman" w:hAnsi="Times New Roman" w:eastAsia="仿宋_GB2312" w:cs="Times New Roman"/>
          <w:i w:val="0"/>
          <w:caps w:val="0"/>
          <w:color w:val="auto"/>
          <w:spacing w:val="0"/>
          <w:sz w:val="32"/>
          <w:szCs w:val="32"/>
          <w:lang w:eastAsia="zh-CN"/>
        </w:rPr>
        <w:t>卫生健康支出</w:t>
      </w:r>
      <w:r>
        <w:rPr>
          <w:rFonts w:hint="eastAsia" w:ascii="Times New Roman" w:hAnsi="Times New Roman" w:eastAsia="仿宋_GB2312" w:cs="Times New Roman"/>
          <w:i w:val="0"/>
          <w:caps w:val="0"/>
          <w:color w:val="auto"/>
          <w:spacing w:val="0"/>
          <w:sz w:val="32"/>
          <w:szCs w:val="32"/>
          <w:lang w:val="en-US" w:eastAsia="zh-CN"/>
        </w:rPr>
        <w:t>78.79</w:t>
      </w:r>
      <w:r>
        <w:rPr>
          <w:rFonts w:hint="default" w:ascii="Times New Roman" w:hAnsi="Times New Roman" w:eastAsia="仿宋_GB2312" w:cs="Times New Roman"/>
          <w:i w:val="0"/>
          <w:caps w:val="0"/>
          <w:color w:val="auto"/>
          <w:spacing w:val="0"/>
          <w:sz w:val="32"/>
          <w:szCs w:val="32"/>
          <w:lang w:val="en-US" w:eastAsia="zh-CN"/>
        </w:rPr>
        <w:t>万元，占</w:t>
      </w:r>
      <w:r>
        <w:rPr>
          <w:rFonts w:hint="eastAsia" w:ascii="Times New Roman" w:hAnsi="Times New Roman" w:eastAsia="仿宋_GB2312" w:cs="Times New Roman"/>
          <w:i w:val="0"/>
          <w:caps w:val="0"/>
          <w:color w:val="auto"/>
          <w:spacing w:val="0"/>
          <w:sz w:val="32"/>
          <w:szCs w:val="32"/>
          <w:lang w:val="en-US" w:eastAsia="zh-CN"/>
        </w:rPr>
        <w:t>2</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住房保障支出</w:t>
      </w:r>
      <w:r>
        <w:rPr>
          <w:rFonts w:hint="eastAsia" w:ascii="Times New Roman" w:hAnsi="Times New Roman" w:eastAsia="仿宋_GB2312" w:cs="Times New Roman"/>
          <w:i w:val="0"/>
          <w:caps w:val="0"/>
          <w:color w:val="auto"/>
          <w:spacing w:val="0"/>
          <w:sz w:val="32"/>
          <w:szCs w:val="32"/>
          <w:lang w:val="en-US" w:eastAsia="zh-CN"/>
        </w:rPr>
        <w:t>89.4</w:t>
      </w:r>
      <w:r>
        <w:rPr>
          <w:rFonts w:hint="default" w:ascii="Times New Roman" w:hAnsi="Times New Roman" w:eastAsia="仿宋_GB2312" w:cs="Times New Roman"/>
          <w:i w:val="0"/>
          <w:caps w:val="0"/>
          <w:color w:val="auto"/>
          <w:spacing w:val="0"/>
          <w:sz w:val="32"/>
          <w:szCs w:val="32"/>
        </w:rPr>
        <w:t>万元，占</w:t>
      </w:r>
      <w:r>
        <w:rPr>
          <w:rFonts w:hint="eastAsia" w:ascii="Times New Roman" w:hAnsi="Times New Roman" w:eastAsia="仿宋_GB2312" w:cs="Times New Roman"/>
          <w:i w:val="0"/>
          <w:caps w:val="0"/>
          <w:color w:val="auto"/>
          <w:spacing w:val="0"/>
          <w:sz w:val="32"/>
          <w:szCs w:val="32"/>
          <w:lang w:val="en-US" w:eastAsia="zh-CN"/>
        </w:rPr>
        <w:t>2.3</w:t>
      </w:r>
      <w:r>
        <w:rPr>
          <w:rFonts w:hint="default" w:ascii="Times New Roman" w:hAnsi="Times New Roman" w:eastAsia="仿宋_GB2312" w:cs="Times New Roman"/>
          <w:i w:val="0"/>
          <w:caps w:val="0"/>
          <w:color w:val="auto"/>
          <w:spacing w:val="0"/>
          <w:sz w:val="32"/>
          <w:szCs w:val="32"/>
        </w:rPr>
        <w:t>%</w:t>
      </w:r>
      <w:r>
        <w:rPr>
          <w:rFonts w:hint="eastAsia" w:ascii="Times New Roman" w:hAnsi="Times New Roman" w:eastAsia="仿宋_GB2312" w:cs="Times New Roman"/>
          <w:i w:val="0"/>
          <w:caps w:val="0"/>
          <w:color w:val="auto"/>
          <w:spacing w:val="0"/>
          <w:sz w:val="32"/>
          <w:szCs w:val="32"/>
          <w:lang w:eastAsia="zh-CN"/>
        </w:rPr>
        <w:t>；其他支出</w:t>
      </w:r>
      <w:r>
        <w:rPr>
          <w:rFonts w:hint="eastAsia" w:ascii="Times New Roman" w:hAnsi="Times New Roman" w:eastAsia="仿宋_GB2312" w:cs="Times New Roman"/>
          <w:i w:val="0"/>
          <w:caps w:val="0"/>
          <w:color w:val="auto"/>
          <w:spacing w:val="0"/>
          <w:sz w:val="32"/>
          <w:szCs w:val="32"/>
          <w:lang w:val="en-US" w:eastAsia="zh-CN"/>
        </w:rPr>
        <w:t>80万元，占2%。</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eastAsia="zh-CN"/>
        </w:rPr>
        <w:drawing>
          <wp:inline distT="0" distB="0" distL="114300" distR="114300">
            <wp:extent cx="4735195" cy="2872105"/>
            <wp:effectExtent l="4445" t="4445" r="22860" b="19050"/>
            <wp:docPr id="33"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（图6：一般公共预算财政拨款支出决算结构）</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（三）一般公共预算财政拨款支出决算具体情况</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i w:val="0"/>
          <w:caps w:val="0"/>
          <w:color w:val="auto"/>
          <w:spacing w:val="0"/>
          <w:sz w:val="32"/>
          <w:szCs w:val="32"/>
          <w:lang w:eastAsia="zh-CN"/>
        </w:rPr>
        <w:t>2025年度</w:t>
      </w:r>
      <w:r>
        <w:rPr>
          <w:rFonts w:hint="default" w:ascii="Times New Roman" w:hAnsi="Times New Roman" w:eastAsia="仿宋_GB2312" w:cs="Times New Roman"/>
          <w:b w:val="0"/>
          <w:bCs w:val="0"/>
          <w:i w:val="0"/>
          <w:caps w:val="0"/>
          <w:color w:val="auto"/>
          <w:spacing w:val="0"/>
          <w:sz w:val="32"/>
          <w:szCs w:val="32"/>
        </w:rPr>
        <w:t>一般公共预算支出决算数为</w:t>
      </w:r>
      <w:r>
        <w:rPr>
          <w:rFonts w:hint="eastAsia" w:ascii="Times New Roman" w:hAnsi="Times New Roman" w:eastAsia="仿宋_GB2312" w:cs="Times New Roman"/>
          <w:b w:val="0"/>
          <w:bCs w:val="0"/>
          <w:i w:val="0"/>
          <w:caps w:val="0"/>
          <w:color w:val="auto"/>
          <w:spacing w:val="0"/>
          <w:sz w:val="32"/>
          <w:szCs w:val="32"/>
          <w:lang w:val="en-US" w:eastAsia="zh-CN"/>
        </w:rPr>
        <w:t>3936.11</w:t>
      </w:r>
      <w:r>
        <w:rPr>
          <w:rFonts w:hint="default" w:ascii="Times New Roman" w:hAnsi="Times New Roman" w:eastAsia="仿宋_GB2312" w:cs="Times New Roman"/>
          <w:b w:val="0"/>
          <w:bCs w:val="0"/>
          <w:i w:val="0"/>
          <w:caps w:val="0"/>
          <w:color w:val="auto"/>
          <w:spacing w:val="0"/>
          <w:sz w:val="32"/>
          <w:szCs w:val="32"/>
        </w:rPr>
        <w:t>万元，完成预算100%。其中：</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1.一般公共服务支出（类）组织事务（款）其他组织事务支出（项）：支出决算为</w:t>
      </w:r>
      <w:r>
        <w:rPr>
          <w:rFonts w:hint="eastAsia" w:ascii="Times New Roman" w:hAnsi="Times New Roman" w:eastAsia="仿宋_GB2312" w:cs="Times New Roman"/>
          <w:i w:val="0"/>
          <w:caps w:val="0"/>
          <w:color w:val="auto"/>
          <w:spacing w:val="0"/>
          <w:sz w:val="32"/>
          <w:szCs w:val="32"/>
          <w:lang w:val="en-US" w:eastAsia="zh-CN"/>
        </w:rPr>
        <w:t>2.56</w:t>
      </w:r>
      <w:r>
        <w:rPr>
          <w:rFonts w:hint="default" w:ascii="Times New Roman" w:hAnsi="Times New Roman" w:eastAsia="仿宋_GB2312" w:cs="Times New Roman"/>
          <w:i w:val="0"/>
          <w:caps w:val="0"/>
          <w:color w:val="auto"/>
          <w:spacing w:val="0"/>
          <w:sz w:val="32"/>
          <w:szCs w:val="32"/>
          <w:lang w:val="en-US" w:eastAsia="zh-CN"/>
        </w:rPr>
        <w:t>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2.教育支出（类）职业教育（款）中等职业教育（项）：支出决算为</w:t>
      </w:r>
      <w:r>
        <w:rPr>
          <w:rFonts w:hint="eastAsia" w:ascii="Times New Roman" w:hAnsi="Times New Roman" w:eastAsia="仿宋_GB2312" w:cs="Times New Roman"/>
          <w:i w:val="0"/>
          <w:caps w:val="0"/>
          <w:color w:val="auto"/>
          <w:spacing w:val="0"/>
          <w:sz w:val="32"/>
          <w:szCs w:val="32"/>
          <w:lang w:val="en-US" w:eastAsia="zh-CN"/>
        </w:rPr>
        <w:t>64.85</w:t>
      </w:r>
      <w:r>
        <w:rPr>
          <w:rFonts w:hint="default" w:ascii="Times New Roman" w:hAnsi="Times New Roman" w:eastAsia="仿宋_GB2312" w:cs="Times New Roman"/>
          <w:i w:val="0"/>
          <w:caps w:val="0"/>
          <w:color w:val="auto"/>
          <w:spacing w:val="0"/>
          <w:sz w:val="32"/>
          <w:szCs w:val="32"/>
          <w:lang w:val="en-US" w:eastAsia="zh-CN"/>
        </w:rPr>
        <w:t>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3.教育支出（类）职业教育（款）</w:t>
      </w:r>
      <w:r>
        <w:rPr>
          <w:rFonts w:hint="eastAsia" w:ascii="Times New Roman" w:hAnsi="Times New Roman" w:eastAsia="仿宋_GB2312" w:cs="Times New Roman"/>
          <w:i w:val="0"/>
          <w:caps w:val="0"/>
          <w:color w:val="auto"/>
          <w:spacing w:val="0"/>
          <w:sz w:val="32"/>
          <w:szCs w:val="32"/>
          <w:lang w:val="en-US" w:eastAsia="zh-CN"/>
        </w:rPr>
        <w:t>其他职业教育支出</w:t>
      </w:r>
      <w:r>
        <w:rPr>
          <w:rFonts w:hint="default" w:ascii="Times New Roman" w:hAnsi="Times New Roman" w:eastAsia="仿宋_GB2312" w:cs="Times New Roman"/>
          <w:i w:val="0"/>
          <w:caps w:val="0"/>
          <w:color w:val="auto"/>
          <w:spacing w:val="0"/>
          <w:sz w:val="32"/>
          <w:szCs w:val="32"/>
          <w:lang w:val="en-US" w:eastAsia="zh-CN"/>
        </w:rPr>
        <w:t>（项）：支出决算为</w:t>
      </w:r>
      <w:r>
        <w:rPr>
          <w:rFonts w:hint="eastAsia" w:ascii="Times New Roman" w:hAnsi="Times New Roman" w:eastAsia="仿宋_GB2312" w:cs="Times New Roman"/>
          <w:i w:val="0"/>
          <w:caps w:val="0"/>
          <w:color w:val="auto"/>
          <w:spacing w:val="0"/>
          <w:sz w:val="32"/>
          <w:szCs w:val="32"/>
          <w:lang w:val="en-US" w:eastAsia="zh-CN"/>
        </w:rPr>
        <w:t>235.15</w:t>
      </w:r>
      <w:r>
        <w:rPr>
          <w:rFonts w:hint="default" w:ascii="Times New Roman" w:hAnsi="Times New Roman" w:eastAsia="仿宋_GB2312" w:cs="Times New Roman"/>
          <w:i w:val="0"/>
          <w:caps w:val="0"/>
          <w:color w:val="auto"/>
          <w:spacing w:val="0"/>
          <w:sz w:val="32"/>
          <w:szCs w:val="32"/>
          <w:lang w:val="en-US" w:eastAsia="zh-CN"/>
        </w:rPr>
        <w:t>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4.教育支出（类）</w:t>
      </w:r>
      <w:r>
        <w:rPr>
          <w:rFonts w:hint="eastAsia" w:ascii="Times New Roman" w:hAnsi="Times New Roman" w:eastAsia="仿宋_GB2312" w:cs="Times New Roman"/>
          <w:i w:val="0"/>
          <w:caps w:val="0"/>
          <w:color w:val="auto"/>
          <w:spacing w:val="0"/>
          <w:sz w:val="32"/>
          <w:szCs w:val="32"/>
          <w:lang w:val="en-US" w:eastAsia="zh-CN"/>
        </w:rPr>
        <w:t>其他教育</w:t>
      </w:r>
      <w:r>
        <w:rPr>
          <w:rFonts w:hint="default" w:ascii="Times New Roman" w:hAnsi="Times New Roman" w:eastAsia="仿宋_GB2312" w:cs="Times New Roman"/>
          <w:i w:val="0"/>
          <w:caps w:val="0"/>
          <w:color w:val="auto"/>
          <w:spacing w:val="0"/>
          <w:sz w:val="32"/>
          <w:szCs w:val="32"/>
          <w:lang w:val="en-US" w:eastAsia="zh-CN"/>
        </w:rPr>
        <w:t>支出（款）其他教育支出（项）：支出决算为</w:t>
      </w:r>
      <w:r>
        <w:rPr>
          <w:rFonts w:hint="eastAsia" w:ascii="Times New Roman" w:hAnsi="Times New Roman" w:eastAsia="仿宋_GB2312" w:cs="Times New Roman"/>
          <w:i w:val="0"/>
          <w:caps w:val="0"/>
          <w:color w:val="auto"/>
          <w:spacing w:val="0"/>
          <w:sz w:val="32"/>
          <w:szCs w:val="32"/>
          <w:lang w:val="en-US" w:eastAsia="zh-CN"/>
        </w:rPr>
        <w:t>967.58</w:t>
      </w:r>
      <w:r>
        <w:rPr>
          <w:rFonts w:hint="default" w:ascii="Times New Roman" w:hAnsi="Times New Roman" w:eastAsia="仿宋_GB2312" w:cs="Times New Roman"/>
          <w:i w:val="0"/>
          <w:caps w:val="0"/>
          <w:color w:val="auto"/>
          <w:spacing w:val="0"/>
          <w:sz w:val="32"/>
          <w:szCs w:val="32"/>
          <w:lang w:val="en-US" w:eastAsia="zh-CN"/>
        </w:rPr>
        <w:t>万元，完成预算100%，</w:t>
      </w:r>
      <w:r>
        <w:rPr>
          <w:rFonts w:hint="default" w:ascii="Times New Roman" w:hAnsi="Times New Roman" w:eastAsia="仿宋_GB2312" w:cs="Times New Roman"/>
          <w:i w:val="0"/>
          <w:caps w:val="0"/>
          <w:color w:val="auto"/>
          <w:spacing w:val="0"/>
          <w:sz w:val="32"/>
          <w:szCs w:val="32"/>
        </w:rPr>
        <w:t>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5</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社会保障和就业支出（类）人力资源和社会保障管理事务（款）行政运行（项）: 支出决算为</w:t>
      </w:r>
      <w:r>
        <w:rPr>
          <w:rFonts w:hint="eastAsia" w:ascii="Times New Roman" w:hAnsi="Times New Roman" w:eastAsia="仿宋_GB2312" w:cs="Times New Roman"/>
          <w:i w:val="0"/>
          <w:caps w:val="0"/>
          <w:color w:val="auto"/>
          <w:spacing w:val="0"/>
          <w:sz w:val="32"/>
          <w:szCs w:val="32"/>
          <w:lang w:val="en-US" w:eastAsia="zh-CN"/>
        </w:rPr>
        <w:t>894.04</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6</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社会保障和就业支出（类）人力资源和社会保障管理事务（款）一般行政管理事务（项）: 支出决算为</w:t>
      </w:r>
      <w:r>
        <w:rPr>
          <w:rFonts w:hint="eastAsia" w:ascii="Times New Roman" w:hAnsi="Times New Roman" w:eastAsia="仿宋_GB2312" w:cs="Times New Roman"/>
          <w:i w:val="0"/>
          <w:caps w:val="0"/>
          <w:color w:val="auto"/>
          <w:spacing w:val="0"/>
          <w:sz w:val="32"/>
          <w:szCs w:val="32"/>
          <w:lang w:val="en-US" w:eastAsia="zh-CN"/>
        </w:rPr>
        <w:t>13.68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7</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社会保障和就业支出（类）人力资源和社会保障管理事务（款）事业运行（项）: 支出决算为</w:t>
      </w:r>
      <w:r>
        <w:rPr>
          <w:rFonts w:hint="eastAsia" w:ascii="Times New Roman" w:hAnsi="Times New Roman" w:eastAsia="仿宋_GB2312" w:cs="Times New Roman"/>
          <w:i w:val="0"/>
          <w:caps w:val="0"/>
          <w:color w:val="auto"/>
          <w:spacing w:val="0"/>
          <w:sz w:val="32"/>
          <w:szCs w:val="32"/>
          <w:lang w:val="en-US" w:eastAsia="zh-CN"/>
        </w:rPr>
        <w:t>70.09</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社会保障和就业支出（类）人力资源和社会保障管理事务（款）其他人力资源和社会保障管理事务支出（项）: 支出决算为</w:t>
      </w:r>
      <w:r>
        <w:rPr>
          <w:rFonts w:hint="eastAsia" w:ascii="Times New Roman" w:hAnsi="Times New Roman" w:eastAsia="仿宋_GB2312" w:cs="Times New Roman"/>
          <w:i w:val="0"/>
          <w:caps w:val="0"/>
          <w:color w:val="auto"/>
          <w:spacing w:val="0"/>
          <w:sz w:val="32"/>
          <w:szCs w:val="32"/>
          <w:lang w:val="en-US" w:eastAsia="zh-CN"/>
        </w:rPr>
        <w:t>750.44</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社会保障和就业支出（类）行政事业单位养老支出（款）行政单位离退休（项）: 支出决算为</w:t>
      </w:r>
      <w:r>
        <w:rPr>
          <w:rFonts w:hint="eastAsia" w:ascii="Times New Roman" w:hAnsi="Times New Roman" w:eastAsia="仿宋_GB2312" w:cs="Times New Roman"/>
          <w:i w:val="0"/>
          <w:caps w:val="0"/>
          <w:color w:val="auto"/>
          <w:spacing w:val="0"/>
          <w:sz w:val="32"/>
          <w:szCs w:val="32"/>
          <w:lang w:val="en-US" w:eastAsia="zh-CN"/>
        </w:rPr>
        <w:t>188.68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0</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社会保障和就业支出（类）行政事业单位养老支出（款）机关事业单位基本养老保险缴费支出（项）: 支出决算为</w:t>
      </w:r>
      <w:r>
        <w:rPr>
          <w:rFonts w:hint="eastAsia" w:ascii="Times New Roman" w:hAnsi="Times New Roman" w:eastAsia="仿宋_GB2312" w:cs="Times New Roman"/>
          <w:i w:val="0"/>
          <w:caps w:val="0"/>
          <w:color w:val="auto"/>
          <w:spacing w:val="0"/>
          <w:sz w:val="32"/>
          <w:szCs w:val="32"/>
          <w:lang w:val="en-US" w:eastAsia="zh-CN"/>
        </w:rPr>
        <w:t>110.54</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val="en-US" w:eastAsia="zh-CN"/>
        </w:rPr>
        <w:t>11</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社会保障和就业支出（类）行政事业单位养老支出（款）</w:t>
      </w:r>
      <w:r>
        <w:rPr>
          <w:rFonts w:hint="eastAsia" w:ascii="Times New Roman" w:hAnsi="Times New Roman" w:eastAsia="仿宋_GB2312" w:cs="Times New Roman"/>
          <w:i w:val="0"/>
          <w:caps w:val="0"/>
          <w:color w:val="auto"/>
          <w:spacing w:val="0"/>
          <w:sz w:val="32"/>
          <w:szCs w:val="32"/>
          <w:lang w:eastAsia="zh-CN"/>
        </w:rPr>
        <w:t>机关事业单位职业年金缴费支出</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53.12</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2</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抚恤</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死亡抚恤</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35.98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3</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w:t>
      </w:r>
      <w:r>
        <w:rPr>
          <w:rFonts w:hint="eastAsia" w:ascii="Times New Roman" w:hAnsi="Times New Roman" w:eastAsia="仿宋_GB2312" w:cs="Times New Roman"/>
          <w:i w:val="0"/>
          <w:caps w:val="0"/>
          <w:color w:val="auto"/>
          <w:spacing w:val="0"/>
          <w:sz w:val="32"/>
          <w:szCs w:val="32"/>
          <w:lang w:eastAsia="zh-CN"/>
        </w:rPr>
        <w:t>社会福利</w:t>
      </w:r>
      <w:r>
        <w:rPr>
          <w:rFonts w:hint="default" w:ascii="Times New Roman" w:hAnsi="Times New Roman" w:eastAsia="仿宋_GB2312" w:cs="Times New Roman"/>
          <w:i w:val="0"/>
          <w:caps w:val="0"/>
          <w:color w:val="auto"/>
          <w:spacing w:val="0"/>
          <w:sz w:val="32"/>
          <w:szCs w:val="32"/>
        </w:rPr>
        <w:t>（款）</w:t>
      </w:r>
      <w:r>
        <w:rPr>
          <w:rFonts w:hint="eastAsia" w:ascii="Times New Roman" w:hAnsi="Times New Roman" w:eastAsia="仿宋_GB2312" w:cs="Times New Roman"/>
          <w:i w:val="0"/>
          <w:caps w:val="0"/>
          <w:color w:val="auto"/>
          <w:spacing w:val="0"/>
          <w:sz w:val="32"/>
          <w:szCs w:val="32"/>
          <w:lang w:eastAsia="zh-CN"/>
        </w:rPr>
        <w:t>儿童福利</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1.22</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4</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w:t>
      </w:r>
      <w:r>
        <w:rPr>
          <w:rFonts w:hint="eastAsia" w:ascii="Times New Roman" w:hAnsi="Times New Roman" w:eastAsia="仿宋_GB2312" w:cs="Times New Roman"/>
          <w:i w:val="0"/>
          <w:caps w:val="0"/>
          <w:color w:val="auto"/>
          <w:spacing w:val="0"/>
          <w:sz w:val="32"/>
          <w:szCs w:val="32"/>
          <w:lang w:eastAsia="zh-CN"/>
        </w:rPr>
        <w:t>其他社会保障和就业支出</w:t>
      </w:r>
      <w:r>
        <w:rPr>
          <w:rFonts w:hint="default" w:ascii="Times New Roman" w:hAnsi="Times New Roman" w:eastAsia="仿宋_GB2312" w:cs="Times New Roman"/>
          <w:i w:val="0"/>
          <w:caps w:val="0"/>
          <w:color w:val="auto"/>
          <w:spacing w:val="0"/>
          <w:sz w:val="32"/>
          <w:szCs w:val="32"/>
        </w:rPr>
        <w:t>（款）</w:t>
      </w:r>
      <w:r>
        <w:rPr>
          <w:rFonts w:hint="eastAsia" w:ascii="Times New Roman" w:hAnsi="Times New Roman" w:eastAsia="仿宋_GB2312" w:cs="Times New Roman"/>
          <w:i w:val="0"/>
          <w:caps w:val="0"/>
          <w:color w:val="auto"/>
          <w:spacing w:val="0"/>
          <w:sz w:val="32"/>
          <w:szCs w:val="32"/>
          <w:lang w:eastAsia="zh-CN"/>
        </w:rPr>
        <w:t>其他社会保障和就业支出</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300</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5</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行政单位医疗</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54.75</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6</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事业单位医疗</w:t>
      </w:r>
      <w:r>
        <w:rPr>
          <w:rFonts w:hint="default" w:ascii="Times New Roman" w:hAnsi="Times New Roman" w:eastAsia="仿宋_GB2312" w:cs="Times New Roman"/>
          <w:i w:val="0"/>
          <w:caps w:val="0"/>
          <w:color w:val="auto"/>
          <w:spacing w:val="0"/>
          <w:sz w:val="32"/>
          <w:szCs w:val="32"/>
        </w:rPr>
        <w:t>（项）: 支出决算为</w:t>
      </w:r>
      <w:r>
        <w:rPr>
          <w:rFonts w:hint="default" w:ascii="Times New Roman" w:hAnsi="Times New Roman" w:eastAsia="仿宋_GB2312" w:cs="Times New Roman"/>
          <w:i w:val="0"/>
          <w:caps w:val="0"/>
          <w:color w:val="auto"/>
          <w:spacing w:val="0"/>
          <w:sz w:val="32"/>
          <w:szCs w:val="32"/>
          <w:lang w:val="en-US" w:eastAsia="zh-CN"/>
        </w:rPr>
        <w:t>4.</w:t>
      </w:r>
      <w:r>
        <w:rPr>
          <w:rFonts w:hint="eastAsia" w:ascii="Times New Roman" w:hAnsi="Times New Roman" w:eastAsia="仿宋_GB2312" w:cs="Times New Roman"/>
          <w:i w:val="0"/>
          <w:caps w:val="0"/>
          <w:color w:val="auto"/>
          <w:spacing w:val="0"/>
          <w:sz w:val="32"/>
          <w:szCs w:val="32"/>
          <w:lang w:val="en-US" w:eastAsia="zh-CN"/>
        </w:rPr>
        <w:t>58</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7</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公务员医疗补助</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5.69</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其他行政事业单位医疗支出</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13.43</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（项）: 支出决算为</w:t>
      </w:r>
      <w:r>
        <w:rPr>
          <w:rFonts w:hint="eastAsia" w:ascii="Times New Roman" w:hAnsi="Times New Roman" w:eastAsia="仿宋_GB2312" w:cs="Times New Roman"/>
          <w:i w:val="0"/>
          <w:caps w:val="0"/>
          <w:color w:val="auto"/>
          <w:spacing w:val="0"/>
          <w:sz w:val="32"/>
          <w:szCs w:val="32"/>
          <w:lang w:val="en-US" w:eastAsia="zh-CN"/>
        </w:rPr>
        <w:t>0.35</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val="en-US" w:eastAsia="zh-CN"/>
        </w:rPr>
        <w:t>20</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住房保障支出（类）住房改革支出（款）住房公积金（项）:支出决算为</w:t>
      </w:r>
      <w:r>
        <w:rPr>
          <w:rFonts w:hint="eastAsia" w:ascii="Times New Roman" w:hAnsi="Times New Roman" w:eastAsia="仿宋_GB2312" w:cs="Times New Roman"/>
          <w:i w:val="0"/>
          <w:caps w:val="0"/>
          <w:color w:val="auto"/>
          <w:spacing w:val="0"/>
          <w:sz w:val="32"/>
          <w:szCs w:val="32"/>
          <w:lang w:val="en-US" w:eastAsia="zh-CN"/>
        </w:rPr>
        <w:t>89.4</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val="en-US" w:eastAsia="zh-CN"/>
        </w:rPr>
        <w:t>21</w:t>
      </w:r>
      <w:r>
        <w:rPr>
          <w:rFonts w:hint="default" w:ascii="Times New Roman" w:hAnsi="Times New Roman" w:eastAsia="仿宋_GB2312" w:cs="Times New Roman"/>
          <w:i w:val="0"/>
          <w:caps w:val="0"/>
          <w:color w:val="auto"/>
          <w:spacing w:val="0"/>
          <w:sz w:val="32"/>
          <w:szCs w:val="32"/>
          <w:lang w:val="en-US" w:eastAsia="zh-CN"/>
        </w:rPr>
        <w:t>.</w:t>
      </w:r>
      <w:r>
        <w:rPr>
          <w:rFonts w:hint="eastAsia"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（类）</w:t>
      </w:r>
      <w:r>
        <w:rPr>
          <w:rFonts w:hint="eastAsia"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（款）</w:t>
      </w:r>
      <w:r>
        <w:rPr>
          <w:rFonts w:hint="eastAsia"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（项）:支出决算为</w:t>
      </w:r>
      <w:r>
        <w:rPr>
          <w:rFonts w:hint="eastAsia" w:ascii="Times New Roman" w:hAnsi="Times New Roman" w:eastAsia="仿宋_GB2312" w:cs="Times New Roman"/>
          <w:i w:val="0"/>
          <w:caps w:val="0"/>
          <w:color w:val="auto"/>
          <w:spacing w:val="0"/>
          <w:sz w:val="32"/>
          <w:szCs w:val="32"/>
          <w:lang w:val="en-US" w:eastAsia="zh-CN"/>
        </w:rPr>
        <w:t>80</w:t>
      </w:r>
      <w:r>
        <w:rPr>
          <w:rFonts w:hint="default" w:ascii="Times New Roman" w:hAnsi="Times New Roman" w:eastAsia="仿宋_GB2312" w:cs="Times New Roman"/>
          <w:i w:val="0"/>
          <w:caps w:val="0"/>
          <w:color w:val="auto"/>
          <w:spacing w:val="0"/>
          <w:sz w:val="32"/>
          <w:szCs w:val="32"/>
        </w:rPr>
        <w:t>万元，完成预算100%，决算数与预算数持平。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20" w:name="_Toc6677_WPSOffice_Level2"/>
      <w:bookmarkStart w:id="21" w:name="_Toc18073"/>
      <w:r>
        <w:rPr>
          <w:rFonts w:hint="default" w:ascii="Times New Roman" w:hAnsi="Times New Roman" w:eastAsia="黑体" w:cs="Times New Roman"/>
          <w:b w:val="0"/>
          <w:bCs w:val="0"/>
          <w:i w:val="0"/>
          <w:caps w:val="0"/>
          <w:color w:val="auto"/>
          <w:spacing w:val="0"/>
          <w:sz w:val="32"/>
          <w:szCs w:val="32"/>
        </w:rPr>
        <w:t>六、一般公共预算财政拨款基本支出决算情况说明</w:t>
      </w:r>
      <w:bookmarkEnd w:id="20"/>
      <w:bookmarkEnd w:id="21"/>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一般公共预算财政拨款基本支出</w:t>
      </w:r>
      <w:r>
        <w:rPr>
          <w:rFonts w:hint="eastAsia" w:ascii="Times New Roman" w:hAnsi="Times New Roman" w:eastAsia="仿宋_GB2312" w:cs="Times New Roman"/>
          <w:i w:val="0"/>
          <w:caps w:val="0"/>
          <w:color w:val="auto"/>
          <w:spacing w:val="0"/>
          <w:sz w:val="32"/>
          <w:szCs w:val="32"/>
          <w:lang w:val="en-US" w:eastAsia="zh-CN"/>
        </w:rPr>
        <w:t>1520.29</w:t>
      </w:r>
      <w:r>
        <w:rPr>
          <w:rFonts w:hint="default" w:ascii="Times New Roman" w:hAnsi="Times New Roman" w:eastAsia="仿宋_GB2312" w:cs="Times New Roman"/>
          <w:i w:val="0"/>
          <w:caps w:val="0"/>
          <w:color w:val="auto"/>
          <w:spacing w:val="0"/>
          <w:sz w:val="32"/>
          <w:szCs w:val="32"/>
        </w:rPr>
        <w:t>万元，其中：</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rPr>
        <w:t>人员经费</w:t>
      </w:r>
      <w:r>
        <w:rPr>
          <w:rFonts w:hint="eastAsia" w:ascii="Times New Roman" w:hAnsi="Times New Roman" w:eastAsia="仿宋_GB2312" w:cs="Times New Roman"/>
          <w:i w:val="0"/>
          <w:caps w:val="0"/>
          <w:color w:val="auto"/>
          <w:spacing w:val="0"/>
          <w:sz w:val="32"/>
          <w:szCs w:val="32"/>
          <w:lang w:val="en-US" w:eastAsia="zh-CN"/>
        </w:rPr>
        <w:t>1385.23</w:t>
      </w:r>
      <w:r>
        <w:rPr>
          <w:rFonts w:hint="default" w:ascii="Times New Roman" w:hAnsi="Times New Roman" w:eastAsia="仿宋_GB2312" w:cs="Times New Roman"/>
          <w:i w:val="0"/>
          <w:caps w:val="0"/>
          <w:color w:val="auto"/>
          <w:spacing w:val="0"/>
          <w:sz w:val="32"/>
          <w:szCs w:val="32"/>
        </w:rPr>
        <w:t>万元，主要包括：基本工资、津贴补贴、奖金、绩效工资、机关事业单位基本养老保险缴费、</w:t>
      </w:r>
      <w:r>
        <w:rPr>
          <w:rFonts w:hint="eastAsia" w:ascii="Times New Roman" w:hAnsi="Times New Roman" w:eastAsia="仿宋_GB2312" w:cs="Times New Roman"/>
          <w:i w:val="0"/>
          <w:caps w:val="0"/>
          <w:color w:val="auto"/>
          <w:spacing w:val="0"/>
          <w:sz w:val="32"/>
          <w:szCs w:val="32"/>
          <w:lang w:eastAsia="zh-CN"/>
        </w:rPr>
        <w:t>职业年金缴费、</w:t>
      </w:r>
      <w:r>
        <w:rPr>
          <w:rFonts w:hint="default" w:ascii="Times New Roman" w:hAnsi="Times New Roman" w:eastAsia="仿宋_GB2312" w:cs="Times New Roman"/>
          <w:i w:val="0"/>
          <w:caps w:val="0"/>
          <w:color w:val="auto"/>
          <w:spacing w:val="0"/>
          <w:sz w:val="32"/>
          <w:szCs w:val="32"/>
        </w:rPr>
        <w:t>职工基本医疗保险缴费、公务员医疗补助缴费、其他社会保障缴费、住房公积金、其他工资福利支出、</w:t>
      </w:r>
      <w:r>
        <w:rPr>
          <w:rFonts w:hint="default" w:ascii="Times New Roman" w:hAnsi="Times New Roman" w:eastAsia="仿宋_GB2312" w:cs="Times New Roman"/>
          <w:i w:val="0"/>
          <w:caps w:val="0"/>
          <w:color w:val="auto"/>
          <w:spacing w:val="0"/>
          <w:sz w:val="32"/>
          <w:szCs w:val="32"/>
          <w:lang w:eastAsia="zh-CN"/>
        </w:rPr>
        <w:t>抚恤金、</w:t>
      </w:r>
      <w:r>
        <w:rPr>
          <w:rFonts w:hint="default" w:ascii="Times New Roman" w:hAnsi="Times New Roman" w:eastAsia="仿宋_GB2312" w:cs="Times New Roman"/>
          <w:i w:val="0"/>
          <w:caps w:val="0"/>
          <w:color w:val="auto"/>
          <w:spacing w:val="0"/>
          <w:sz w:val="32"/>
          <w:szCs w:val="32"/>
        </w:rPr>
        <w:t>生活补助</w:t>
      </w:r>
      <w:r>
        <w:rPr>
          <w:rFonts w:hint="default" w:ascii="Times New Roman" w:hAnsi="Times New Roman" w:eastAsia="仿宋_GB2312" w:cs="Times New Roman"/>
          <w:i w:val="0"/>
          <w:caps w:val="0"/>
          <w:color w:val="auto"/>
          <w:spacing w:val="0"/>
          <w:sz w:val="32"/>
          <w:szCs w:val="32"/>
          <w:lang w:eastAsia="zh-CN"/>
        </w:rPr>
        <w:t>、医疗费补助、奖励金</w:t>
      </w:r>
      <w:r>
        <w:rPr>
          <w:rFonts w:hint="default" w:ascii="Times New Roman" w:hAnsi="Times New Roman" w:eastAsia="仿宋_GB2312" w:cs="Times New Roman"/>
          <w:i w:val="0"/>
          <w:caps w:val="0"/>
          <w:color w:val="auto"/>
          <w:spacing w:val="0"/>
          <w:sz w:val="32"/>
          <w:szCs w:val="32"/>
        </w:rPr>
        <w:t>等。</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rPr>
        <w:t>公用经费</w:t>
      </w:r>
      <w:r>
        <w:rPr>
          <w:rFonts w:hint="eastAsia" w:ascii="Times New Roman" w:hAnsi="Times New Roman" w:eastAsia="仿宋_GB2312" w:cs="Times New Roman"/>
          <w:i w:val="0"/>
          <w:caps w:val="0"/>
          <w:color w:val="auto"/>
          <w:spacing w:val="0"/>
          <w:sz w:val="32"/>
          <w:szCs w:val="32"/>
          <w:lang w:val="en-US" w:eastAsia="zh-CN"/>
        </w:rPr>
        <w:t>135.06</w:t>
      </w:r>
      <w:r>
        <w:rPr>
          <w:rFonts w:hint="default" w:ascii="Times New Roman" w:hAnsi="Times New Roman" w:eastAsia="仿宋_GB2312" w:cs="Times New Roman"/>
          <w:i w:val="0"/>
          <w:caps w:val="0"/>
          <w:color w:val="auto"/>
          <w:spacing w:val="0"/>
          <w:sz w:val="32"/>
          <w:szCs w:val="32"/>
        </w:rPr>
        <w:t>万元，主要包括：办公费、</w:t>
      </w:r>
      <w:r>
        <w:rPr>
          <w:rFonts w:hint="default" w:ascii="Times New Roman" w:hAnsi="Times New Roman" w:eastAsia="仿宋_GB2312" w:cs="Times New Roman"/>
          <w:i w:val="0"/>
          <w:caps w:val="0"/>
          <w:color w:val="auto"/>
          <w:spacing w:val="0"/>
          <w:sz w:val="32"/>
          <w:szCs w:val="32"/>
          <w:lang w:eastAsia="zh-CN"/>
        </w:rPr>
        <w:t>印刷费、</w:t>
      </w:r>
      <w:r>
        <w:rPr>
          <w:rFonts w:hint="default" w:ascii="Times New Roman" w:hAnsi="Times New Roman" w:eastAsia="仿宋_GB2312" w:cs="Times New Roman"/>
          <w:i w:val="0"/>
          <w:caps w:val="0"/>
          <w:color w:val="auto"/>
          <w:spacing w:val="0"/>
          <w:sz w:val="32"/>
          <w:szCs w:val="32"/>
        </w:rPr>
        <w:t>水费、</w:t>
      </w:r>
      <w:r>
        <w:rPr>
          <w:rFonts w:hint="eastAsia" w:ascii="Times New Roman" w:hAnsi="Times New Roman" w:eastAsia="仿宋_GB2312" w:cs="Times New Roman"/>
          <w:i w:val="0"/>
          <w:caps w:val="0"/>
          <w:color w:val="auto"/>
          <w:spacing w:val="0"/>
          <w:sz w:val="32"/>
          <w:szCs w:val="32"/>
          <w:lang w:eastAsia="zh-CN"/>
        </w:rPr>
        <w:t>电费、</w:t>
      </w:r>
      <w:r>
        <w:rPr>
          <w:rFonts w:hint="default" w:ascii="Times New Roman" w:hAnsi="Times New Roman" w:eastAsia="仿宋_GB2312" w:cs="Times New Roman"/>
          <w:i w:val="0"/>
          <w:caps w:val="0"/>
          <w:color w:val="auto"/>
          <w:spacing w:val="0"/>
          <w:sz w:val="32"/>
          <w:szCs w:val="32"/>
        </w:rPr>
        <w:t>邮电费、</w:t>
      </w:r>
      <w:r>
        <w:rPr>
          <w:rFonts w:hint="default" w:ascii="Times New Roman" w:hAnsi="Times New Roman" w:eastAsia="仿宋_GB2312" w:cs="Times New Roman"/>
          <w:i w:val="0"/>
          <w:caps w:val="0"/>
          <w:color w:val="auto"/>
          <w:spacing w:val="0"/>
          <w:sz w:val="32"/>
          <w:szCs w:val="32"/>
          <w:lang w:eastAsia="zh-CN"/>
        </w:rPr>
        <w:t>物业管理费、</w:t>
      </w:r>
      <w:r>
        <w:rPr>
          <w:rFonts w:hint="default" w:ascii="Times New Roman" w:hAnsi="Times New Roman" w:eastAsia="仿宋_GB2312" w:cs="Times New Roman"/>
          <w:i w:val="0"/>
          <w:caps w:val="0"/>
          <w:color w:val="auto"/>
          <w:spacing w:val="0"/>
          <w:sz w:val="32"/>
          <w:szCs w:val="32"/>
        </w:rPr>
        <w:t>差旅费、维修（护）费、</w:t>
      </w:r>
      <w:r>
        <w:rPr>
          <w:rFonts w:hint="default" w:ascii="Times New Roman" w:hAnsi="Times New Roman" w:eastAsia="仿宋_GB2312" w:cs="Times New Roman"/>
          <w:i w:val="0"/>
          <w:caps w:val="0"/>
          <w:color w:val="auto"/>
          <w:spacing w:val="0"/>
          <w:sz w:val="32"/>
          <w:szCs w:val="32"/>
          <w:lang w:eastAsia="zh-CN"/>
        </w:rPr>
        <w:t>会议</w:t>
      </w:r>
      <w:r>
        <w:rPr>
          <w:rFonts w:hint="default" w:ascii="Times New Roman" w:hAnsi="Times New Roman" w:eastAsia="仿宋_GB2312" w:cs="Times New Roman"/>
          <w:i w:val="0"/>
          <w:caps w:val="0"/>
          <w:color w:val="auto"/>
          <w:spacing w:val="0"/>
          <w:sz w:val="32"/>
          <w:szCs w:val="32"/>
        </w:rPr>
        <w:t>费、公务接待费、劳务费、</w:t>
      </w:r>
      <w:r>
        <w:rPr>
          <w:rFonts w:hint="default" w:ascii="Times New Roman" w:hAnsi="Times New Roman" w:eastAsia="仿宋_GB2312" w:cs="Times New Roman"/>
          <w:i w:val="0"/>
          <w:caps w:val="0"/>
          <w:color w:val="auto"/>
          <w:spacing w:val="0"/>
          <w:sz w:val="32"/>
          <w:szCs w:val="32"/>
          <w:lang w:eastAsia="zh-CN"/>
        </w:rPr>
        <w:t>委托业务费、</w:t>
      </w:r>
      <w:r>
        <w:rPr>
          <w:rFonts w:hint="default" w:ascii="Times New Roman" w:hAnsi="Times New Roman" w:eastAsia="仿宋_GB2312" w:cs="Times New Roman"/>
          <w:i w:val="0"/>
          <w:caps w:val="0"/>
          <w:color w:val="auto"/>
          <w:spacing w:val="0"/>
          <w:sz w:val="32"/>
          <w:szCs w:val="32"/>
        </w:rPr>
        <w:t>工会经费、福利费、公务用车运行维护费、其他交通费、其他商品和服务支出等。</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22" w:name="_Toc10768"/>
      <w:bookmarkStart w:id="23" w:name="_Toc14839_WPSOffice_Level2"/>
      <w:r>
        <w:rPr>
          <w:rFonts w:hint="default" w:ascii="Times New Roman" w:hAnsi="Times New Roman" w:eastAsia="黑体" w:cs="Times New Roman"/>
          <w:b w:val="0"/>
          <w:bCs w:val="0"/>
          <w:i w:val="0"/>
          <w:caps w:val="0"/>
          <w:color w:val="auto"/>
          <w:spacing w:val="0"/>
          <w:sz w:val="32"/>
          <w:szCs w:val="32"/>
        </w:rPr>
        <w:t>七、</w:t>
      </w:r>
      <w:r>
        <w:rPr>
          <w:rFonts w:hint="default" w:ascii="Times New Roman" w:hAnsi="Times New Roman" w:eastAsia="黑体" w:cs="Times New Roman"/>
          <w:b w:val="0"/>
          <w:bCs w:val="0"/>
          <w:i w:val="0"/>
          <w:caps w:val="0"/>
          <w:color w:val="auto"/>
          <w:spacing w:val="0"/>
          <w:sz w:val="32"/>
          <w:szCs w:val="32"/>
          <w:lang w:eastAsia="zh-CN"/>
        </w:rPr>
        <w:t>财政拨款</w:t>
      </w:r>
      <w:r>
        <w:rPr>
          <w:rFonts w:hint="default" w:ascii="Times New Roman" w:hAnsi="Times New Roman" w:eastAsia="黑体" w:cs="Times New Roman"/>
          <w:b w:val="0"/>
          <w:bCs w:val="0"/>
          <w:i w:val="0"/>
          <w:caps w:val="0"/>
          <w:color w:val="auto"/>
          <w:spacing w:val="0"/>
          <w:sz w:val="32"/>
          <w:szCs w:val="32"/>
        </w:rPr>
        <w:t>“三公”经费支出决算情况说明</w:t>
      </w:r>
      <w:bookmarkEnd w:id="22"/>
      <w:bookmarkEnd w:id="23"/>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（一）财政拨款“三公”经费支出决算总体情况说明</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财政拨款“三公”经费支出决算为</w:t>
      </w:r>
      <w:r>
        <w:rPr>
          <w:rFonts w:hint="default" w:ascii="Times New Roman" w:hAnsi="Times New Roman" w:eastAsia="仿宋_GB2312" w:cs="Times New Roman"/>
          <w:i w:val="0"/>
          <w:caps w:val="0"/>
          <w:color w:val="auto"/>
          <w:spacing w:val="0"/>
          <w:sz w:val="32"/>
          <w:szCs w:val="32"/>
          <w:lang w:val="en-US" w:eastAsia="zh-CN"/>
        </w:rPr>
        <w:t>5.4</w:t>
      </w:r>
      <w:r>
        <w:rPr>
          <w:rFonts w:hint="eastAsia" w:ascii="Times New Roman" w:hAnsi="Times New Roman" w:eastAsia="仿宋_GB2312" w:cs="Times New Roman"/>
          <w:i w:val="0"/>
          <w:caps w:val="0"/>
          <w:color w:val="auto"/>
          <w:spacing w:val="0"/>
          <w:sz w:val="32"/>
          <w:szCs w:val="32"/>
          <w:lang w:val="en-US" w:eastAsia="zh-CN"/>
        </w:rPr>
        <w:t>2</w:t>
      </w:r>
      <w:r>
        <w:rPr>
          <w:rFonts w:hint="default" w:ascii="Times New Roman" w:hAnsi="Times New Roman" w:eastAsia="仿宋_GB2312" w:cs="Times New Roman"/>
          <w:i w:val="0"/>
          <w:caps w:val="0"/>
          <w:color w:val="auto"/>
          <w:spacing w:val="0"/>
          <w:sz w:val="32"/>
          <w:szCs w:val="32"/>
        </w:rPr>
        <w:t>万元，完成预算100%，</w:t>
      </w:r>
      <w:r>
        <w:rPr>
          <w:rFonts w:hint="default" w:ascii="Times New Roman" w:hAnsi="Times New Roman" w:eastAsia="仿宋_GB2312" w:cs="Times New Roman"/>
          <w:i w:val="0"/>
          <w:caps w:val="0"/>
          <w:color w:val="auto"/>
          <w:spacing w:val="0"/>
          <w:sz w:val="32"/>
          <w:szCs w:val="32"/>
          <w:lang w:eastAsia="zh-CN"/>
        </w:rPr>
        <w:t>较上年增加</w:t>
      </w:r>
      <w:r>
        <w:rPr>
          <w:rFonts w:hint="eastAsia" w:ascii="Times New Roman" w:hAnsi="Times New Roman" w:eastAsia="仿宋_GB2312" w:cs="Times New Roman"/>
          <w:i w:val="0"/>
          <w:caps w:val="0"/>
          <w:color w:val="auto"/>
          <w:spacing w:val="0"/>
          <w:sz w:val="32"/>
          <w:szCs w:val="32"/>
          <w:lang w:val="en-US" w:eastAsia="zh-CN"/>
        </w:rPr>
        <w:t>0.02</w:t>
      </w:r>
      <w:r>
        <w:rPr>
          <w:rFonts w:hint="default" w:ascii="Times New Roman" w:hAnsi="Times New Roman" w:eastAsia="仿宋_GB2312" w:cs="Times New Roman"/>
          <w:i w:val="0"/>
          <w:caps w:val="0"/>
          <w:color w:val="auto"/>
          <w:spacing w:val="0"/>
          <w:sz w:val="32"/>
          <w:szCs w:val="32"/>
          <w:lang w:val="en-US" w:eastAsia="zh-CN"/>
        </w:rPr>
        <w:t>万元，增长</w:t>
      </w:r>
      <w:r>
        <w:rPr>
          <w:rFonts w:hint="eastAsia" w:ascii="Times New Roman" w:hAnsi="Times New Roman" w:eastAsia="仿宋_GB2312" w:cs="Times New Roman"/>
          <w:i w:val="0"/>
          <w:caps w:val="0"/>
          <w:color w:val="auto"/>
          <w:spacing w:val="0"/>
          <w:sz w:val="32"/>
          <w:szCs w:val="32"/>
          <w:lang w:val="en-US" w:eastAsia="zh-CN"/>
        </w:rPr>
        <w:t>0.4</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决算数与预算数持平。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（二）财政拨款“三公”经费支出决算具体情况说明</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财政拨款“三公”经费支出决算中，因公出国（境）费支出决算0万元</w:t>
      </w:r>
      <w:r>
        <w:rPr>
          <w:rFonts w:hint="default" w:ascii="Times New Roman" w:hAnsi="Times New Roman" w:eastAsia="仿宋_GB2312" w:cs="Times New Roman"/>
          <w:i w:val="0"/>
          <w:caps w:val="0"/>
          <w:color w:val="auto"/>
          <w:spacing w:val="0"/>
          <w:sz w:val="32"/>
          <w:szCs w:val="32"/>
          <w:lang w:eastAsia="zh-CN"/>
        </w:rPr>
        <w:t>，占</w:t>
      </w:r>
      <w:r>
        <w:rPr>
          <w:rFonts w:hint="default" w:ascii="Times New Roman" w:hAnsi="Times New Roman" w:eastAsia="仿宋_GB2312" w:cs="Times New Roman"/>
          <w:i w:val="0"/>
          <w:caps w:val="0"/>
          <w:color w:val="auto"/>
          <w:spacing w:val="0"/>
          <w:sz w:val="32"/>
          <w:szCs w:val="32"/>
          <w:lang w:val="en-US" w:eastAsia="zh-CN"/>
        </w:rPr>
        <w:t>0%</w:t>
      </w:r>
      <w:r>
        <w:rPr>
          <w:rFonts w:hint="default" w:ascii="Times New Roman" w:hAnsi="Times New Roman" w:eastAsia="仿宋_GB2312" w:cs="Times New Roman"/>
          <w:i w:val="0"/>
          <w:caps w:val="0"/>
          <w:color w:val="auto"/>
          <w:spacing w:val="0"/>
          <w:sz w:val="32"/>
          <w:szCs w:val="32"/>
        </w:rPr>
        <w:t>；公务用车购置及运行维护费支出决算</w:t>
      </w:r>
      <w:r>
        <w:rPr>
          <w:rFonts w:hint="eastAsia" w:ascii="Times New Roman" w:hAnsi="Times New Roman" w:eastAsia="仿宋_GB2312" w:cs="Times New Roman"/>
          <w:i w:val="0"/>
          <w:caps w:val="0"/>
          <w:color w:val="auto"/>
          <w:spacing w:val="0"/>
          <w:sz w:val="32"/>
          <w:szCs w:val="32"/>
          <w:lang w:val="en-US" w:eastAsia="zh-CN"/>
        </w:rPr>
        <w:t>2.84</w:t>
      </w:r>
      <w:r>
        <w:rPr>
          <w:rFonts w:hint="default" w:ascii="Times New Roman" w:hAnsi="Times New Roman" w:eastAsia="仿宋_GB2312" w:cs="Times New Roman"/>
          <w:i w:val="0"/>
          <w:caps w:val="0"/>
          <w:color w:val="auto"/>
          <w:spacing w:val="0"/>
          <w:sz w:val="32"/>
          <w:szCs w:val="32"/>
        </w:rPr>
        <w:t>万元，占</w:t>
      </w:r>
      <w:r>
        <w:rPr>
          <w:rFonts w:hint="default" w:ascii="Times New Roman" w:hAnsi="Times New Roman" w:eastAsia="仿宋_GB2312" w:cs="Times New Roman"/>
          <w:i w:val="0"/>
          <w:caps w:val="0"/>
          <w:color w:val="auto"/>
          <w:spacing w:val="0"/>
          <w:sz w:val="32"/>
          <w:szCs w:val="32"/>
          <w:lang w:val="en-US" w:eastAsia="zh-CN"/>
        </w:rPr>
        <w:t>52.</w:t>
      </w:r>
      <w:r>
        <w:rPr>
          <w:rFonts w:hint="eastAsia" w:ascii="Times New Roman" w:hAnsi="Times New Roman" w:eastAsia="仿宋_GB2312" w:cs="Times New Roman"/>
          <w:i w:val="0"/>
          <w:caps w:val="0"/>
          <w:color w:val="auto"/>
          <w:spacing w:val="0"/>
          <w:sz w:val="32"/>
          <w:szCs w:val="32"/>
          <w:lang w:val="en-US" w:eastAsia="zh-CN"/>
        </w:rPr>
        <w:t>3</w:t>
      </w:r>
      <w:r>
        <w:rPr>
          <w:rFonts w:hint="default" w:ascii="Times New Roman" w:hAnsi="Times New Roman" w:eastAsia="仿宋_GB2312" w:cs="Times New Roman"/>
          <w:i w:val="0"/>
          <w:caps w:val="0"/>
          <w:color w:val="auto"/>
          <w:spacing w:val="0"/>
          <w:sz w:val="32"/>
          <w:szCs w:val="32"/>
        </w:rPr>
        <w:t>%；公务接待费支出决算</w:t>
      </w:r>
      <w:r>
        <w:rPr>
          <w:rFonts w:hint="eastAsia" w:ascii="Times New Roman" w:hAnsi="Times New Roman" w:eastAsia="仿宋_GB2312" w:cs="Times New Roman"/>
          <w:i w:val="0"/>
          <w:caps w:val="0"/>
          <w:color w:val="auto"/>
          <w:spacing w:val="0"/>
          <w:sz w:val="32"/>
          <w:szCs w:val="32"/>
          <w:lang w:val="en-US" w:eastAsia="zh-CN"/>
        </w:rPr>
        <w:t>2.59</w:t>
      </w:r>
      <w:r>
        <w:rPr>
          <w:rFonts w:hint="default" w:ascii="Times New Roman" w:hAnsi="Times New Roman" w:eastAsia="仿宋_GB2312" w:cs="Times New Roman"/>
          <w:i w:val="0"/>
          <w:caps w:val="0"/>
          <w:color w:val="auto"/>
          <w:spacing w:val="0"/>
          <w:sz w:val="32"/>
          <w:szCs w:val="32"/>
        </w:rPr>
        <w:t>万元，占</w:t>
      </w:r>
      <w:r>
        <w:rPr>
          <w:rFonts w:hint="eastAsia" w:ascii="Times New Roman" w:hAnsi="Times New Roman" w:eastAsia="仿宋_GB2312" w:cs="Times New Roman"/>
          <w:i w:val="0"/>
          <w:caps w:val="0"/>
          <w:color w:val="auto"/>
          <w:spacing w:val="0"/>
          <w:sz w:val="32"/>
          <w:szCs w:val="32"/>
          <w:lang w:val="en-US" w:eastAsia="zh-CN"/>
        </w:rPr>
        <w:t>47.7</w:t>
      </w:r>
      <w:r>
        <w:rPr>
          <w:rFonts w:hint="default" w:ascii="Times New Roman" w:hAnsi="Times New Roman" w:eastAsia="仿宋_GB2312" w:cs="Times New Roman"/>
          <w:i w:val="0"/>
          <w:caps w:val="0"/>
          <w:color w:val="auto"/>
          <w:spacing w:val="0"/>
          <w:sz w:val="32"/>
          <w:szCs w:val="32"/>
        </w:rPr>
        <w:t>%。具体情况如下：　</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default" w:ascii="Times New Roman" w:hAnsi="Times New Roman" w:eastAsia="宋体" w:cs="Times New Roman"/>
          <w:i w:val="0"/>
          <w:caps w:val="0"/>
          <w:color w:val="auto"/>
          <w:spacing w:val="0"/>
          <w:sz w:val="32"/>
          <w:szCs w:val="32"/>
          <w:lang w:eastAsia="zh-CN"/>
        </w:rPr>
      </w:pPr>
      <w:r>
        <w:rPr>
          <w:rFonts w:hint="default" w:ascii="Times New Roman" w:hAnsi="Times New Roman" w:eastAsia="宋体" w:cs="Times New Roman"/>
          <w:i w:val="0"/>
          <w:caps w:val="0"/>
          <w:color w:val="auto"/>
          <w:spacing w:val="0"/>
          <w:sz w:val="32"/>
          <w:szCs w:val="32"/>
          <w:lang w:eastAsia="zh-CN"/>
        </w:rPr>
        <w:drawing>
          <wp:inline distT="0" distB="0" distL="114300" distR="114300">
            <wp:extent cx="5135245" cy="2255520"/>
            <wp:effectExtent l="4445" t="4445" r="22860" b="698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auto"/>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5" w:lineRule="atLeast"/>
        <w:ind w:left="0" w:right="0"/>
        <w:jc w:val="center"/>
        <w:textAlignment w:val="auto"/>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（图7：财政拨款“三公”经费支出结构）</w:t>
      </w:r>
    </w:p>
    <w:p>
      <w:pPr>
        <w:spacing w:line="576" w:lineRule="exact"/>
        <w:ind w:firstLine="64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2"/>
          <w:szCs w:val="32"/>
          <w:highlight w:val="none"/>
          <w14:textFill>
            <w14:solidFill>
              <w14:schemeClr w14:val="tx1"/>
            </w14:solidFill>
          </w14:textFill>
        </w:rPr>
        <w:t>1.因公出国（境）经费支出0万元</w:t>
      </w:r>
      <w:r>
        <w:rPr>
          <w:rFonts w:hint="default" w:ascii="Times New Roman" w:hAnsi="Times New Roman" w:eastAsia="仿宋_GB2312" w:cs="Times New Roman"/>
          <w:b/>
          <w:bCs/>
          <w:i w:val="0"/>
          <w:caps w:val="0"/>
          <w:color w:val="000000" w:themeColor="text1"/>
          <w:spacing w:val="0"/>
          <w:sz w:val="32"/>
          <w:szCs w:val="32"/>
          <w:highlight w:val="none"/>
          <w:lang w:eastAsia="zh-CN"/>
          <w14:textFill>
            <w14:solidFill>
              <w14:schemeClr w14:val="tx1"/>
            </w14:solidFill>
          </w14:textFill>
        </w:rPr>
        <w:t>，</w:t>
      </w:r>
      <w:r>
        <w:rPr>
          <w:rStyle w:val="15"/>
          <w:rFonts w:hint="default" w:ascii="Times New Roman" w:hAnsi="Times New Roman" w:eastAsia="仿宋_GB2312" w:cs="Times New Roman"/>
          <w:b/>
          <w:bCs/>
          <w:sz w:val="32"/>
          <w:szCs w:val="32"/>
          <w:highlight w:val="none"/>
        </w:rPr>
        <w:t>完成预算0%。</w:t>
      </w:r>
      <w:r>
        <w:rPr>
          <w:rFonts w:hint="default" w:ascii="Times New Roman" w:hAnsi="Times New Roman" w:eastAsia="仿宋_GB2312" w:cs="Times New Roman"/>
          <w:sz w:val="32"/>
          <w:szCs w:val="32"/>
          <w:highlight w:val="none"/>
        </w:rPr>
        <w:t>全年安排因公出国（境）团组0次，出国（境）0人。因公出国（境）支出决算与</w:t>
      </w:r>
      <w:r>
        <w:rPr>
          <w:rFonts w:hint="eastAsia" w:ascii="Times New Roman" w:hAnsi="Times New Roman" w:eastAsia="仿宋_GB2312" w:cs="Times New Roman"/>
          <w:sz w:val="32"/>
          <w:szCs w:val="32"/>
          <w:highlight w:val="none"/>
          <w:lang w:eastAsia="zh-CN"/>
        </w:rPr>
        <w:t>2024年</w:t>
      </w:r>
      <w:r>
        <w:rPr>
          <w:rFonts w:hint="default" w:ascii="Times New Roman" w:hAnsi="Times New Roman" w:eastAsia="仿宋_GB2312" w:cs="Times New Roman"/>
          <w:sz w:val="32"/>
          <w:szCs w:val="32"/>
          <w:highlight w:val="none"/>
        </w:rPr>
        <w:t>持平。</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i w:val="0"/>
          <w:caps w:val="0"/>
          <w:color w:val="auto"/>
          <w:spacing w:val="0"/>
          <w:sz w:val="32"/>
          <w:szCs w:val="32"/>
          <w:highlight w:val="none"/>
        </w:rPr>
        <w:t>2.公务用车购置及运行维护费支出</w:t>
      </w:r>
      <w:r>
        <w:rPr>
          <w:rFonts w:hint="default" w:ascii="Times New Roman" w:hAnsi="Times New Roman" w:eastAsia="仿宋_GB2312" w:cs="Times New Roman"/>
          <w:b/>
          <w:bCs/>
          <w:i w:val="0"/>
          <w:caps w:val="0"/>
          <w:color w:val="auto"/>
          <w:spacing w:val="0"/>
          <w:sz w:val="32"/>
          <w:szCs w:val="32"/>
          <w:highlight w:val="none"/>
          <w:lang w:val="en-US" w:eastAsia="zh-CN"/>
        </w:rPr>
        <w:t>2.8</w:t>
      </w:r>
      <w:r>
        <w:rPr>
          <w:rFonts w:hint="eastAsia" w:ascii="Times New Roman" w:hAnsi="Times New Roman" w:eastAsia="仿宋_GB2312" w:cs="Times New Roman"/>
          <w:b/>
          <w:bCs/>
          <w:i w:val="0"/>
          <w:caps w:val="0"/>
          <w:color w:val="auto"/>
          <w:spacing w:val="0"/>
          <w:sz w:val="32"/>
          <w:szCs w:val="32"/>
          <w:highlight w:val="none"/>
          <w:lang w:val="en-US" w:eastAsia="zh-CN"/>
        </w:rPr>
        <w:t>4</w:t>
      </w:r>
      <w:r>
        <w:rPr>
          <w:rFonts w:hint="default" w:ascii="Times New Roman" w:hAnsi="Times New Roman" w:eastAsia="仿宋_GB2312" w:cs="Times New Roman"/>
          <w:b/>
          <w:bCs/>
          <w:i w:val="0"/>
          <w:caps w:val="0"/>
          <w:color w:val="auto"/>
          <w:spacing w:val="0"/>
          <w:sz w:val="32"/>
          <w:szCs w:val="32"/>
          <w:highlight w:val="none"/>
        </w:rPr>
        <w:t>万元,完成预算100%。</w:t>
      </w:r>
      <w:r>
        <w:rPr>
          <w:rFonts w:hint="default" w:ascii="Times New Roman" w:hAnsi="Times New Roman" w:eastAsia="仿宋_GB2312" w:cs="Times New Roman"/>
          <w:i w:val="0"/>
          <w:caps w:val="0"/>
          <w:color w:val="auto"/>
          <w:spacing w:val="0"/>
          <w:sz w:val="32"/>
          <w:szCs w:val="32"/>
          <w:highlight w:val="none"/>
        </w:rPr>
        <w:t>公务用车购置及运行维护费支出决算比</w:t>
      </w:r>
      <w:r>
        <w:rPr>
          <w:rFonts w:hint="eastAsia" w:ascii="Times New Roman" w:hAnsi="Times New Roman" w:eastAsia="仿宋_GB2312" w:cs="Times New Roman"/>
          <w:i w:val="0"/>
          <w:caps w:val="0"/>
          <w:color w:val="auto"/>
          <w:spacing w:val="0"/>
          <w:sz w:val="32"/>
          <w:szCs w:val="32"/>
          <w:highlight w:val="none"/>
          <w:lang w:eastAsia="zh-CN"/>
        </w:rPr>
        <w:t>2024年增加</w:t>
      </w:r>
      <w:r>
        <w:rPr>
          <w:rFonts w:hint="eastAsia" w:ascii="Times New Roman" w:hAnsi="Times New Roman" w:eastAsia="仿宋_GB2312" w:cs="Times New Roman"/>
          <w:i w:val="0"/>
          <w:caps w:val="0"/>
          <w:color w:val="auto"/>
          <w:spacing w:val="0"/>
          <w:sz w:val="32"/>
          <w:szCs w:val="32"/>
          <w:highlight w:val="none"/>
          <w:lang w:val="en-US" w:eastAsia="zh-CN"/>
        </w:rPr>
        <w:t>0.02</w:t>
      </w:r>
      <w:r>
        <w:rPr>
          <w:rFonts w:hint="default" w:ascii="Times New Roman" w:hAnsi="Times New Roman" w:eastAsia="仿宋_GB2312" w:cs="Times New Roman"/>
          <w:i w:val="0"/>
          <w:caps w:val="0"/>
          <w:color w:val="auto"/>
          <w:spacing w:val="0"/>
          <w:sz w:val="32"/>
          <w:szCs w:val="32"/>
          <w:highlight w:val="none"/>
        </w:rPr>
        <w:t>万元，</w:t>
      </w:r>
      <w:r>
        <w:rPr>
          <w:rFonts w:hint="eastAsia" w:ascii="Times New Roman" w:hAnsi="Times New Roman" w:eastAsia="仿宋_GB2312" w:cs="Times New Roman"/>
          <w:i w:val="0"/>
          <w:caps w:val="0"/>
          <w:color w:val="auto"/>
          <w:spacing w:val="0"/>
          <w:sz w:val="32"/>
          <w:szCs w:val="32"/>
          <w:highlight w:val="none"/>
          <w:lang w:eastAsia="zh-CN"/>
        </w:rPr>
        <w:t>增长</w:t>
      </w:r>
      <w:r>
        <w:rPr>
          <w:rFonts w:hint="eastAsia" w:ascii="Times New Roman" w:hAnsi="Times New Roman" w:eastAsia="仿宋_GB2312" w:cs="Times New Roman"/>
          <w:i w:val="0"/>
          <w:caps w:val="0"/>
          <w:color w:val="auto"/>
          <w:spacing w:val="0"/>
          <w:sz w:val="32"/>
          <w:szCs w:val="32"/>
          <w:highlight w:val="none"/>
          <w:lang w:val="en-US" w:eastAsia="zh-CN"/>
        </w:rPr>
        <w:t>0.7</w:t>
      </w:r>
      <w:r>
        <w:rPr>
          <w:rFonts w:hint="default" w:ascii="Times New Roman" w:hAnsi="Times New Roman" w:eastAsia="仿宋_GB2312" w:cs="Times New Roman"/>
          <w:i w:val="0"/>
          <w:caps w:val="0"/>
          <w:color w:val="auto"/>
          <w:spacing w:val="0"/>
          <w:sz w:val="32"/>
          <w:szCs w:val="32"/>
          <w:highlight w:val="none"/>
        </w:rPr>
        <w:t>%。</w:t>
      </w:r>
      <w:r>
        <w:rPr>
          <w:rFonts w:hint="default" w:ascii="Times New Roman" w:hAnsi="Times New Roman" w:eastAsia="仿宋_GB2312" w:cs="Times New Roman"/>
          <w:i w:val="0"/>
          <w:caps w:val="0"/>
          <w:color w:val="auto"/>
          <w:spacing w:val="0"/>
          <w:sz w:val="32"/>
          <w:szCs w:val="32"/>
          <w:highlight w:val="none"/>
          <w:lang w:val="en-US" w:eastAsia="zh-CN"/>
        </w:rPr>
        <w:t>主要原因是</w:t>
      </w:r>
      <w:r>
        <w:rPr>
          <w:rFonts w:hint="eastAsia" w:ascii="Times New Roman" w:hAnsi="Times New Roman" w:eastAsia="仿宋_GB2312" w:cs="Times New Roman"/>
          <w:i w:val="0"/>
          <w:caps w:val="0"/>
          <w:color w:val="auto"/>
          <w:spacing w:val="0"/>
          <w:sz w:val="32"/>
          <w:szCs w:val="32"/>
          <w:highlight w:val="none"/>
          <w:lang w:val="en-US" w:eastAsia="zh-CN"/>
        </w:rPr>
        <w:t>支付了以前年度发生的公车维修应付欠款。</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val="0"/>
          <w:i w:val="0"/>
          <w:caps w:val="0"/>
          <w:color w:val="auto"/>
          <w:spacing w:val="0"/>
          <w:sz w:val="32"/>
          <w:szCs w:val="32"/>
          <w:highlight w:val="none"/>
        </w:rPr>
        <w:t>其中：公务用车购置支出0万元。</w:t>
      </w:r>
      <w:r>
        <w:rPr>
          <w:rFonts w:hint="default" w:ascii="Times New Roman" w:hAnsi="Times New Roman" w:eastAsia="仿宋_GB2312" w:cs="Times New Roman"/>
          <w:i w:val="0"/>
          <w:caps w:val="0"/>
          <w:color w:val="auto"/>
          <w:spacing w:val="0"/>
          <w:sz w:val="32"/>
          <w:szCs w:val="32"/>
          <w:highlight w:val="none"/>
        </w:rPr>
        <w:t>全年按规定更新购置公务用车0辆。截至</w:t>
      </w:r>
      <w:r>
        <w:rPr>
          <w:rFonts w:hint="eastAsia" w:ascii="Times New Roman" w:hAnsi="Times New Roman" w:eastAsia="仿宋_GB2312" w:cs="Times New Roman"/>
          <w:i w:val="0"/>
          <w:caps w:val="0"/>
          <w:color w:val="auto"/>
          <w:spacing w:val="0"/>
          <w:sz w:val="32"/>
          <w:szCs w:val="32"/>
          <w:highlight w:val="none"/>
          <w:lang w:eastAsia="zh-CN"/>
        </w:rPr>
        <w:t>2025年</w:t>
      </w:r>
      <w:r>
        <w:rPr>
          <w:rFonts w:hint="default" w:ascii="Times New Roman" w:hAnsi="Times New Roman" w:eastAsia="仿宋_GB2312" w:cs="Times New Roman"/>
          <w:i w:val="0"/>
          <w:caps w:val="0"/>
          <w:color w:val="auto"/>
          <w:spacing w:val="0"/>
          <w:sz w:val="32"/>
          <w:szCs w:val="32"/>
          <w:highlight w:val="none"/>
        </w:rPr>
        <w:t>12月</w:t>
      </w:r>
      <w:r>
        <w:rPr>
          <w:rFonts w:hint="default" w:ascii="Times New Roman" w:hAnsi="Times New Roman" w:eastAsia="仿宋_GB2312" w:cs="Times New Roman"/>
          <w:i w:val="0"/>
          <w:caps w:val="0"/>
          <w:color w:val="auto"/>
          <w:spacing w:val="0"/>
          <w:sz w:val="32"/>
          <w:szCs w:val="32"/>
          <w:highlight w:val="none"/>
          <w:lang w:val="en-US" w:eastAsia="zh-CN"/>
        </w:rPr>
        <w:t>31日</w:t>
      </w:r>
      <w:r>
        <w:rPr>
          <w:rFonts w:hint="default" w:ascii="Times New Roman" w:hAnsi="Times New Roman" w:eastAsia="仿宋_GB2312" w:cs="Times New Roman"/>
          <w:i w:val="0"/>
          <w:caps w:val="0"/>
          <w:color w:val="auto"/>
          <w:spacing w:val="0"/>
          <w:sz w:val="32"/>
          <w:szCs w:val="32"/>
          <w:highlight w:val="none"/>
        </w:rPr>
        <w:t>，单位共有公务用车</w:t>
      </w:r>
      <w:r>
        <w:rPr>
          <w:rFonts w:hint="default" w:ascii="Times New Roman" w:hAnsi="Times New Roman" w:eastAsia="仿宋_GB2312" w:cs="Times New Roman"/>
          <w:i w:val="0"/>
          <w:caps w:val="0"/>
          <w:color w:val="auto"/>
          <w:spacing w:val="0"/>
          <w:sz w:val="32"/>
          <w:szCs w:val="32"/>
          <w:highlight w:val="none"/>
          <w:lang w:val="en-US" w:eastAsia="zh-CN"/>
        </w:rPr>
        <w:t>1</w:t>
      </w:r>
      <w:r>
        <w:rPr>
          <w:rFonts w:hint="default" w:ascii="Times New Roman" w:hAnsi="Times New Roman" w:eastAsia="仿宋_GB2312" w:cs="Times New Roman"/>
          <w:i w:val="0"/>
          <w:caps w:val="0"/>
          <w:color w:val="auto"/>
          <w:spacing w:val="0"/>
          <w:sz w:val="32"/>
          <w:szCs w:val="32"/>
          <w:highlight w:val="none"/>
        </w:rPr>
        <w:t>辆，其中</w:t>
      </w:r>
      <w:r>
        <w:rPr>
          <w:rFonts w:hint="default" w:ascii="Times New Roman" w:hAnsi="Times New Roman" w:eastAsia="仿宋_GB2312" w:cs="Times New Roman"/>
          <w:i w:val="0"/>
          <w:caps w:val="0"/>
          <w:color w:val="auto"/>
          <w:spacing w:val="0"/>
          <w:sz w:val="32"/>
          <w:szCs w:val="32"/>
          <w:highlight w:val="none"/>
          <w:lang w:eastAsia="zh-CN"/>
        </w:rPr>
        <w:t>：</w:t>
      </w:r>
      <w:r>
        <w:rPr>
          <w:rFonts w:hint="default" w:ascii="Times New Roman" w:hAnsi="Times New Roman" w:eastAsia="仿宋_GB2312" w:cs="Times New Roman"/>
          <w:i w:val="0"/>
          <w:caps w:val="0"/>
          <w:color w:val="000000" w:themeColor="text1"/>
          <w:spacing w:val="0"/>
          <w:sz w:val="32"/>
          <w:szCs w:val="32"/>
          <w:highlight w:val="none"/>
          <w14:textFill>
            <w14:solidFill>
              <w14:schemeClr w14:val="tx1"/>
            </w14:solidFill>
          </w14:textFill>
        </w:rPr>
        <w:t>轿车</w:t>
      </w:r>
      <w:r>
        <w:rPr>
          <w:rFonts w:hint="default" w:ascii="Times New Roman" w:hAnsi="Times New Roman" w:eastAsia="仿宋_GB2312" w:cs="Times New Roman"/>
          <w:i w:val="0"/>
          <w:caps w:val="0"/>
          <w:color w:val="000000" w:themeColor="text1"/>
          <w:spacing w:val="0"/>
          <w:sz w:val="32"/>
          <w:szCs w:val="32"/>
          <w:highlight w:val="none"/>
          <w:lang w:val="en-US" w:eastAsia="zh-CN"/>
          <w14:textFill>
            <w14:solidFill>
              <w14:schemeClr w14:val="tx1"/>
            </w14:solidFill>
          </w14:textFill>
        </w:rPr>
        <w:t>0</w:t>
      </w:r>
      <w:r>
        <w:rPr>
          <w:rFonts w:hint="default" w:ascii="Times New Roman" w:hAnsi="Times New Roman" w:eastAsia="仿宋_GB2312" w:cs="Times New Roman"/>
          <w:i w:val="0"/>
          <w:caps w:val="0"/>
          <w:color w:val="000000" w:themeColor="text1"/>
          <w:spacing w:val="0"/>
          <w:sz w:val="32"/>
          <w:szCs w:val="32"/>
          <w:highlight w:val="none"/>
          <w14:textFill>
            <w14:solidFill>
              <w14:schemeClr w14:val="tx1"/>
            </w14:solidFill>
          </w14:textFill>
        </w:rPr>
        <w:t>辆、越野车1辆、载客汽车0辆。</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val="0"/>
          <w:i w:val="0"/>
          <w:caps w:val="0"/>
          <w:color w:val="auto"/>
          <w:spacing w:val="0"/>
          <w:sz w:val="32"/>
          <w:szCs w:val="32"/>
          <w:highlight w:val="none"/>
        </w:rPr>
        <w:t>公务用车运行维护费支出</w:t>
      </w:r>
      <w:r>
        <w:rPr>
          <w:rFonts w:hint="default" w:ascii="Times New Roman" w:hAnsi="Times New Roman" w:eastAsia="仿宋_GB2312" w:cs="Times New Roman"/>
          <w:b w:val="0"/>
          <w:bCs w:val="0"/>
          <w:i w:val="0"/>
          <w:caps w:val="0"/>
          <w:color w:val="auto"/>
          <w:spacing w:val="0"/>
          <w:sz w:val="32"/>
          <w:szCs w:val="32"/>
          <w:highlight w:val="none"/>
          <w:lang w:val="en-US" w:eastAsia="zh-CN"/>
        </w:rPr>
        <w:t>2.8</w:t>
      </w:r>
      <w:r>
        <w:rPr>
          <w:rFonts w:hint="eastAsia" w:ascii="Times New Roman" w:hAnsi="Times New Roman" w:eastAsia="仿宋_GB2312" w:cs="Times New Roman"/>
          <w:b w:val="0"/>
          <w:bCs w:val="0"/>
          <w:i w:val="0"/>
          <w:caps w:val="0"/>
          <w:color w:val="auto"/>
          <w:spacing w:val="0"/>
          <w:sz w:val="32"/>
          <w:szCs w:val="32"/>
          <w:highlight w:val="none"/>
          <w:lang w:val="en-US" w:eastAsia="zh-CN"/>
        </w:rPr>
        <w:t>4</w:t>
      </w:r>
      <w:r>
        <w:rPr>
          <w:rFonts w:hint="default" w:ascii="Times New Roman" w:hAnsi="Times New Roman" w:eastAsia="仿宋_GB2312" w:cs="Times New Roman"/>
          <w:b w:val="0"/>
          <w:bCs w:val="0"/>
          <w:i w:val="0"/>
          <w:caps w:val="0"/>
          <w:color w:val="auto"/>
          <w:spacing w:val="0"/>
          <w:sz w:val="32"/>
          <w:szCs w:val="32"/>
          <w:highlight w:val="none"/>
        </w:rPr>
        <w:t>万元。</w:t>
      </w:r>
      <w:r>
        <w:rPr>
          <w:rFonts w:hint="default" w:ascii="Times New Roman" w:hAnsi="Times New Roman" w:eastAsia="仿宋_GB2312" w:cs="Times New Roman"/>
          <w:i w:val="0"/>
          <w:caps w:val="0"/>
          <w:color w:val="auto"/>
          <w:spacing w:val="0"/>
          <w:sz w:val="32"/>
          <w:szCs w:val="32"/>
          <w:highlight w:val="none"/>
        </w:rPr>
        <w:t>主要用于单位开展工作所需的公务用车燃料费、维修费、过路过桥费、保险费等支出。</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b/>
          <w:bCs/>
          <w:i w:val="0"/>
          <w:caps w:val="0"/>
          <w:color w:val="auto"/>
          <w:spacing w:val="0"/>
          <w:sz w:val="32"/>
          <w:szCs w:val="32"/>
          <w:highlight w:val="none"/>
          <w:lang w:val="en-US" w:eastAsia="zh-CN"/>
        </w:rPr>
        <w:t>3.</w:t>
      </w:r>
      <w:r>
        <w:rPr>
          <w:rFonts w:hint="default" w:ascii="Times New Roman" w:hAnsi="Times New Roman" w:eastAsia="仿宋_GB2312" w:cs="Times New Roman"/>
          <w:b/>
          <w:bCs/>
          <w:i w:val="0"/>
          <w:caps w:val="0"/>
          <w:color w:val="auto"/>
          <w:spacing w:val="0"/>
          <w:sz w:val="32"/>
          <w:szCs w:val="32"/>
          <w:highlight w:val="none"/>
        </w:rPr>
        <w:t>公务接待费支出</w:t>
      </w:r>
      <w:r>
        <w:rPr>
          <w:rFonts w:hint="default" w:ascii="Times New Roman" w:hAnsi="Times New Roman" w:eastAsia="仿宋_GB2312" w:cs="Times New Roman"/>
          <w:b/>
          <w:bCs/>
          <w:i w:val="0"/>
          <w:caps w:val="0"/>
          <w:color w:val="auto"/>
          <w:spacing w:val="0"/>
          <w:sz w:val="32"/>
          <w:szCs w:val="32"/>
          <w:highlight w:val="none"/>
          <w:lang w:val="en-US" w:eastAsia="zh-CN"/>
        </w:rPr>
        <w:t>2.5</w:t>
      </w:r>
      <w:r>
        <w:rPr>
          <w:rFonts w:hint="eastAsia" w:ascii="Times New Roman" w:hAnsi="Times New Roman" w:eastAsia="仿宋_GB2312" w:cs="Times New Roman"/>
          <w:b/>
          <w:bCs/>
          <w:i w:val="0"/>
          <w:caps w:val="0"/>
          <w:color w:val="auto"/>
          <w:spacing w:val="0"/>
          <w:sz w:val="32"/>
          <w:szCs w:val="32"/>
          <w:highlight w:val="none"/>
          <w:lang w:val="en-US" w:eastAsia="zh-CN"/>
        </w:rPr>
        <w:t>9</w:t>
      </w:r>
      <w:r>
        <w:rPr>
          <w:rFonts w:hint="default" w:ascii="Times New Roman" w:hAnsi="Times New Roman" w:eastAsia="仿宋_GB2312" w:cs="Times New Roman"/>
          <w:b/>
          <w:bCs/>
          <w:i w:val="0"/>
          <w:caps w:val="0"/>
          <w:color w:val="auto"/>
          <w:spacing w:val="0"/>
          <w:sz w:val="32"/>
          <w:szCs w:val="32"/>
          <w:highlight w:val="none"/>
        </w:rPr>
        <w:t>万元，完成预算100%。</w:t>
      </w:r>
      <w:r>
        <w:rPr>
          <w:rFonts w:hint="default" w:ascii="Times New Roman" w:hAnsi="Times New Roman" w:eastAsia="仿宋_GB2312" w:cs="Times New Roman"/>
          <w:i w:val="0"/>
          <w:caps w:val="0"/>
          <w:color w:val="auto"/>
          <w:spacing w:val="0"/>
          <w:sz w:val="32"/>
          <w:szCs w:val="32"/>
          <w:highlight w:val="none"/>
        </w:rPr>
        <w:t>公务接待费支出决算</w:t>
      </w:r>
      <w:r>
        <w:rPr>
          <w:rFonts w:hint="default" w:ascii="Times New Roman" w:hAnsi="Times New Roman" w:eastAsia="仿宋_GB2312" w:cs="Times New Roman"/>
          <w:i w:val="0"/>
          <w:caps w:val="0"/>
          <w:color w:val="auto"/>
          <w:spacing w:val="0"/>
          <w:sz w:val="32"/>
          <w:szCs w:val="32"/>
          <w:highlight w:val="none"/>
          <w:lang w:eastAsia="zh-CN"/>
        </w:rPr>
        <w:t>比</w:t>
      </w:r>
      <w:r>
        <w:rPr>
          <w:rFonts w:hint="eastAsia" w:ascii="Times New Roman" w:hAnsi="Times New Roman" w:eastAsia="仿宋_GB2312" w:cs="Times New Roman"/>
          <w:i w:val="0"/>
          <w:caps w:val="0"/>
          <w:color w:val="auto"/>
          <w:spacing w:val="0"/>
          <w:sz w:val="32"/>
          <w:szCs w:val="32"/>
          <w:highlight w:val="none"/>
          <w:lang w:eastAsia="zh-CN"/>
        </w:rPr>
        <w:t>2024年</w:t>
      </w:r>
      <w:r>
        <w:rPr>
          <w:rFonts w:hint="default" w:ascii="Times New Roman" w:hAnsi="Times New Roman" w:eastAsia="仿宋_GB2312" w:cs="Times New Roman"/>
          <w:i w:val="0"/>
          <w:caps w:val="0"/>
          <w:color w:val="auto"/>
          <w:spacing w:val="0"/>
          <w:sz w:val="32"/>
          <w:szCs w:val="32"/>
          <w:highlight w:val="none"/>
          <w:lang w:eastAsia="zh-CN"/>
        </w:rPr>
        <w:t>增加</w:t>
      </w:r>
      <w:r>
        <w:rPr>
          <w:rFonts w:hint="eastAsia" w:ascii="Times New Roman" w:hAnsi="Times New Roman" w:eastAsia="仿宋_GB2312" w:cs="Times New Roman"/>
          <w:i w:val="0"/>
          <w:caps w:val="0"/>
          <w:color w:val="auto"/>
          <w:spacing w:val="0"/>
          <w:sz w:val="32"/>
          <w:szCs w:val="32"/>
          <w:highlight w:val="none"/>
          <w:lang w:val="en-US" w:eastAsia="zh-CN"/>
        </w:rPr>
        <w:t>0.01</w:t>
      </w:r>
      <w:r>
        <w:rPr>
          <w:rFonts w:hint="default" w:ascii="Times New Roman" w:hAnsi="Times New Roman" w:eastAsia="仿宋_GB2312" w:cs="Times New Roman"/>
          <w:i w:val="0"/>
          <w:caps w:val="0"/>
          <w:color w:val="auto"/>
          <w:spacing w:val="0"/>
          <w:sz w:val="32"/>
          <w:szCs w:val="32"/>
          <w:highlight w:val="none"/>
          <w:lang w:val="en-US" w:eastAsia="zh-CN"/>
        </w:rPr>
        <w:t>万元，增长</w:t>
      </w:r>
      <w:r>
        <w:rPr>
          <w:rFonts w:hint="eastAsia" w:ascii="Times New Roman" w:hAnsi="Times New Roman" w:eastAsia="仿宋_GB2312" w:cs="Times New Roman"/>
          <w:i w:val="0"/>
          <w:caps w:val="0"/>
          <w:color w:val="auto"/>
          <w:spacing w:val="0"/>
          <w:sz w:val="32"/>
          <w:szCs w:val="32"/>
          <w:highlight w:val="none"/>
          <w:lang w:val="en-US" w:eastAsia="zh-CN"/>
        </w:rPr>
        <w:t>0.4</w:t>
      </w:r>
      <w:r>
        <w:rPr>
          <w:rFonts w:hint="default" w:ascii="Times New Roman" w:hAnsi="Times New Roman" w:eastAsia="仿宋_GB2312" w:cs="Times New Roman"/>
          <w:i w:val="0"/>
          <w:caps w:val="0"/>
          <w:color w:val="auto"/>
          <w:spacing w:val="0"/>
          <w:sz w:val="32"/>
          <w:szCs w:val="32"/>
          <w:highlight w:val="none"/>
          <w:lang w:val="en-US" w:eastAsia="zh-CN"/>
        </w:rPr>
        <w:t>%。主要原因是支付了</w:t>
      </w:r>
      <w:r>
        <w:rPr>
          <w:rFonts w:hint="eastAsia" w:ascii="Times New Roman" w:hAnsi="Times New Roman" w:eastAsia="仿宋_GB2312" w:cs="Times New Roman"/>
          <w:i w:val="0"/>
          <w:caps w:val="0"/>
          <w:color w:val="auto"/>
          <w:spacing w:val="0"/>
          <w:sz w:val="32"/>
          <w:szCs w:val="32"/>
          <w:highlight w:val="none"/>
          <w:lang w:val="en-US" w:eastAsia="zh-CN"/>
        </w:rPr>
        <w:t>以前年度发生的</w:t>
      </w:r>
      <w:r>
        <w:rPr>
          <w:rFonts w:hint="default" w:ascii="Times New Roman" w:hAnsi="Times New Roman" w:eastAsia="仿宋_GB2312" w:cs="Times New Roman"/>
          <w:i w:val="0"/>
          <w:caps w:val="0"/>
          <w:color w:val="auto"/>
          <w:spacing w:val="0"/>
          <w:sz w:val="32"/>
          <w:szCs w:val="32"/>
          <w:highlight w:val="none"/>
          <w:lang w:val="en-US" w:eastAsia="zh-CN"/>
        </w:rPr>
        <w:t>公务接待</w:t>
      </w:r>
      <w:r>
        <w:rPr>
          <w:rFonts w:hint="eastAsia" w:ascii="Times New Roman" w:hAnsi="Times New Roman" w:eastAsia="仿宋_GB2312" w:cs="Times New Roman"/>
          <w:i w:val="0"/>
          <w:caps w:val="0"/>
          <w:color w:val="auto"/>
          <w:spacing w:val="0"/>
          <w:sz w:val="32"/>
          <w:szCs w:val="32"/>
          <w:highlight w:val="none"/>
          <w:lang w:val="en-US" w:eastAsia="zh-CN"/>
        </w:rPr>
        <w:t>应付</w:t>
      </w:r>
      <w:r>
        <w:rPr>
          <w:rFonts w:hint="default" w:ascii="Times New Roman" w:hAnsi="Times New Roman" w:eastAsia="仿宋_GB2312" w:cs="Times New Roman"/>
          <w:i w:val="0"/>
          <w:caps w:val="0"/>
          <w:color w:val="auto"/>
          <w:spacing w:val="0"/>
          <w:sz w:val="32"/>
          <w:szCs w:val="32"/>
          <w:highlight w:val="none"/>
          <w:lang w:val="en-US" w:eastAsia="zh-CN"/>
        </w:rPr>
        <w:t>欠款。</w:t>
      </w:r>
      <w:r>
        <w:rPr>
          <w:rFonts w:hint="default" w:ascii="Times New Roman" w:hAnsi="Times New Roman" w:eastAsia="仿宋_GB2312" w:cs="Times New Roman"/>
          <w:i w:val="0"/>
          <w:caps w:val="0"/>
          <w:color w:val="auto"/>
          <w:spacing w:val="0"/>
          <w:sz w:val="32"/>
          <w:szCs w:val="32"/>
          <w:highlight w:val="none"/>
        </w:rPr>
        <w:t>其中：</w:t>
      </w:r>
      <w:r>
        <w:rPr>
          <w:rFonts w:hint="default" w:ascii="Times New Roman" w:hAnsi="Times New Roman" w:eastAsia="仿宋_GB2312" w:cs="Times New Roman"/>
          <w:i w:val="0"/>
          <w:caps w:val="0"/>
          <w:color w:val="auto"/>
          <w:spacing w:val="0"/>
          <w:sz w:val="32"/>
          <w:szCs w:val="32"/>
        </w:rPr>
        <w:t xml:space="preserve"> </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i w:val="0"/>
          <w:caps w:val="0"/>
          <w:color w:val="auto"/>
          <w:spacing w:val="0"/>
          <w:sz w:val="32"/>
          <w:szCs w:val="32"/>
        </w:rPr>
        <w:t>国内公务接待支出</w:t>
      </w:r>
      <w:r>
        <w:rPr>
          <w:rFonts w:hint="default" w:ascii="Times New Roman" w:hAnsi="Times New Roman" w:eastAsia="仿宋_GB2312" w:cs="Times New Roman"/>
          <w:i w:val="0"/>
          <w:caps w:val="0"/>
          <w:color w:val="auto"/>
          <w:spacing w:val="0"/>
          <w:sz w:val="32"/>
          <w:szCs w:val="32"/>
          <w:lang w:val="en-US" w:eastAsia="zh-CN"/>
        </w:rPr>
        <w:t>2.5</w:t>
      </w: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rPr>
        <w:t>万元，主要用于</w:t>
      </w:r>
      <w:r>
        <w:rPr>
          <w:rFonts w:hint="eastAsia" w:ascii="Times New Roman" w:hAnsi="Times New Roman" w:eastAsia="仿宋_GB2312" w:cs="Times New Roman"/>
          <w:i w:val="0"/>
          <w:caps w:val="0"/>
          <w:color w:val="auto"/>
          <w:spacing w:val="0"/>
          <w:sz w:val="32"/>
          <w:szCs w:val="32"/>
          <w:lang w:eastAsia="zh-CN"/>
        </w:rPr>
        <w:t>国内相关单位来我局</w:t>
      </w:r>
      <w:r>
        <w:rPr>
          <w:rFonts w:hint="default" w:ascii="Times New Roman" w:hAnsi="Times New Roman" w:eastAsia="仿宋_GB2312" w:cs="Times New Roman"/>
          <w:i w:val="0"/>
          <w:caps w:val="0"/>
          <w:color w:val="auto"/>
          <w:spacing w:val="0"/>
          <w:sz w:val="32"/>
          <w:szCs w:val="32"/>
        </w:rPr>
        <w:t>执行公务、开展业务活动</w:t>
      </w:r>
      <w:r>
        <w:rPr>
          <w:rFonts w:hint="eastAsia" w:ascii="Times New Roman" w:hAnsi="Times New Roman" w:eastAsia="仿宋_GB2312" w:cs="Times New Roman"/>
          <w:i w:val="0"/>
          <w:caps w:val="0"/>
          <w:color w:val="auto"/>
          <w:spacing w:val="0"/>
          <w:sz w:val="32"/>
          <w:szCs w:val="32"/>
          <w:lang w:eastAsia="zh-CN"/>
        </w:rPr>
        <w:t>，按规定安排的工作</w:t>
      </w:r>
      <w:r>
        <w:rPr>
          <w:rFonts w:hint="default" w:ascii="Times New Roman" w:hAnsi="Times New Roman" w:eastAsia="仿宋_GB2312" w:cs="Times New Roman"/>
          <w:i w:val="0"/>
          <w:caps w:val="0"/>
          <w:color w:val="auto"/>
          <w:spacing w:val="0"/>
          <w:sz w:val="32"/>
          <w:szCs w:val="32"/>
        </w:rPr>
        <w:t>餐费等。国内公务接</w:t>
      </w:r>
      <w:r>
        <w:rPr>
          <w:rFonts w:hint="eastAsia" w:ascii="Times New Roman" w:hAnsi="Times New Roman" w:eastAsia="仿宋_GB2312" w:cs="Times New Roman"/>
          <w:i w:val="0"/>
          <w:caps w:val="0"/>
          <w:color w:val="auto"/>
          <w:spacing w:val="0"/>
          <w:sz w:val="32"/>
          <w:szCs w:val="32"/>
          <w:lang w:eastAsia="zh-CN"/>
        </w:rPr>
        <w:t>待</w:t>
      </w:r>
      <w:r>
        <w:rPr>
          <w:rFonts w:hint="eastAsia" w:ascii="Times New Roman" w:hAnsi="Times New Roman" w:eastAsia="仿宋_GB2312" w:cs="Times New Roman"/>
          <w:i w:val="0"/>
          <w:caps w:val="0"/>
          <w:color w:val="auto"/>
          <w:spacing w:val="0"/>
          <w:sz w:val="32"/>
          <w:szCs w:val="32"/>
          <w:lang w:val="en-US" w:eastAsia="zh-CN"/>
        </w:rPr>
        <w:t>17</w:t>
      </w:r>
      <w:r>
        <w:rPr>
          <w:rFonts w:hint="default" w:ascii="Times New Roman" w:hAnsi="Times New Roman" w:eastAsia="仿宋_GB2312" w:cs="Times New Roman"/>
          <w:i w:val="0"/>
          <w:caps w:val="0"/>
          <w:color w:val="auto"/>
          <w:spacing w:val="0"/>
          <w:sz w:val="32"/>
          <w:szCs w:val="32"/>
        </w:rPr>
        <w:t>批次，</w:t>
      </w:r>
      <w:r>
        <w:rPr>
          <w:rFonts w:hint="eastAsia" w:ascii="Times New Roman" w:hAnsi="Times New Roman" w:eastAsia="仿宋_GB2312" w:cs="Times New Roman"/>
          <w:i w:val="0"/>
          <w:caps w:val="0"/>
          <w:color w:val="auto"/>
          <w:spacing w:val="0"/>
          <w:sz w:val="32"/>
          <w:szCs w:val="32"/>
          <w:lang w:val="en-US" w:eastAsia="zh-CN"/>
        </w:rPr>
        <w:t>177</w:t>
      </w:r>
      <w:r>
        <w:rPr>
          <w:rFonts w:hint="default" w:ascii="Times New Roman" w:hAnsi="Times New Roman" w:eastAsia="仿宋_GB2312" w:cs="Times New Roman"/>
          <w:i w:val="0"/>
          <w:caps w:val="0"/>
          <w:color w:val="auto"/>
          <w:spacing w:val="0"/>
          <w:sz w:val="32"/>
          <w:szCs w:val="32"/>
        </w:rPr>
        <w:t>人次（不包括陪同人员），共计支出</w:t>
      </w:r>
      <w:r>
        <w:rPr>
          <w:rFonts w:hint="default" w:ascii="Times New Roman" w:hAnsi="Times New Roman" w:eastAsia="仿宋_GB2312" w:cs="Times New Roman"/>
          <w:i w:val="0"/>
          <w:caps w:val="0"/>
          <w:color w:val="auto"/>
          <w:spacing w:val="0"/>
          <w:sz w:val="32"/>
          <w:szCs w:val="32"/>
          <w:lang w:val="en-US" w:eastAsia="zh-CN"/>
        </w:rPr>
        <w:t>2.5</w:t>
      </w: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rPr>
        <w:t>万元。具体内容包括：公务接待上级部门来攀调研、巡查，以及省内外单位来攀交流学习考察等支出</w:t>
      </w:r>
      <w:r>
        <w:rPr>
          <w:rFonts w:hint="default" w:ascii="Times New Roman" w:hAnsi="Times New Roman" w:eastAsia="仿宋_GB2312" w:cs="Times New Roman"/>
          <w:i w:val="0"/>
          <w:caps w:val="0"/>
          <w:color w:val="auto"/>
          <w:spacing w:val="0"/>
          <w:sz w:val="32"/>
          <w:szCs w:val="32"/>
          <w:lang w:val="en-US" w:eastAsia="zh-CN"/>
        </w:rPr>
        <w:t>2.5</w:t>
      </w: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rPr>
        <w:t>万元。</w:t>
      </w:r>
    </w:p>
    <w:p>
      <w:pPr>
        <w:spacing w:line="576" w:lineRule="exact"/>
        <w:ind w:firstLine="640" w:firstLineChars="200"/>
        <w:rPr>
          <w:rFonts w:hint="default" w:ascii="Times New Roman" w:hAnsi="Times New Roman" w:eastAsia="仿宋_GB2312" w:cs="Times New Roman"/>
          <w:sz w:val="32"/>
          <w:szCs w:val="32"/>
        </w:rPr>
      </w:pPr>
      <w:bookmarkStart w:id="24" w:name="_Toc9661_WPSOffice_Level2"/>
      <w:r>
        <w:rPr>
          <w:rFonts w:hint="default" w:ascii="Times New Roman" w:hAnsi="Times New Roman" w:eastAsia="仿宋_GB2312" w:cs="Times New Roman"/>
          <w:b w:val="0"/>
          <w:bCs/>
          <w:sz w:val="32"/>
          <w:szCs w:val="32"/>
        </w:rPr>
        <w:t>外事接待支出0万元</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sz w:val="32"/>
          <w:szCs w:val="32"/>
        </w:rPr>
        <w:t>外事接待0批次，0人次，共计支出0万元。</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25" w:name="_Toc32609"/>
      <w:r>
        <w:rPr>
          <w:rFonts w:hint="default" w:ascii="Times New Roman" w:hAnsi="Times New Roman" w:eastAsia="黑体" w:cs="Times New Roman"/>
          <w:b w:val="0"/>
          <w:bCs w:val="0"/>
          <w:i w:val="0"/>
          <w:caps w:val="0"/>
          <w:color w:val="auto"/>
          <w:spacing w:val="0"/>
          <w:sz w:val="32"/>
          <w:szCs w:val="32"/>
        </w:rPr>
        <w:t>八、政府性基金预算支出决算情况说明</w:t>
      </w:r>
      <w:bookmarkEnd w:id="24"/>
      <w:bookmarkEnd w:id="25"/>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bookmarkStart w:id="26" w:name="_Toc13657_WPSOffice_Level2"/>
      <w:r>
        <w:rPr>
          <w:rFonts w:hint="eastAsia"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政府性基金预算财政拨款支出</w:t>
      </w:r>
      <w:r>
        <w:rPr>
          <w:rFonts w:hint="eastAsia" w:ascii="Times New Roman" w:hAnsi="Times New Roman" w:eastAsia="仿宋_GB2312" w:cs="Times New Roman"/>
          <w:sz w:val="32"/>
          <w:szCs w:val="32"/>
          <w:lang w:val="en-US" w:eastAsia="zh-CN"/>
        </w:rPr>
        <w:t>3.6</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eastAsia" w:ascii="Times New Roman" w:hAnsi="Times New Roman" w:eastAsia="仿宋_GB2312" w:cs="Times New Roman"/>
          <w:sz w:val="32"/>
          <w:szCs w:val="32"/>
          <w:lang w:val="en-US" w:eastAsia="zh-CN"/>
        </w:rPr>
        <w:t>0.1</w:t>
      </w:r>
      <w:r>
        <w:rPr>
          <w:rFonts w:hint="default" w:ascii="Times New Roman" w:hAnsi="Times New Roman" w:eastAsia="仿宋_GB2312" w:cs="Times New Roman"/>
          <w:color w:val="auto"/>
          <w:kern w:val="2"/>
          <w:sz w:val="32"/>
          <w:szCs w:val="32"/>
          <w:highlight w:val="none"/>
          <w:lang w:val="en-US" w:eastAsia="zh-CN" w:bidi="ar-SA"/>
        </w:rPr>
        <w:t>%。与</w:t>
      </w:r>
      <w:r>
        <w:rPr>
          <w:rFonts w:hint="eastAsia" w:ascii="Times New Roman" w:hAnsi="Times New Roman" w:eastAsia="仿宋_GB2312" w:cs="Times New Roman"/>
          <w:color w:val="auto"/>
          <w:kern w:val="2"/>
          <w:sz w:val="32"/>
          <w:szCs w:val="32"/>
          <w:highlight w:val="none"/>
          <w:lang w:val="en-US" w:eastAsia="zh-CN" w:bidi="ar-SA"/>
        </w:rPr>
        <w:t>上年度</w:t>
      </w:r>
      <w:r>
        <w:rPr>
          <w:rFonts w:hint="default" w:ascii="Times New Roman" w:hAnsi="Times New Roman" w:eastAsia="仿宋_GB2312" w:cs="Times New Roman"/>
          <w:color w:val="auto"/>
          <w:kern w:val="2"/>
          <w:sz w:val="32"/>
          <w:szCs w:val="32"/>
          <w:highlight w:val="none"/>
          <w:lang w:val="en-US" w:eastAsia="zh-CN" w:bidi="ar-SA"/>
        </w:rPr>
        <w:t>相比，政府性基金预算财政拨款支出减少</w:t>
      </w:r>
      <w:r>
        <w:rPr>
          <w:rFonts w:hint="eastAsia" w:ascii="Times New Roman" w:hAnsi="Times New Roman" w:eastAsia="仿宋_GB2312" w:cs="Times New Roman"/>
          <w:color w:val="auto"/>
          <w:kern w:val="2"/>
          <w:sz w:val="32"/>
          <w:szCs w:val="32"/>
          <w:highlight w:val="none"/>
          <w:lang w:val="en-US" w:eastAsia="zh-CN" w:bidi="ar-SA"/>
        </w:rPr>
        <w:t>96.4</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ascii="Times New Roman" w:hAnsi="Times New Roman" w:eastAsia="仿宋_GB2312" w:cs="Times New Roman"/>
          <w:color w:val="auto"/>
          <w:kern w:val="2"/>
          <w:sz w:val="32"/>
          <w:szCs w:val="32"/>
          <w:highlight w:val="none"/>
          <w:lang w:val="en-US" w:eastAsia="zh-CN" w:bidi="ar-SA"/>
        </w:rPr>
        <w:t>96.4</w:t>
      </w:r>
      <w:r>
        <w:rPr>
          <w:rFonts w:hint="default" w:ascii="Times New Roman" w:hAnsi="Times New Roman" w:eastAsia="仿宋_GB2312" w:cs="Times New Roman"/>
          <w:color w:val="auto"/>
          <w:kern w:val="2"/>
          <w:sz w:val="32"/>
          <w:szCs w:val="32"/>
          <w:highlight w:val="none"/>
          <w:lang w:val="en-US" w:eastAsia="zh-CN" w:bidi="ar-SA"/>
        </w:rPr>
        <w:t>%。主要变动原因是预算安排支出结构性调整。</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27" w:name="_Toc2555"/>
      <w:r>
        <w:rPr>
          <w:rFonts w:hint="default" w:ascii="Times New Roman" w:hAnsi="Times New Roman" w:eastAsia="黑体" w:cs="Times New Roman"/>
          <w:b w:val="0"/>
          <w:bCs w:val="0"/>
          <w:i w:val="0"/>
          <w:caps w:val="0"/>
          <w:color w:val="auto"/>
          <w:spacing w:val="0"/>
          <w:sz w:val="32"/>
          <w:szCs w:val="32"/>
        </w:rPr>
        <w:t>九、国有资本经营预算支出决算情况说明</w:t>
      </w:r>
      <w:bookmarkEnd w:id="26"/>
      <w:bookmarkEnd w:id="27"/>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eastAsia="zh-CN"/>
        </w:rPr>
        <w:t>2025年度</w:t>
      </w:r>
      <w:r>
        <w:rPr>
          <w:rFonts w:hint="default" w:ascii="Times New Roman" w:hAnsi="Times New Roman" w:eastAsia="仿宋_GB2312" w:cs="Times New Roman"/>
          <w:i w:val="0"/>
          <w:caps w:val="0"/>
          <w:color w:val="auto"/>
          <w:spacing w:val="0"/>
          <w:sz w:val="32"/>
          <w:szCs w:val="32"/>
        </w:rPr>
        <w:t>国有资本经营预算</w:t>
      </w:r>
      <w:r>
        <w:rPr>
          <w:rFonts w:hint="default" w:ascii="Times New Roman" w:hAnsi="Times New Roman" w:eastAsia="仿宋_GB2312" w:cs="Times New Roman"/>
          <w:i w:val="0"/>
          <w:caps w:val="0"/>
          <w:color w:val="auto"/>
          <w:spacing w:val="0"/>
          <w:sz w:val="32"/>
          <w:szCs w:val="32"/>
          <w:lang w:eastAsia="zh-CN"/>
        </w:rPr>
        <w:t>财政</w:t>
      </w:r>
      <w:r>
        <w:rPr>
          <w:rFonts w:hint="default" w:ascii="Times New Roman" w:hAnsi="Times New Roman" w:eastAsia="仿宋_GB2312" w:cs="Times New Roman"/>
          <w:i w:val="0"/>
          <w:caps w:val="0"/>
          <w:color w:val="auto"/>
          <w:spacing w:val="0"/>
          <w:sz w:val="32"/>
          <w:szCs w:val="32"/>
        </w:rPr>
        <w:t>拨款支出0万元。</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1"/>
        <w:rPr>
          <w:rFonts w:hint="default" w:ascii="Times New Roman" w:hAnsi="Times New Roman" w:eastAsia="黑体" w:cs="Times New Roman"/>
          <w:b w:val="0"/>
          <w:bCs w:val="0"/>
          <w:color w:val="auto"/>
          <w:sz w:val="32"/>
          <w:szCs w:val="32"/>
        </w:rPr>
      </w:pPr>
      <w:bookmarkStart w:id="28" w:name="_Toc11821_WPSOffice_Level2"/>
      <w:bookmarkStart w:id="29" w:name="_Toc28027"/>
      <w:r>
        <w:rPr>
          <w:rFonts w:hint="default" w:ascii="Times New Roman" w:hAnsi="Times New Roman" w:eastAsia="黑体" w:cs="Times New Roman"/>
          <w:b w:val="0"/>
          <w:bCs w:val="0"/>
          <w:i w:val="0"/>
          <w:caps w:val="0"/>
          <w:color w:val="auto"/>
          <w:spacing w:val="0"/>
          <w:sz w:val="32"/>
          <w:szCs w:val="32"/>
        </w:rPr>
        <w:t>十、其他重要事项的情况说明</w:t>
      </w:r>
      <w:bookmarkEnd w:id="28"/>
      <w:bookmarkEnd w:id="29"/>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（一）机关运行经费支出情况</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sz w:val="32"/>
          <w:szCs w:val="32"/>
        </w:rPr>
        <w:t>攀枝花市人力资源和社会保障局（本级）</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eastAsia" w:ascii="Times New Roman" w:hAnsi="Times New Roman" w:eastAsia="仿宋_GB2312" w:cs="Times New Roman"/>
          <w:sz w:val="32"/>
          <w:szCs w:val="32"/>
          <w:lang w:val="en-US" w:eastAsia="zh-CN"/>
        </w:rPr>
        <w:t>135.06</w:t>
      </w:r>
      <w:r>
        <w:rPr>
          <w:rFonts w:hint="default" w:ascii="Times New Roman" w:hAnsi="Times New Roman" w:eastAsia="仿宋_GB2312" w:cs="Times New Roman"/>
          <w:color w:val="auto"/>
          <w:kern w:val="2"/>
          <w:sz w:val="32"/>
          <w:szCs w:val="32"/>
          <w:highlight w:val="none"/>
          <w:lang w:val="en-US" w:eastAsia="zh-CN" w:bidi="ar-SA"/>
        </w:rPr>
        <w:t>万元，比</w:t>
      </w:r>
      <w:r>
        <w:rPr>
          <w:rFonts w:hint="eastAsia" w:ascii="Times New Roman" w:hAnsi="Times New Roman" w:eastAsia="仿宋_GB2312" w:cs="Times New Roman"/>
          <w:color w:val="auto"/>
          <w:kern w:val="2"/>
          <w:sz w:val="32"/>
          <w:szCs w:val="32"/>
          <w:highlight w:val="none"/>
          <w:lang w:val="en-US" w:eastAsia="zh-CN" w:bidi="ar-SA"/>
        </w:rPr>
        <w:t>上年度减少26.59</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ascii="Times New Roman" w:hAnsi="Times New Roman" w:eastAsia="仿宋_GB2312" w:cs="Times New Roman"/>
          <w:color w:val="auto"/>
          <w:kern w:val="2"/>
          <w:sz w:val="32"/>
          <w:szCs w:val="32"/>
          <w:highlight w:val="none"/>
          <w:lang w:val="en-US" w:eastAsia="zh-CN" w:bidi="ar-SA"/>
        </w:rPr>
        <w:t>下降16.5</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i w:val="0"/>
          <w:caps w:val="0"/>
          <w:color w:val="auto"/>
          <w:spacing w:val="0"/>
          <w:sz w:val="32"/>
          <w:szCs w:val="32"/>
        </w:rPr>
        <w:t>主要原因是</w:t>
      </w:r>
      <w:r>
        <w:rPr>
          <w:rFonts w:hint="eastAsia" w:ascii="仿宋_GB2312" w:hAnsi="仿宋_GB2312" w:eastAsia="仿宋_GB2312" w:cs="仿宋_GB2312"/>
          <w:bCs/>
          <w:color w:val="000000"/>
          <w:sz w:val="32"/>
          <w:szCs w:val="32"/>
          <w:lang w:eastAsia="zh-CN"/>
        </w:rPr>
        <w:t>厉行节约，勤俭办一切事业。</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（二）政府采购支出情况</w:t>
      </w:r>
    </w:p>
    <w:p>
      <w:pPr>
        <w:spacing w:line="600" w:lineRule="exact"/>
        <w:ind w:firstLine="640"/>
        <w:rPr>
          <w:rFonts w:hint="default"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sz w:val="32"/>
          <w:szCs w:val="32"/>
        </w:rPr>
        <w:t>攀枝花市人力资源和社会保障局（本级）</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eastAsia" w:ascii="Times New Roman" w:hAnsi="Times New Roman" w:eastAsia="仿宋_GB2312" w:cs="Times New Roman"/>
          <w:sz w:val="32"/>
          <w:szCs w:val="32"/>
          <w:lang w:val="en-US" w:eastAsia="zh-CN"/>
        </w:rPr>
        <w:t>710.48</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eastAsia" w:ascii="Times New Roman" w:hAnsi="Times New Roman" w:eastAsia="仿宋_GB2312" w:cs="Times New Roman"/>
          <w:sz w:val="32"/>
          <w:szCs w:val="32"/>
          <w:lang w:val="en-US" w:eastAsia="zh-CN"/>
        </w:rPr>
        <w:t>675.2</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eastAsia" w:ascii="Times New Roman" w:hAnsi="Times New Roman" w:eastAsia="仿宋_GB2312" w:cs="Times New Roman"/>
          <w:sz w:val="32"/>
          <w:szCs w:val="32"/>
          <w:lang w:val="en-US" w:eastAsia="zh-CN"/>
        </w:rPr>
        <w:t>35.28</w:t>
      </w:r>
      <w:r>
        <w:rPr>
          <w:rFonts w:hint="default" w:ascii="Times New Roman" w:hAnsi="Times New Roman" w:eastAsia="仿宋_GB2312" w:cs="Times New Roman"/>
          <w:color w:val="auto"/>
          <w:kern w:val="2"/>
          <w:sz w:val="32"/>
          <w:szCs w:val="32"/>
          <w:highlight w:val="none"/>
          <w:lang w:val="en-US" w:eastAsia="zh-CN" w:bidi="ar-SA"/>
        </w:rPr>
        <w:t>万元。主要用于公务用车运行维护、攀枝花市公共实训基地</w:t>
      </w:r>
      <w:r>
        <w:rPr>
          <w:rFonts w:hint="eastAsia" w:ascii="Times New Roman" w:hAnsi="Times New Roman" w:eastAsia="仿宋_GB2312" w:cs="Times New Roman"/>
          <w:color w:val="auto"/>
          <w:kern w:val="2"/>
          <w:sz w:val="32"/>
          <w:szCs w:val="32"/>
          <w:highlight w:val="none"/>
          <w:lang w:val="en-US" w:eastAsia="zh-CN" w:bidi="ar-SA"/>
        </w:rPr>
        <w:t>设施设备采购</w:t>
      </w:r>
      <w:r>
        <w:rPr>
          <w:rFonts w:hint="default" w:ascii="Times New Roman" w:hAnsi="Times New Roman" w:eastAsia="仿宋_GB2312" w:cs="Times New Roman"/>
          <w:color w:val="auto"/>
          <w:kern w:val="2"/>
          <w:sz w:val="32"/>
          <w:szCs w:val="32"/>
          <w:highlight w:val="none"/>
          <w:lang w:val="en-US" w:eastAsia="zh-CN" w:bidi="ar-SA"/>
        </w:rPr>
        <w:t>等。授予中小企业合同金额</w:t>
      </w:r>
      <w:r>
        <w:rPr>
          <w:rFonts w:hint="eastAsia" w:ascii="Times New Roman" w:hAnsi="Times New Roman" w:eastAsia="仿宋_GB2312" w:cs="Times New Roman"/>
          <w:sz w:val="32"/>
          <w:szCs w:val="32"/>
          <w:lang w:val="en-US" w:eastAsia="zh-CN"/>
        </w:rPr>
        <w:t>696.05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eastAsia" w:ascii="Times New Roman" w:hAnsi="Times New Roman" w:eastAsia="仿宋_GB2312" w:cs="Times New Roman"/>
          <w:color w:val="auto"/>
          <w:kern w:val="2"/>
          <w:sz w:val="32"/>
          <w:szCs w:val="32"/>
          <w:highlight w:val="none"/>
          <w:lang w:val="en-US" w:eastAsia="zh-CN" w:bidi="ar-SA"/>
        </w:rPr>
        <w:t>98</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eastAsia" w:ascii="Times New Roman" w:hAnsi="Times New Roman" w:eastAsia="仿宋_GB2312" w:cs="Times New Roman"/>
          <w:sz w:val="32"/>
          <w:szCs w:val="32"/>
          <w:lang w:val="en-US" w:eastAsia="zh-CN"/>
        </w:rPr>
        <w:t>684.1</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eastAsia" w:ascii="Times New Roman" w:hAnsi="Times New Roman" w:eastAsia="仿宋_GB2312" w:cs="Times New Roman"/>
          <w:sz w:val="32"/>
          <w:szCs w:val="32"/>
          <w:lang w:val="en-US" w:eastAsia="zh-CN"/>
        </w:rPr>
        <w:t>96.3</w:t>
      </w:r>
      <w:r>
        <w:rPr>
          <w:rFonts w:hint="default"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（三）国有资产占有使用情况</w:t>
      </w:r>
    </w:p>
    <w:p>
      <w:pPr>
        <w:spacing w:line="600" w:lineRule="exact"/>
        <w:ind w:firstLine="640"/>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攀枝花市人力资源和社会保障局</w:t>
      </w:r>
      <w:r>
        <w:rPr>
          <w:rFonts w:hint="eastAsia" w:ascii="仿宋_GB2312" w:hAnsi="仿宋_GB2312" w:eastAsia="仿宋_GB2312" w:cs="仿宋_GB2312"/>
          <w:sz w:val="32"/>
          <w:szCs w:val="32"/>
          <w:lang w:eastAsia="zh-CN"/>
        </w:rPr>
        <w:t>（本级）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i w:val="0"/>
          <w:caps w:val="0"/>
          <w:color w:val="auto"/>
          <w:spacing w:val="0"/>
          <w:sz w:val="32"/>
          <w:szCs w:val="32"/>
        </w:rPr>
        <w:t>（四）预算绩效管理情况</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根据预算绩效管理要求，</w:t>
      </w:r>
      <w:r>
        <w:rPr>
          <w:rFonts w:hint="default" w:ascii="Times New Roman" w:hAnsi="Times New Roman" w:eastAsia="仿宋_GB2312" w:cs="Times New Roman"/>
          <w:i w:val="0"/>
          <w:caps w:val="0"/>
          <w:color w:val="auto"/>
          <w:spacing w:val="0"/>
          <w:sz w:val="32"/>
          <w:szCs w:val="32"/>
        </w:rPr>
        <w:t>攀枝花市人力资源和社会保障局</w:t>
      </w:r>
      <w:r>
        <w:rPr>
          <w:rFonts w:hint="default" w:ascii="Times New Roman" w:hAnsi="Times New Roman" w:eastAsia="仿宋_GB2312" w:cs="Times New Roman"/>
          <w:i w:val="0"/>
          <w:caps w:val="0"/>
          <w:color w:val="auto"/>
          <w:spacing w:val="0"/>
          <w:sz w:val="32"/>
          <w:szCs w:val="32"/>
          <w:lang w:eastAsia="zh-CN"/>
        </w:rPr>
        <w:t>（本级）</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在</w:t>
      </w:r>
      <w:r>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2025年度，</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组织对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中职教育补助资金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个项目</w:t>
      </w:r>
      <w:r>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涉及金额</w:t>
      </w:r>
      <w:r>
        <w:rPr>
          <w:rFonts w:hint="eastAsia"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290万元</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开展了事前绩效评估，对</w:t>
      </w:r>
      <w:r>
        <w:rPr>
          <w:rFonts w:hint="eastAsia"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个项目编制了绩效目标，预算执行过程中，选取</w:t>
      </w:r>
      <w:r>
        <w:rPr>
          <w:rFonts w:hint="eastAsia" w:ascii="Times New Roman" w:hAnsi="Times New Roman" w:eastAsia="仿宋_GB2312" w:cs="Times New Roman"/>
          <w:i w:val="0"/>
          <w:caps w:val="0"/>
          <w:color w:val="000000" w:themeColor="text1"/>
          <w:spacing w:val="0"/>
          <w:sz w:val="32"/>
          <w:szCs w:val="32"/>
          <w:lang w:val="en-US" w:eastAsia="zh-CN"/>
          <w14:textFill>
            <w14:solidFill>
              <w14:schemeClr w14:val="tx1"/>
            </w14:solidFill>
          </w14:textFill>
        </w:rPr>
        <w:t>13</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个项目开展绩效监控</w:t>
      </w:r>
      <w:r>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outlineLvl w:val="0"/>
        <w:rPr>
          <w:rFonts w:hint="default" w:ascii="Times New Roman" w:hAnsi="Times New Roman" w:eastAsia="仿宋_GB2312" w:cs="Times New Roman"/>
          <w:i w:val="0"/>
          <w:caps w:val="0"/>
          <w:color w:val="auto"/>
          <w:spacing w:val="0"/>
          <w:sz w:val="32"/>
          <w:szCs w:val="32"/>
        </w:rPr>
      </w:pPr>
      <w:bookmarkStart w:id="30" w:name="_Toc21673_WPSOffice_Level1"/>
      <w:bookmarkStart w:id="31" w:name="_Toc4167"/>
      <w:r>
        <w:rPr>
          <w:rFonts w:hint="default" w:ascii="Times New Roman" w:hAnsi="Times New Roman" w:eastAsia="黑体" w:cs="Times New Roman"/>
          <w:i w:val="0"/>
          <w:caps w:val="0"/>
          <w:color w:val="auto"/>
          <w:spacing w:val="0"/>
          <w:sz w:val="44"/>
          <w:szCs w:val="44"/>
        </w:rPr>
        <w:t>第三部分 名词解释</w:t>
      </w:r>
      <w:bookmarkEnd w:id="30"/>
      <w:bookmarkEnd w:id="31"/>
      <w:r>
        <w:rPr>
          <w:rFonts w:hint="default" w:ascii="Times New Roman" w:hAnsi="Times New Roman" w:eastAsia="仿宋_GB2312" w:cs="Times New Roman"/>
          <w:i w:val="0"/>
          <w:caps w:val="0"/>
          <w:color w:val="auto"/>
          <w:spacing w:val="0"/>
          <w:sz w:val="32"/>
          <w:szCs w:val="32"/>
        </w:rPr>
        <w:t>　</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rPr>
        <w:t>1.财政拨款收入：指单位从同级财政部门取得的财政预算资金。</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rPr>
        <w:t>2.年初结转和结余：指以前年度尚未完成、结转到本年按有关规定继续使用的资金。</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rPr>
        <w:t>3</w:t>
      </w:r>
      <w:r>
        <w:rPr>
          <w:rFonts w:hint="default" w:ascii="Times New Roman" w:hAnsi="Times New Roman" w:eastAsia="仿宋_GB2312" w:cs="Times New Roman"/>
          <w:i w:val="0"/>
          <w:caps w:val="0"/>
          <w:color w:val="auto"/>
          <w:spacing w:val="0"/>
          <w:sz w:val="32"/>
          <w:szCs w:val="32"/>
          <w:lang w:eastAsia="zh-CN"/>
        </w:rPr>
        <w:t>.</w:t>
      </w:r>
      <w:r>
        <w:rPr>
          <w:rFonts w:hint="default" w:ascii="Times New Roman" w:hAnsi="Times New Roman" w:eastAsia="仿宋_GB2312" w:cs="Times New Roman"/>
          <w:i w:val="0"/>
          <w:caps w:val="0"/>
          <w:color w:val="auto"/>
          <w:spacing w:val="0"/>
          <w:sz w:val="32"/>
          <w:szCs w:val="32"/>
        </w:rPr>
        <w:t>年末结转和结余：指单位按有关规定结转到下年或以后年度继续使用的资金。</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i w:val="0"/>
          <w:caps w:val="0"/>
          <w:color w:val="auto"/>
          <w:spacing w:val="0"/>
          <w:sz w:val="32"/>
          <w:szCs w:val="32"/>
          <w:lang w:val="en-US" w:eastAsia="zh-CN"/>
        </w:rPr>
        <w:t>4</w:t>
      </w:r>
      <w:r>
        <w:rPr>
          <w:rFonts w:hint="default" w:ascii="Times New Roman" w:hAnsi="Times New Roman" w:eastAsia="仿宋_GB2312" w:cs="Times New Roman"/>
          <w:i w:val="0"/>
          <w:caps w:val="0"/>
          <w:color w:val="auto"/>
          <w:spacing w:val="0"/>
          <w:sz w:val="32"/>
          <w:szCs w:val="32"/>
          <w:lang w:val="en-US" w:eastAsia="zh-CN"/>
        </w:rPr>
        <w:t>.一般公共服务支出（类）组织事务（款）其他组织事务支出（项）：指反映除上述项目以外其他用于中国共产党组织部门的事务支出。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i w:val="0"/>
          <w:caps w:val="0"/>
          <w:color w:val="auto"/>
          <w:spacing w:val="0"/>
          <w:sz w:val="32"/>
          <w:szCs w:val="32"/>
          <w:lang w:val="en-US" w:eastAsia="zh-CN"/>
        </w:rPr>
        <w:t>5</w:t>
      </w:r>
      <w:r>
        <w:rPr>
          <w:rFonts w:hint="default" w:ascii="Times New Roman" w:hAnsi="Times New Roman" w:eastAsia="仿宋_GB2312" w:cs="Times New Roman"/>
          <w:i w:val="0"/>
          <w:caps w:val="0"/>
          <w:color w:val="auto"/>
          <w:spacing w:val="0"/>
          <w:sz w:val="32"/>
          <w:szCs w:val="32"/>
          <w:lang w:val="en-US" w:eastAsia="zh-CN"/>
        </w:rPr>
        <w:t>.教育支出（类）职业教育（款）</w:t>
      </w:r>
      <w:r>
        <w:rPr>
          <w:rFonts w:hint="eastAsia" w:ascii="Times New Roman" w:hAnsi="Times New Roman" w:eastAsia="仿宋_GB2312" w:cs="Times New Roman"/>
          <w:i w:val="0"/>
          <w:caps w:val="0"/>
          <w:color w:val="auto"/>
          <w:spacing w:val="0"/>
          <w:sz w:val="32"/>
          <w:szCs w:val="32"/>
          <w:lang w:val="en-US" w:eastAsia="zh-CN"/>
        </w:rPr>
        <w:t>中等职业</w:t>
      </w:r>
      <w:r>
        <w:rPr>
          <w:rFonts w:hint="default" w:ascii="Times New Roman" w:hAnsi="Times New Roman" w:eastAsia="仿宋_GB2312" w:cs="Times New Roman"/>
          <w:i w:val="0"/>
          <w:caps w:val="0"/>
          <w:color w:val="auto"/>
          <w:spacing w:val="0"/>
          <w:sz w:val="32"/>
          <w:szCs w:val="32"/>
          <w:lang w:val="en-US" w:eastAsia="zh-CN"/>
        </w:rPr>
        <w:t>教育（项）：指反映</w:t>
      </w:r>
      <w:r>
        <w:rPr>
          <w:rFonts w:hint="eastAsia" w:ascii="Times New Roman" w:hAnsi="Times New Roman" w:eastAsia="仿宋_GB2312" w:cs="Times New Roman"/>
          <w:i w:val="0"/>
          <w:caps w:val="0"/>
          <w:color w:val="auto"/>
          <w:spacing w:val="0"/>
          <w:sz w:val="32"/>
          <w:szCs w:val="32"/>
          <w:lang w:val="en-US" w:eastAsia="zh-CN"/>
        </w:rPr>
        <w:t>各部门（不含人力资源社会保障部门）举办的中等职业教育支出。政府各部门对社会组织等举办的中等职业学校的资助，如捐赠、补贴等，也在本科目中反映。</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i w:val="0"/>
          <w:caps w:val="0"/>
          <w:color w:val="auto"/>
          <w:spacing w:val="0"/>
          <w:sz w:val="32"/>
          <w:szCs w:val="32"/>
          <w:lang w:val="en-US" w:eastAsia="zh-CN"/>
        </w:rPr>
        <w:t>6</w:t>
      </w:r>
      <w:r>
        <w:rPr>
          <w:rFonts w:hint="default" w:ascii="Times New Roman" w:hAnsi="Times New Roman" w:eastAsia="仿宋_GB2312" w:cs="Times New Roman"/>
          <w:i w:val="0"/>
          <w:caps w:val="0"/>
          <w:color w:val="auto"/>
          <w:spacing w:val="0"/>
          <w:sz w:val="32"/>
          <w:szCs w:val="32"/>
          <w:lang w:val="en-US" w:eastAsia="zh-CN"/>
        </w:rPr>
        <w:t>.教育支出（类）职业教育（款）</w:t>
      </w:r>
      <w:r>
        <w:rPr>
          <w:rFonts w:hint="eastAsia" w:ascii="Times New Roman" w:hAnsi="Times New Roman" w:eastAsia="仿宋_GB2312" w:cs="Times New Roman"/>
          <w:i w:val="0"/>
          <w:caps w:val="0"/>
          <w:color w:val="auto"/>
          <w:spacing w:val="0"/>
          <w:sz w:val="32"/>
          <w:szCs w:val="32"/>
          <w:lang w:val="en-US" w:eastAsia="zh-CN"/>
        </w:rPr>
        <w:t>其他职业教育支出</w:t>
      </w:r>
      <w:r>
        <w:rPr>
          <w:rFonts w:hint="default" w:ascii="Times New Roman" w:hAnsi="Times New Roman" w:eastAsia="仿宋_GB2312" w:cs="Times New Roman"/>
          <w:i w:val="0"/>
          <w:caps w:val="0"/>
          <w:color w:val="auto"/>
          <w:spacing w:val="0"/>
          <w:sz w:val="32"/>
          <w:szCs w:val="32"/>
          <w:lang w:val="en-US" w:eastAsia="zh-CN"/>
        </w:rPr>
        <w:t>（项）：指反映</w:t>
      </w:r>
      <w:r>
        <w:rPr>
          <w:rFonts w:hint="eastAsia" w:ascii="Times New Roman" w:hAnsi="Times New Roman" w:eastAsia="仿宋_GB2312" w:cs="Times New Roman"/>
          <w:i w:val="0"/>
          <w:caps w:val="0"/>
          <w:color w:val="auto"/>
          <w:spacing w:val="0"/>
          <w:sz w:val="32"/>
          <w:szCs w:val="32"/>
          <w:lang w:val="en-US" w:eastAsia="zh-CN"/>
        </w:rPr>
        <w:t>除上述项目以外其他用于职业教育方面的支出。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i w:val="0"/>
          <w:caps w:val="0"/>
          <w:color w:val="auto"/>
          <w:spacing w:val="0"/>
          <w:sz w:val="32"/>
          <w:szCs w:val="32"/>
          <w:lang w:val="en-US" w:eastAsia="zh-CN"/>
        </w:rPr>
        <w:t>7</w:t>
      </w:r>
      <w:r>
        <w:rPr>
          <w:rFonts w:hint="default" w:ascii="Times New Roman" w:hAnsi="Times New Roman" w:eastAsia="仿宋_GB2312" w:cs="Times New Roman"/>
          <w:i w:val="0"/>
          <w:caps w:val="0"/>
          <w:color w:val="auto"/>
          <w:spacing w:val="0"/>
          <w:sz w:val="32"/>
          <w:szCs w:val="32"/>
          <w:lang w:val="en-US" w:eastAsia="zh-CN"/>
        </w:rPr>
        <w:t>.教育支出（类）</w:t>
      </w:r>
      <w:r>
        <w:rPr>
          <w:rFonts w:hint="eastAsia" w:ascii="Times New Roman" w:hAnsi="Times New Roman" w:eastAsia="仿宋_GB2312" w:cs="Times New Roman"/>
          <w:i w:val="0"/>
          <w:caps w:val="0"/>
          <w:color w:val="auto"/>
          <w:spacing w:val="0"/>
          <w:sz w:val="32"/>
          <w:szCs w:val="32"/>
          <w:lang w:val="en-US" w:eastAsia="zh-CN"/>
        </w:rPr>
        <w:t>其他教育支出</w:t>
      </w:r>
      <w:r>
        <w:rPr>
          <w:rFonts w:hint="default" w:ascii="Times New Roman" w:hAnsi="Times New Roman" w:eastAsia="仿宋_GB2312" w:cs="Times New Roman"/>
          <w:i w:val="0"/>
          <w:caps w:val="0"/>
          <w:color w:val="auto"/>
          <w:spacing w:val="0"/>
          <w:sz w:val="32"/>
          <w:szCs w:val="32"/>
          <w:lang w:val="en-US" w:eastAsia="zh-CN"/>
        </w:rPr>
        <w:t>（款）</w:t>
      </w:r>
      <w:r>
        <w:rPr>
          <w:rFonts w:hint="eastAsia" w:ascii="Times New Roman" w:hAnsi="Times New Roman" w:eastAsia="仿宋_GB2312" w:cs="Times New Roman"/>
          <w:i w:val="0"/>
          <w:caps w:val="0"/>
          <w:color w:val="auto"/>
          <w:spacing w:val="0"/>
          <w:sz w:val="32"/>
          <w:szCs w:val="32"/>
          <w:lang w:val="en-US" w:eastAsia="zh-CN"/>
        </w:rPr>
        <w:t>其他教育支出</w:t>
      </w:r>
      <w:r>
        <w:rPr>
          <w:rFonts w:hint="default" w:ascii="Times New Roman" w:hAnsi="Times New Roman" w:eastAsia="仿宋_GB2312" w:cs="Times New Roman"/>
          <w:i w:val="0"/>
          <w:caps w:val="0"/>
          <w:color w:val="auto"/>
          <w:spacing w:val="0"/>
          <w:sz w:val="32"/>
          <w:szCs w:val="32"/>
          <w:lang w:val="en-US" w:eastAsia="zh-CN"/>
        </w:rPr>
        <w:t>（项）：指反映</w:t>
      </w:r>
      <w:r>
        <w:rPr>
          <w:rFonts w:hint="eastAsia" w:ascii="Times New Roman" w:hAnsi="Times New Roman" w:eastAsia="仿宋_GB2312" w:cs="Times New Roman"/>
          <w:i w:val="0"/>
          <w:caps w:val="0"/>
          <w:color w:val="auto"/>
          <w:spacing w:val="0"/>
          <w:sz w:val="32"/>
          <w:szCs w:val="32"/>
          <w:lang w:val="en-US" w:eastAsia="zh-CN"/>
        </w:rPr>
        <w:t>除上述项目以外其他用于教育方面的支出。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rPr>
        <w:t>.社会保障和就业支出（类）人力资源和社会保障管理事务（款）行政运行（项）：指反映行政单位（包括实行公务员管理的事业单位）的基本支出。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社会保障和就业支出（类）人力资源和社会保障管理事务（款）一般行政管理事务（项）：指反映行政单位(包括实行公务员管理的事业单位)未单独设置项级科目的其他项目支出。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i w:val="0"/>
          <w:caps w:val="0"/>
          <w:color w:val="auto"/>
          <w:spacing w:val="0"/>
          <w:sz w:val="32"/>
          <w:szCs w:val="32"/>
          <w:lang w:val="en-US" w:eastAsia="zh-CN"/>
        </w:rPr>
        <w:t>10</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w:t>
      </w:r>
      <w:r>
        <w:rPr>
          <w:rFonts w:hint="eastAsia"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auto"/>
          <w:spacing w:val="0"/>
          <w:sz w:val="32"/>
          <w:szCs w:val="32"/>
        </w:rPr>
        <w:t>（类）人力资源和社会保障管理事务（款）事业运行（项）:指反映事业单位的基本支出，不包括行政单位(包括实行公务员管理的事业单位)后勤服务中心、医务室等附属事业单位。</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1</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w:t>
      </w:r>
      <w:r>
        <w:rPr>
          <w:rFonts w:hint="eastAsia"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auto"/>
          <w:spacing w:val="0"/>
          <w:sz w:val="32"/>
          <w:szCs w:val="32"/>
        </w:rPr>
        <w:t>（类）人力资源和社会保障管理事务（款）其他人力资源和社会保障管理事务支出（项）:指反映除上述项目以外其他人力资源事务方面的支出。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2.</w:t>
      </w:r>
      <w:r>
        <w:rPr>
          <w:rFonts w:hint="default" w:ascii="Times New Roman" w:hAnsi="Times New Roman" w:eastAsia="仿宋_GB2312" w:cs="Times New Roman"/>
          <w:i w:val="0"/>
          <w:caps w:val="0"/>
          <w:color w:val="auto"/>
          <w:spacing w:val="0"/>
          <w:sz w:val="32"/>
          <w:szCs w:val="32"/>
        </w:rPr>
        <w:t>社会保障和就业支出（类）行政事业单位养老支出（款）行政单位离退休（项）：指反映行政单位(包括实行公务员管理的事业单位)开支的离退休经费。</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3</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社会保障和就业支出（类）行政事业单位养老支出（款）机关事业单位基本养老保险缴费支出（项）：指反映机关事业单位实施养老保险制度由单位缴纳的基本养老保险费支出。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4</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社会保障和就业支出（类）行政事业单位养老支出（款）机关事业单位</w:t>
      </w:r>
      <w:r>
        <w:rPr>
          <w:rFonts w:hint="eastAsia" w:ascii="Times New Roman" w:hAnsi="Times New Roman" w:eastAsia="仿宋_GB2312" w:cs="Times New Roman"/>
          <w:i w:val="0"/>
          <w:caps w:val="0"/>
          <w:color w:val="auto"/>
          <w:spacing w:val="0"/>
          <w:sz w:val="32"/>
          <w:szCs w:val="32"/>
          <w:lang w:eastAsia="zh-CN"/>
        </w:rPr>
        <w:t>职业年金</w:t>
      </w:r>
      <w:r>
        <w:rPr>
          <w:rFonts w:hint="default" w:ascii="Times New Roman" w:hAnsi="Times New Roman" w:eastAsia="仿宋_GB2312" w:cs="Times New Roman"/>
          <w:i w:val="0"/>
          <w:caps w:val="0"/>
          <w:color w:val="auto"/>
          <w:spacing w:val="0"/>
          <w:sz w:val="32"/>
          <w:szCs w:val="32"/>
        </w:rPr>
        <w:t>缴费支出（项）：指反映机关事业单位实施养老保险制度由单位</w:t>
      </w:r>
      <w:r>
        <w:rPr>
          <w:rFonts w:hint="eastAsia" w:ascii="Times New Roman" w:hAnsi="Times New Roman" w:eastAsia="仿宋_GB2312" w:cs="Times New Roman"/>
          <w:i w:val="0"/>
          <w:caps w:val="0"/>
          <w:color w:val="auto"/>
          <w:spacing w:val="0"/>
          <w:sz w:val="32"/>
          <w:szCs w:val="32"/>
          <w:lang w:eastAsia="zh-CN"/>
        </w:rPr>
        <w:t>实际</w:t>
      </w:r>
      <w:r>
        <w:rPr>
          <w:rFonts w:hint="default" w:ascii="Times New Roman" w:hAnsi="Times New Roman" w:eastAsia="仿宋_GB2312" w:cs="Times New Roman"/>
          <w:i w:val="0"/>
          <w:caps w:val="0"/>
          <w:color w:val="auto"/>
          <w:spacing w:val="0"/>
          <w:sz w:val="32"/>
          <w:szCs w:val="32"/>
        </w:rPr>
        <w:t>缴纳的</w:t>
      </w:r>
      <w:r>
        <w:rPr>
          <w:rFonts w:hint="eastAsia" w:ascii="Times New Roman" w:hAnsi="Times New Roman" w:eastAsia="仿宋_GB2312" w:cs="Times New Roman"/>
          <w:i w:val="0"/>
          <w:caps w:val="0"/>
          <w:color w:val="auto"/>
          <w:spacing w:val="0"/>
          <w:sz w:val="32"/>
          <w:szCs w:val="32"/>
          <w:lang w:eastAsia="zh-CN"/>
        </w:rPr>
        <w:t>职业年金</w:t>
      </w:r>
      <w:r>
        <w:rPr>
          <w:rFonts w:hint="default" w:ascii="Times New Roman" w:hAnsi="Times New Roman" w:eastAsia="仿宋_GB2312" w:cs="Times New Roman"/>
          <w:i w:val="0"/>
          <w:caps w:val="0"/>
          <w:color w:val="auto"/>
          <w:spacing w:val="0"/>
          <w:sz w:val="32"/>
          <w:szCs w:val="32"/>
        </w:rPr>
        <w:t>支出</w:t>
      </w:r>
      <w:r>
        <w:rPr>
          <w:rFonts w:hint="eastAsia" w:ascii="Times New Roman" w:hAnsi="Times New Roman" w:eastAsia="仿宋_GB2312" w:cs="Times New Roman"/>
          <w:i w:val="0"/>
          <w:caps w:val="0"/>
          <w:color w:val="auto"/>
          <w:spacing w:val="0"/>
          <w:sz w:val="32"/>
          <w:szCs w:val="32"/>
          <w:lang w:eastAsia="zh-CN"/>
        </w:rPr>
        <w:t>（含职业年金补记支出）</w:t>
      </w:r>
      <w:r>
        <w:rPr>
          <w:rFonts w:hint="default" w:ascii="Times New Roman" w:hAnsi="Times New Roman" w:eastAsia="仿宋_GB2312" w:cs="Times New Roman"/>
          <w:i w:val="0"/>
          <w:caps w:val="0"/>
          <w:color w:val="auto"/>
          <w:spacing w:val="0"/>
          <w:sz w:val="32"/>
          <w:szCs w:val="32"/>
        </w:rPr>
        <w:t>。</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eastAsia" w:ascii="Times New Roman" w:hAnsi="Times New Roman" w:eastAsia="仿宋_GB2312" w:cs="Times New Roman"/>
          <w:i w:val="0"/>
          <w:caps w:val="0"/>
          <w:color w:val="auto"/>
          <w:spacing w:val="0"/>
          <w:sz w:val="32"/>
          <w:szCs w:val="32"/>
          <w:lang w:val="en-US" w:eastAsia="zh-CN"/>
        </w:rPr>
        <w:t>15</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w:t>
      </w:r>
      <w:r>
        <w:rPr>
          <w:rFonts w:hint="default" w:ascii="Times New Roman" w:hAnsi="Times New Roman" w:eastAsia="仿宋_GB2312" w:cs="Times New Roman"/>
          <w:i w:val="0"/>
          <w:caps w:val="0"/>
          <w:color w:val="auto"/>
          <w:spacing w:val="0"/>
          <w:sz w:val="32"/>
          <w:szCs w:val="32"/>
          <w:lang w:eastAsia="zh-CN"/>
        </w:rPr>
        <w:t>抚恤</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死亡抚恤</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指反映按规定用于烈士和牺牲、病故人员家属的一次性和定期抚恤金、丧葬补助费以及烈士褒扬金。</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auto"/>
          <w:spacing w:val="0"/>
          <w:sz w:val="32"/>
          <w:szCs w:val="32"/>
          <w:lang w:eastAsia="zh-CN"/>
        </w:rPr>
      </w:pPr>
      <w:r>
        <w:rPr>
          <w:rFonts w:hint="eastAsia" w:ascii="Times New Roman" w:hAnsi="Times New Roman" w:eastAsia="仿宋_GB2312" w:cs="Times New Roman"/>
          <w:i w:val="0"/>
          <w:caps w:val="0"/>
          <w:color w:val="auto"/>
          <w:spacing w:val="0"/>
          <w:sz w:val="32"/>
          <w:szCs w:val="32"/>
          <w:lang w:val="en-US" w:eastAsia="zh-CN"/>
        </w:rPr>
        <w:t>16</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社会保障和就业支出（类）</w:t>
      </w:r>
      <w:r>
        <w:rPr>
          <w:rFonts w:hint="eastAsia" w:ascii="Times New Roman" w:hAnsi="Times New Roman" w:eastAsia="仿宋_GB2312" w:cs="Times New Roman"/>
          <w:i w:val="0"/>
          <w:caps w:val="0"/>
          <w:color w:val="auto"/>
          <w:spacing w:val="0"/>
          <w:sz w:val="32"/>
          <w:szCs w:val="32"/>
          <w:lang w:eastAsia="zh-CN"/>
        </w:rPr>
        <w:t>社会福利</w:t>
      </w:r>
      <w:r>
        <w:rPr>
          <w:rFonts w:hint="default" w:ascii="Times New Roman" w:hAnsi="Times New Roman" w:eastAsia="仿宋_GB2312" w:cs="Times New Roman"/>
          <w:i w:val="0"/>
          <w:caps w:val="0"/>
          <w:color w:val="auto"/>
          <w:spacing w:val="0"/>
          <w:sz w:val="32"/>
          <w:szCs w:val="32"/>
        </w:rPr>
        <w:t>（款）</w:t>
      </w:r>
      <w:r>
        <w:rPr>
          <w:rFonts w:hint="eastAsia" w:ascii="Times New Roman" w:hAnsi="Times New Roman" w:eastAsia="仿宋_GB2312" w:cs="Times New Roman"/>
          <w:i w:val="0"/>
          <w:caps w:val="0"/>
          <w:color w:val="auto"/>
          <w:spacing w:val="0"/>
          <w:sz w:val="32"/>
          <w:szCs w:val="32"/>
          <w:lang w:eastAsia="zh-CN"/>
        </w:rPr>
        <w:t>儿童福利</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w:t>
      </w:r>
      <w:r>
        <w:rPr>
          <w:rFonts w:hint="eastAsia" w:ascii="Times New Roman" w:hAnsi="Times New Roman" w:eastAsia="仿宋_GB2312" w:cs="Times New Roman"/>
          <w:i w:val="0"/>
          <w:caps w:val="0"/>
          <w:color w:val="auto"/>
          <w:spacing w:val="0"/>
          <w:sz w:val="32"/>
          <w:szCs w:val="32"/>
          <w:lang w:eastAsia="zh-CN"/>
        </w:rPr>
        <w:t>对儿童提供福利服务方面的支出。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auto"/>
          <w:spacing w:val="0"/>
          <w:sz w:val="32"/>
          <w:szCs w:val="32"/>
          <w:lang w:eastAsia="zh-CN"/>
        </w:rPr>
      </w:pPr>
      <w:r>
        <w:rPr>
          <w:rFonts w:hint="eastAsia" w:ascii="Times New Roman" w:hAnsi="Times New Roman" w:eastAsia="仿宋_GB2312" w:cs="Times New Roman"/>
          <w:i w:val="0"/>
          <w:caps w:val="0"/>
          <w:color w:val="auto"/>
          <w:spacing w:val="0"/>
          <w:sz w:val="32"/>
          <w:szCs w:val="32"/>
          <w:lang w:val="en-US" w:eastAsia="zh-CN"/>
        </w:rPr>
        <w:t>17.</w:t>
      </w:r>
      <w:r>
        <w:rPr>
          <w:rFonts w:hint="default" w:ascii="Times New Roman" w:hAnsi="Times New Roman" w:eastAsia="仿宋_GB2312" w:cs="Times New Roman"/>
          <w:i w:val="0"/>
          <w:caps w:val="0"/>
          <w:color w:val="auto"/>
          <w:spacing w:val="0"/>
          <w:sz w:val="32"/>
          <w:szCs w:val="32"/>
        </w:rPr>
        <w:t>社会保障和就业支出（类）</w:t>
      </w:r>
      <w:r>
        <w:rPr>
          <w:rFonts w:hint="eastAsia" w:ascii="Times New Roman" w:hAnsi="Times New Roman" w:eastAsia="仿宋_GB2312" w:cs="Times New Roman"/>
          <w:i w:val="0"/>
          <w:caps w:val="0"/>
          <w:color w:val="auto"/>
          <w:spacing w:val="0"/>
          <w:sz w:val="32"/>
          <w:szCs w:val="32"/>
          <w:lang w:eastAsia="zh-CN"/>
        </w:rPr>
        <w:t>其他社会保障和就业支出</w:t>
      </w:r>
      <w:r>
        <w:rPr>
          <w:rFonts w:hint="default" w:ascii="Times New Roman" w:hAnsi="Times New Roman" w:eastAsia="仿宋_GB2312" w:cs="Times New Roman"/>
          <w:i w:val="0"/>
          <w:caps w:val="0"/>
          <w:color w:val="auto"/>
          <w:spacing w:val="0"/>
          <w:sz w:val="32"/>
          <w:szCs w:val="32"/>
        </w:rPr>
        <w:t>（款）</w:t>
      </w:r>
      <w:r>
        <w:rPr>
          <w:rFonts w:hint="eastAsia" w:ascii="Times New Roman" w:hAnsi="Times New Roman" w:eastAsia="仿宋_GB2312" w:cs="Times New Roman"/>
          <w:i w:val="0"/>
          <w:caps w:val="0"/>
          <w:color w:val="auto"/>
          <w:spacing w:val="0"/>
          <w:sz w:val="32"/>
          <w:szCs w:val="32"/>
          <w:lang w:eastAsia="zh-CN"/>
        </w:rPr>
        <w:t>其他社会保障和就业支出</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w:t>
      </w:r>
      <w:r>
        <w:rPr>
          <w:rFonts w:hint="eastAsia" w:ascii="Times New Roman" w:hAnsi="Times New Roman" w:eastAsia="仿宋_GB2312" w:cs="Times New Roman"/>
          <w:i w:val="0"/>
          <w:caps w:val="0"/>
          <w:color w:val="auto"/>
          <w:spacing w:val="0"/>
          <w:sz w:val="32"/>
          <w:szCs w:val="32"/>
          <w:lang w:eastAsia="zh-CN"/>
        </w:rPr>
        <w:t>除上述项目以外其他用于社会保障和就业方面的支出。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8</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行政单位医疗</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指反映财政部门安排的行政单位（包括公务员管理的事业单位，下同）基本医疗保险缴费经费，未</w:t>
      </w:r>
      <w:r>
        <w:rPr>
          <w:rFonts w:hint="default" w:ascii="Times New Roman" w:hAnsi="Times New Roman" w:eastAsia="仿宋_GB2312" w:cs="Times New Roman"/>
          <w:i w:val="0"/>
          <w:caps w:val="0"/>
          <w:color w:val="auto"/>
          <w:spacing w:val="0"/>
          <w:sz w:val="32"/>
          <w:szCs w:val="32"/>
          <w:lang w:val="en-US" w:eastAsia="zh-CN"/>
        </w:rPr>
        <w:t>参加医疗保险的行政单位的公费医疗经费，按国家规定享受离休人员、红军老战士待遇人员的医疗经费。</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lang w:val="en-US" w:eastAsia="zh-CN"/>
        </w:rPr>
        <w:t>1</w:t>
      </w:r>
      <w:r>
        <w:rPr>
          <w:rFonts w:hint="eastAsia" w:ascii="Times New Roman" w:hAnsi="Times New Roman" w:eastAsia="仿宋_GB2312" w:cs="Times New Roman"/>
          <w:i w:val="0"/>
          <w:caps w:val="0"/>
          <w:color w:val="auto"/>
          <w:spacing w:val="0"/>
          <w:sz w:val="32"/>
          <w:szCs w:val="32"/>
          <w:lang w:val="en-US" w:eastAsia="zh-CN"/>
        </w:rPr>
        <w:t>9</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事业单位医疗</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指反映财政部门安排的事业单位基本医疗保险缴费经费，未参加医疗保险的事业单位的公费医疗经费，按国家规定享受离休人员待遇的医疗经费。</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eastAsia" w:ascii="Times New Roman" w:hAnsi="Times New Roman" w:eastAsia="仿宋_GB2312" w:cs="Times New Roman"/>
          <w:i w:val="0"/>
          <w:caps w:val="0"/>
          <w:color w:val="auto"/>
          <w:spacing w:val="0"/>
          <w:sz w:val="32"/>
          <w:szCs w:val="32"/>
          <w:lang w:val="en-US" w:eastAsia="zh-CN"/>
        </w:rPr>
        <w:t>20</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公务员医疗补助</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指反映财政部门安排的公务员医疗补助经费。</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仿宋_GB2312" w:cs="Times New Roman"/>
          <w:i w:val="0"/>
          <w:caps w:val="0"/>
          <w:color w:val="auto"/>
          <w:spacing w:val="0"/>
          <w:sz w:val="32"/>
          <w:szCs w:val="32"/>
          <w:lang w:eastAsia="zh-CN"/>
        </w:rPr>
      </w:pPr>
      <w:r>
        <w:rPr>
          <w:rFonts w:hint="eastAsia" w:ascii="Times New Roman" w:hAnsi="Times New Roman" w:eastAsia="仿宋_GB2312" w:cs="Times New Roman"/>
          <w:i w:val="0"/>
          <w:caps w:val="0"/>
          <w:color w:val="auto"/>
          <w:spacing w:val="0"/>
          <w:sz w:val="32"/>
          <w:szCs w:val="32"/>
          <w:lang w:val="en-US" w:eastAsia="zh-CN"/>
        </w:rPr>
        <w:t>21</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行政事业单位医疗</w:t>
      </w:r>
      <w:r>
        <w:rPr>
          <w:rFonts w:hint="default" w:ascii="Times New Roman" w:hAnsi="Times New Roman" w:eastAsia="仿宋_GB2312" w:cs="Times New Roman"/>
          <w:i w:val="0"/>
          <w:caps w:val="0"/>
          <w:color w:val="auto"/>
          <w:spacing w:val="0"/>
          <w:sz w:val="32"/>
          <w:szCs w:val="32"/>
        </w:rPr>
        <w:t>（款）</w:t>
      </w:r>
      <w:r>
        <w:rPr>
          <w:rFonts w:hint="eastAsia" w:ascii="Times New Roman" w:hAnsi="Times New Roman" w:eastAsia="仿宋_GB2312" w:cs="Times New Roman"/>
          <w:i w:val="0"/>
          <w:caps w:val="0"/>
          <w:color w:val="auto"/>
          <w:spacing w:val="0"/>
          <w:sz w:val="32"/>
          <w:szCs w:val="32"/>
          <w:lang w:eastAsia="zh-CN"/>
        </w:rPr>
        <w:t>其他行政事业单位医疗支出</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w:t>
      </w:r>
      <w:r>
        <w:rPr>
          <w:rFonts w:hint="eastAsia" w:ascii="Times New Roman" w:hAnsi="Times New Roman" w:eastAsia="仿宋_GB2312" w:cs="Times New Roman"/>
          <w:i w:val="0"/>
          <w:caps w:val="0"/>
          <w:color w:val="auto"/>
          <w:spacing w:val="0"/>
          <w:sz w:val="32"/>
          <w:szCs w:val="32"/>
          <w:lang w:eastAsia="zh-CN"/>
        </w:rPr>
        <w:t>除上述项目以外的其他用于行政事业单位医疗方面的支出。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lang w:eastAsia="zh-CN"/>
        </w:rPr>
      </w:pPr>
      <w:r>
        <w:rPr>
          <w:rFonts w:hint="eastAsia" w:ascii="Times New Roman" w:hAnsi="Times New Roman" w:eastAsia="仿宋_GB2312" w:cs="Times New Roman"/>
          <w:i w:val="0"/>
          <w:caps w:val="0"/>
          <w:color w:val="auto"/>
          <w:spacing w:val="0"/>
          <w:sz w:val="32"/>
          <w:szCs w:val="32"/>
          <w:lang w:val="en-US" w:eastAsia="zh-CN"/>
        </w:rPr>
        <w:t>22</w:t>
      </w:r>
      <w:r>
        <w:rPr>
          <w:rFonts w:hint="default" w:ascii="Times New Roman" w:hAnsi="Times New Roman" w:eastAsia="仿宋_GB2312" w:cs="Times New Roman"/>
          <w:i w:val="0"/>
          <w:caps w:val="0"/>
          <w:color w:val="auto"/>
          <w:spacing w:val="0"/>
          <w:sz w:val="32"/>
          <w:szCs w:val="32"/>
          <w:lang w:val="en-US" w:eastAsia="zh-CN"/>
        </w:rPr>
        <w:t>.卫生健康支出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其他卫生健康支出</w:t>
      </w:r>
      <w:r>
        <w:rPr>
          <w:rFonts w:hint="default" w:ascii="Times New Roman" w:hAnsi="Times New Roman" w:eastAsia="仿宋_GB2312" w:cs="Times New Roman"/>
          <w:i w:val="0"/>
          <w:caps w:val="0"/>
          <w:color w:val="auto"/>
          <w:spacing w:val="0"/>
          <w:sz w:val="32"/>
          <w:szCs w:val="32"/>
        </w:rPr>
        <w:t xml:space="preserve">（项）: </w:t>
      </w:r>
      <w:r>
        <w:rPr>
          <w:rFonts w:hint="default" w:ascii="Times New Roman" w:hAnsi="Times New Roman" w:eastAsia="仿宋_GB2312" w:cs="Times New Roman"/>
          <w:i w:val="0"/>
          <w:caps w:val="0"/>
          <w:color w:val="auto"/>
          <w:spacing w:val="0"/>
          <w:sz w:val="32"/>
          <w:szCs w:val="32"/>
          <w:lang w:eastAsia="zh-CN"/>
        </w:rPr>
        <w:t>指反映除上述项目以外其他用于卫生健康方面的支出。</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val="en-US" w:eastAsia="zh-CN"/>
        </w:rPr>
        <w:t>23</w:t>
      </w:r>
      <w:r>
        <w:rPr>
          <w:rFonts w:hint="default" w:ascii="Times New Roman" w:hAnsi="Times New Roman" w:eastAsia="仿宋_GB2312" w:cs="Times New Roman"/>
          <w:i w:val="0"/>
          <w:caps w:val="0"/>
          <w:color w:val="auto"/>
          <w:spacing w:val="0"/>
          <w:sz w:val="32"/>
          <w:szCs w:val="32"/>
        </w:rPr>
        <w:t>.住房保障（类）住房改革支出（款）住房公积金（项）：指反映行政事业单位按人力资源和社会保障部、财政部规定的基本工资和津贴补贴以及规定比例为职工缴纳的住房公积金。</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r>
        <w:rPr>
          <w:rFonts w:hint="eastAsia" w:ascii="Times New Roman" w:hAnsi="Times New Roman" w:eastAsia="仿宋_GB2312" w:cs="Times New Roman"/>
          <w:i w:val="0"/>
          <w:caps w:val="0"/>
          <w:color w:val="auto"/>
          <w:spacing w:val="0"/>
          <w:sz w:val="32"/>
          <w:szCs w:val="32"/>
          <w:lang w:val="en-US" w:eastAsia="zh-CN"/>
        </w:rPr>
        <w:t>24.</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（类）</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（款）</w:t>
      </w:r>
      <w:r>
        <w:rPr>
          <w:rFonts w:hint="default" w:ascii="Times New Roman" w:hAnsi="Times New Roman" w:eastAsia="仿宋_GB2312" w:cs="Times New Roman"/>
          <w:i w:val="0"/>
          <w:caps w:val="0"/>
          <w:color w:val="auto"/>
          <w:spacing w:val="0"/>
          <w:sz w:val="32"/>
          <w:szCs w:val="32"/>
          <w:lang w:eastAsia="zh-CN"/>
        </w:rPr>
        <w:t>其他支出</w:t>
      </w:r>
      <w:r>
        <w:rPr>
          <w:rFonts w:hint="default" w:ascii="Times New Roman" w:hAnsi="Times New Roman" w:eastAsia="仿宋_GB2312" w:cs="Times New Roman"/>
          <w:i w:val="0"/>
          <w:caps w:val="0"/>
          <w:color w:val="auto"/>
          <w:spacing w:val="0"/>
          <w:sz w:val="32"/>
          <w:szCs w:val="32"/>
        </w:rPr>
        <w:t>（项）：指反映</w:t>
      </w:r>
      <w:r>
        <w:rPr>
          <w:rFonts w:hint="default" w:ascii="Times New Roman" w:hAnsi="Times New Roman" w:eastAsia="仿宋_GB2312" w:cs="Times New Roman"/>
          <w:i w:val="0"/>
          <w:caps w:val="0"/>
          <w:color w:val="auto"/>
          <w:spacing w:val="0"/>
          <w:sz w:val="32"/>
          <w:szCs w:val="32"/>
          <w:lang w:eastAsia="zh-CN"/>
        </w:rPr>
        <w:t>除上述项目以外其他不能划分到具体功能科目中的支出项目。</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2</w:t>
      </w:r>
      <w:r>
        <w:rPr>
          <w:rFonts w:hint="eastAsia" w:ascii="Times New Roman" w:hAnsi="Times New Roman" w:eastAsia="仿宋_GB2312" w:cs="Times New Roman"/>
          <w:i w:val="0"/>
          <w:caps w:val="0"/>
          <w:color w:val="auto"/>
          <w:spacing w:val="0"/>
          <w:sz w:val="32"/>
          <w:szCs w:val="32"/>
          <w:lang w:val="en-US" w:eastAsia="zh-CN"/>
        </w:rPr>
        <w:t>5</w:t>
      </w:r>
      <w:r>
        <w:rPr>
          <w:rFonts w:hint="default" w:ascii="Times New Roman" w:hAnsi="Times New Roman" w:eastAsia="仿宋_GB2312" w:cs="Times New Roman"/>
          <w:i w:val="0"/>
          <w:caps w:val="0"/>
          <w:color w:val="auto"/>
          <w:spacing w:val="0"/>
          <w:sz w:val="32"/>
          <w:szCs w:val="32"/>
        </w:rPr>
        <w:t>.基本支出：指为保障机构正常运转、完成日常工作任务而发生的人员支出和公用支出。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2</w:t>
      </w:r>
      <w:r>
        <w:rPr>
          <w:rFonts w:hint="eastAsia" w:ascii="Times New Roman" w:hAnsi="Times New Roman" w:eastAsia="仿宋_GB2312" w:cs="Times New Roman"/>
          <w:i w:val="0"/>
          <w:caps w:val="0"/>
          <w:color w:val="auto"/>
          <w:spacing w:val="0"/>
          <w:sz w:val="32"/>
          <w:szCs w:val="32"/>
          <w:lang w:val="en-US" w:eastAsia="zh-CN"/>
        </w:rPr>
        <w:t>6</w:t>
      </w:r>
      <w:r>
        <w:rPr>
          <w:rFonts w:hint="default" w:ascii="Times New Roman" w:hAnsi="Times New Roman" w:eastAsia="仿宋_GB2312" w:cs="Times New Roman"/>
          <w:i w:val="0"/>
          <w:caps w:val="0"/>
          <w:color w:val="auto"/>
          <w:spacing w:val="0"/>
          <w:sz w:val="32"/>
          <w:szCs w:val="32"/>
        </w:rPr>
        <w:t>.项目支出：指在基本支出之外为完成特定行政任务和事业发展目标所发生的支出。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val="en-US" w:eastAsia="zh-CN"/>
        </w:rPr>
        <w:t>2</w:t>
      </w:r>
      <w:r>
        <w:rPr>
          <w:rFonts w:hint="eastAsia" w:ascii="Times New Roman" w:hAnsi="Times New Roman" w:eastAsia="仿宋_GB2312" w:cs="Times New Roman"/>
          <w:i w:val="0"/>
          <w:caps w:val="0"/>
          <w:color w:val="auto"/>
          <w:spacing w:val="0"/>
          <w:sz w:val="32"/>
          <w:szCs w:val="32"/>
          <w:lang w:val="en-US" w:eastAsia="zh-CN"/>
        </w:rPr>
        <w:t>7</w:t>
      </w:r>
      <w:r>
        <w:rPr>
          <w:rFonts w:hint="default" w:ascii="Times New Roman" w:hAnsi="Times New Roman" w:eastAsia="仿宋_GB2312" w:cs="Times New Roman"/>
          <w:i w:val="0"/>
          <w:caps w:val="0"/>
          <w:color w:val="auto"/>
          <w:spacing w:val="0"/>
          <w:sz w:val="32"/>
          <w:szCs w:val="32"/>
        </w:rPr>
        <w:t>.“三公”经费：指</w:t>
      </w:r>
      <w:r>
        <w:rPr>
          <w:rFonts w:hint="default" w:ascii="Times New Roman" w:hAnsi="Times New Roman" w:eastAsia="仿宋_GB2312" w:cs="Times New Roman"/>
          <w:i w:val="0"/>
          <w:caps w:val="0"/>
          <w:color w:val="auto"/>
          <w:spacing w:val="0"/>
          <w:sz w:val="32"/>
          <w:szCs w:val="32"/>
          <w:lang w:eastAsia="zh-CN"/>
        </w:rPr>
        <w:t>单位</w:t>
      </w:r>
      <w:r>
        <w:rPr>
          <w:rFonts w:hint="default" w:ascii="Times New Roman" w:hAnsi="Times New Roman" w:eastAsia="仿宋_GB2312" w:cs="Times New Roman"/>
          <w:i w:val="0"/>
          <w:caps w:val="0"/>
          <w:color w:val="auto"/>
          <w:spacing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r>
        <w:rPr>
          <w:rFonts w:hint="eastAsia" w:ascii="Times New Roman" w:hAnsi="Times New Roman" w:eastAsia="仿宋_GB2312" w:cs="Times New Roman"/>
          <w:i w:val="0"/>
          <w:caps w:val="0"/>
          <w:color w:val="auto"/>
          <w:spacing w:val="0"/>
          <w:sz w:val="32"/>
          <w:szCs w:val="32"/>
          <w:lang w:val="en-US" w:eastAsia="zh-CN"/>
        </w:rPr>
        <w:t>28</w:t>
      </w:r>
      <w:r>
        <w:rPr>
          <w:rFonts w:hint="default" w:ascii="Times New Roman" w:hAnsi="Times New Roman" w:eastAsia="仿宋_GB2312" w:cs="Times New Roman"/>
          <w:i w:val="0"/>
          <w:caps w:val="0"/>
          <w:color w:val="auto"/>
          <w:spacing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rFonts w:hint="default" w:ascii="Times New Roman" w:hAnsi="Times New Roman" w:eastAsia="仿宋_GB2312" w:cs="Times New Roman"/>
          <w:i w:val="0"/>
          <w:caps w:val="0"/>
          <w:color w:val="auto"/>
          <w:spacing w:val="0"/>
          <w:sz w:val="32"/>
          <w:szCs w:val="32"/>
        </w:rPr>
      </w:pPr>
    </w:p>
    <w:p>
      <w:pPr>
        <w:pStyle w:val="1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黑体" w:cs="Times New Roman"/>
          <w:i w:val="0"/>
          <w:caps w:val="0"/>
          <w:color w:val="auto"/>
          <w:spacing w:val="0"/>
          <w:sz w:val="44"/>
          <w:szCs w:val="44"/>
        </w:rPr>
      </w:pPr>
      <w:bookmarkStart w:id="62" w:name="_GoBack"/>
      <w:bookmarkEnd w:id="62"/>
      <w:bookmarkStart w:id="32" w:name="_Toc18889_WPSOffice_Level1"/>
      <w:bookmarkStart w:id="33" w:name="_Toc31342"/>
      <w:r>
        <w:rPr>
          <w:rFonts w:hint="default" w:ascii="Times New Roman" w:hAnsi="Times New Roman" w:eastAsia="黑体" w:cs="Times New Roman"/>
          <w:i w:val="0"/>
          <w:caps w:val="0"/>
          <w:color w:val="auto"/>
          <w:spacing w:val="0"/>
          <w:sz w:val="44"/>
          <w:szCs w:val="44"/>
        </w:rPr>
        <w:t>附件</w:t>
      </w:r>
      <w:bookmarkEnd w:id="32"/>
      <w:bookmarkEnd w:id="33"/>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eastAsia="黑体" w:cs="Times New Roman"/>
          <w:i w:val="0"/>
          <w:caps w:val="0"/>
          <w:color w:val="auto"/>
          <w:spacing w:val="0"/>
          <w:sz w:val="44"/>
          <w:szCs w:val="44"/>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仿宋_GB2312" w:cs="Times New Roman"/>
          <w:i w:val="0"/>
          <w:caps w:val="0"/>
          <w:color w:val="auto"/>
          <w:spacing w:val="0"/>
          <w:sz w:val="32"/>
          <w:szCs w:val="32"/>
          <w:lang w:val="en-US" w:eastAsia="zh-CN"/>
        </w:rPr>
      </w:pPr>
      <w:bookmarkStart w:id="34" w:name="_Toc11114_WPSOffice_Level2"/>
      <w:r>
        <w:rPr>
          <w:rFonts w:hint="default" w:ascii="Times New Roman" w:hAnsi="Times New Roman" w:eastAsia="仿宋_GB2312" w:cs="Times New Roman"/>
          <w:i w:val="0"/>
          <w:caps w:val="0"/>
          <w:color w:val="auto"/>
          <w:spacing w:val="0"/>
          <w:sz w:val="32"/>
          <w:szCs w:val="32"/>
        </w:rPr>
        <w:t>部门预算项目</w:t>
      </w:r>
      <w:r>
        <w:rPr>
          <w:rFonts w:hint="default"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auto"/>
          <w:spacing w:val="0"/>
          <w:sz w:val="32"/>
          <w:szCs w:val="32"/>
        </w:rPr>
        <w:t>绩效自评</w:t>
      </w:r>
      <w:bookmarkEnd w:id="34"/>
      <w:r>
        <w:rPr>
          <w:rFonts w:hint="default" w:ascii="Times New Roman" w:hAnsi="Times New Roman" w:eastAsia="仿宋_GB2312" w:cs="Times New Roman"/>
          <w:i w:val="0"/>
          <w:caps w:val="0"/>
          <w:color w:val="auto"/>
          <w:spacing w:val="0"/>
          <w:sz w:val="32"/>
          <w:szCs w:val="32"/>
          <w:lang w:eastAsia="zh-CN"/>
        </w:rPr>
        <w:t>表（</w:t>
      </w:r>
      <w:r>
        <w:rPr>
          <w:rFonts w:hint="eastAsia" w:ascii="Times New Roman" w:hAnsi="Times New Roman" w:eastAsia="仿宋_GB2312" w:cs="Times New Roman"/>
          <w:i w:val="0"/>
          <w:caps w:val="0"/>
          <w:color w:val="auto"/>
          <w:spacing w:val="0"/>
          <w:sz w:val="32"/>
          <w:szCs w:val="32"/>
          <w:lang w:val="en-US" w:eastAsia="zh-CN"/>
        </w:rPr>
        <w:t>2025年度</w:t>
      </w:r>
      <w:r>
        <w:rPr>
          <w:rFonts w:hint="default" w:ascii="Times New Roman" w:hAnsi="Times New Roman" w:eastAsia="仿宋_GB2312" w:cs="Times New Roman"/>
          <w:i w:val="0"/>
          <w:caps w:val="0"/>
          <w:color w:val="auto"/>
          <w:spacing w:val="0"/>
          <w:sz w:val="32"/>
          <w:szCs w:val="32"/>
          <w:lang w:eastAsia="zh-CN"/>
        </w:rPr>
        <w:t>）见附件</w:t>
      </w:r>
      <w:r>
        <w:rPr>
          <w:rFonts w:hint="eastAsia" w:ascii="Times New Roman" w:hAnsi="Times New Roman" w:eastAsia="仿宋_GB2312" w:cs="Times New Roman"/>
          <w:i w:val="0"/>
          <w:caps w:val="0"/>
          <w:color w:val="auto"/>
          <w:spacing w:val="0"/>
          <w:sz w:val="32"/>
          <w:szCs w:val="32"/>
          <w:lang w:val="en-US" w:eastAsia="zh-CN"/>
        </w:rPr>
        <w:t>－攀枝花市人力资源和社会保障局2025年度</w:t>
      </w:r>
      <w:r>
        <w:rPr>
          <w:rFonts w:hint="default" w:ascii="Times New Roman" w:hAnsi="Times New Roman" w:eastAsia="仿宋_GB2312" w:cs="Times New Roman"/>
          <w:i w:val="0"/>
          <w:caps w:val="0"/>
          <w:color w:val="auto"/>
          <w:spacing w:val="0"/>
          <w:sz w:val="32"/>
          <w:szCs w:val="32"/>
        </w:rPr>
        <w:t>部门预算项目</w:t>
      </w:r>
      <w:r>
        <w:rPr>
          <w:rFonts w:hint="default" w:ascii="Times New Roman" w:hAnsi="Times New Roman" w:eastAsia="仿宋_GB2312" w:cs="Times New Roman"/>
          <w:i w:val="0"/>
          <w:caps w:val="0"/>
          <w:color w:val="auto"/>
          <w:spacing w:val="0"/>
          <w:sz w:val="32"/>
          <w:szCs w:val="32"/>
          <w:lang w:eastAsia="zh-CN"/>
        </w:rPr>
        <w:t>支出</w:t>
      </w:r>
      <w:r>
        <w:rPr>
          <w:rFonts w:hint="default" w:ascii="Times New Roman" w:hAnsi="Times New Roman" w:eastAsia="仿宋_GB2312" w:cs="Times New Roman"/>
          <w:i w:val="0"/>
          <w:caps w:val="0"/>
          <w:color w:val="auto"/>
          <w:spacing w:val="0"/>
          <w:sz w:val="32"/>
          <w:szCs w:val="32"/>
        </w:rPr>
        <w:t>绩效自评</w:t>
      </w:r>
      <w:r>
        <w:rPr>
          <w:rFonts w:hint="default" w:ascii="Times New Roman" w:hAnsi="Times New Roman" w:eastAsia="仿宋_GB2312" w:cs="Times New Roman"/>
          <w:i w:val="0"/>
          <w:caps w:val="0"/>
          <w:color w:val="auto"/>
          <w:spacing w:val="0"/>
          <w:sz w:val="32"/>
          <w:szCs w:val="32"/>
          <w:lang w:eastAsia="zh-CN"/>
        </w:rPr>
        <w:t>表</w:t>
      </w:r>
      <w:r>
        <w:rPr>
          <w:rFonts w:hint="eastAsia" w:ascii="Times New Roman" w:hAnsi="Times New Roman" w:eastAsia="仿宋_GB2312" w:cs="Times New Roman"/>
          <w:i w:val="0"/>
          <w:caps w:val="0"/>
          <w:color w:val="auto"/>
          <w:spacing w:val="0"/>
          <w:sz w:val="32"/>
          <w:szCs w:val="32"/>
          <w:lang w:eastAsia="zh-CN"/>
        </w:rPr>
        <w:t>。</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cs="Times New Roman"/>
          <w:color w:val="auto"/>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cs="Times New Roman"/>
          <w:color w:val="auto"/>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eastAsia="微软雅黑" w:cs="Times New Roman"/>
          <w:i w:val="0"/>
          <w:caps w:val="0"/>
          <w:color w:val="auto"/>
          <w:spacing w:val="0"/>
          <w:sz w:val="27"/>
          <w:szCs w:val="27"/>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cs="Times New Roman"/>
          <w:color w:val="auto"/>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jc w:val="center"/>
        <w:rPr>
          <w:rFonts w:hint="default" w:ascii="Times New Roman" w:hAnsi="Times New Roman" w:cs="Times New Roman"/>
          <w:color w:val="auto"/>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right="0"/>
        <w:rPr>
          <w:rFonts w:hint="default" w:ascii="Times New Roman" w:hAnsi="Times New Roman" w:cs="Times New Roman"/>
          <w:color w:val="auto"/>
        </w:rPr>
      </w:pPr>
      <w:r>
        <w:rPr>
          <w:rFonts w:hint="default" w:ascii="Times New Roman" w:hAnsi="Times New Roman" w:eastAsia="微软雅黑" w:cs="Times New Roman"/>
          <w:i w:val="0"/>
          <w:caps w:val="0"/>
          <w:color w:val="auto"/>
          <w:spacing w:val="0"/>
          <w:sz w:val="27"/>
          <w:szCs w:val="27"/>
        </w:rPr>
        <w:t>　　　　</w:t>
      </w:r>
    </w:p>
    <w:p>
      <w:pPr>
        <w:pStyle w:val="1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0" w:leftChars="0" w:right="0" w:firstLine="0" w:firstLineChars="0"/>
        <w:jc w:val="center"/>
        <w:outlineLvl w:val="0"/>
        <w:rPr>
          <w:rFonts w:hint="default" w:ascii="Times New Roman" w:hAnsi="Times New Roman" w:eastAsia="黑体" w:cs="Times New Roman"/>
          <w:i w:val="0"/>
          <w:caps w:val="0"/>
          <w:color w:val="auto"/>
          <w:spacing w:val="0"/>
          <w:sz w:val="44"/>
          <w:szCs w:val="44"/>
        </w:rPr>
      </w:pPr>
      <w:bookmarkStart w:id="35" w:name="_Toc29889_WPSOffice_Level1"/>
      <w:bookmarkStart w:id="36" w:name="_Toc21764"/>
      <w:r>
        <w:rPr>
          <w:rFonts w:hint="default" w:ascii="Times New Roman" w:hAnsi="Times New Roman" w:eastAsia="黑体" w:cs="Times New Roman"/>
          <w:i w:val="0"/>
          <w:caps w:val="0"/>
          <w:color w:val="auto"/>
          <w:spacing w:val="0"/>
          <w:sz w:val="44"/>
          <w:szCs w:val="44"/>
        </w:rPr>
        <w:t>附表</w:t>
      </w:r>
      <w:bookmarkEnd w:id="35"/>
      <w:bookmarkEnd w:id="36"/>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37" w:name="_Toc2066"/>
      <w:r>
        <w:rPr>
          <w:rFonts w:hint="default" w:ascii="Times New Roman" w:hAnsi="Times New Roman" w:eastAsia="仿宋_GB2312" w:cs="Times New Roman"/>
          <w:b w:val="0"/>
          <w:bCs/>
          <w:color w:val="auto"/>
          <w:sz w:val="32"/>
          <w:szCs w:val="32"/>
        </w:rPr>
        <w:t>一、收</w:t>
      </w:r>
      <w:r>
        <w:rPr>
          <w:rStyle w:val="19"/>
          <w:rFonts w:hint="default" w:ascii="Times New Roman" w:hAnsi="Times New Roman" w:eastAsia="仿宋_GB2312" w:cs="Times New Roman"/>
          <w:b w:val="0"/>
          <w:bCs/>
          <w:color w:val="auto"/>
          <w:sz w:val="32"/>
          <w:szCs w:val="32"/>
        </w:rPr>
        <w:t>入支出决算总表</w:t>
      </w:r>
      <w:bookmarkEnd w:id="37"/>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38" w:name="_Toc15529"/>
      <w:bookmarkStart w:id="39" w:name="_Toc15396620"/>
      <w:r>
        <w:rPr>
          <w:rFonts w:hint="default" w:ascii="Times New Roman" w:hAnsi="Times New Roman" w:eastAsia="仿宋_GB2312" w:cs="Times New Roman"/>
          <w:b w:val="0"/>
          <w:bCs/>
          <w:color w:val="auto"/>
          <w:sz w:val="32"/>
          <w:szCs w:val="32"/>
        </w:rPr>
        <w:t>二、收</w:t>
      </w:r>
      <w:r>
        <w:rPr>
          <w:rStyle w:val="19"/>
          <w:rFonts w:hint="default" w:ascii="Times New Roman" w:hAnsi="Times New Roman" w:eastAsia="仿宋_GB2312" w:cs="Times New Roman"/>
          <w:b w:val="0"/>
          <w:bCs/>
          <w:color w:val="auto"/>
          <w:sz w:val="32"/>
          <w:szCs w:val="32"/>
        </w:rPr>
        <w:t>入决算表</w:t>
      </w:r>
      <w:bookmarkEnd w:id="38"/>
      <w:bookmarkEnd w:id="39"/>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40" w:name="_Toc13074"/>
      <w:bookmarkStart w:id="41" w:name="_Toc15396621"/>
      <w:r>
        <w:rPr>
          <w:rStyle w:val="19"/>
          <w:rFonts w:hint="default" w:ascii="Times New Roman" w:hAnsi="Times New Roman" w:eastAsia="仿宋_GB2312" w:cs="Times New Roman"/>
          <w:b w:val="0"/>
          <w:bCs/>
          <w:color w:val="auto"/>
          <w:sz w:val="32"/>
          <w:szCs w:val="32"/>
        </w:rPr>
        <w:t>三、</w:t>
      </w:r>
      <w:r>
        <w:rPr>
          <w:rFonts w:hint="default" w:ascii="Times New Roman" w:hAnsi="Times New Roman" w:eastAsia="仿宋_GB2312" w:cs="Times New Roman"/>
          <w:b w:val="0"/>
          <w:bCs/>
          <w:color w:val="auto"/>
          <w:sz w:val="32"/>
          <w:szCs w:val="32"/>
        </w:rPr>
        <w:t>支</w:t>
      </w:r>
      <w:r>
        <w:rPr>
          <w:rStyle w:val="19"/>
          <w:rFonts w:hint="default" w:ascii="Times New Roman" w:hAnsi="Times New Roman" w:eastAsia="仿宋_GB2312" w:cs="Times New Roman"/>
          <w:b w:val="0"/>
          <w:bCs/>
          <w:color w:val="auto"/>
          <w:sz w:val="32"/>
          <w:szCs w:val="32"/>
        </w:rPr>
        <w:t>出决算表</w:t>
      </w:r>
      <w:bookmarkEnd w:id="40"/>
      <w:bookmarkEnd w:id="41"/>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42" w:name="_Toc23292"/>
      <w:bookmarkStart w:id="43" w:name="_Toc15396622"/>
      <w:r>
        <w:rPr>
          <w:rStyle w:val="19"/>
          <w:rFonts w:hint="default" w:ascii="Times New Roman" w:hAnsi="Times New Roman" w:eastAsia="仿宋_GB2312" w:cs="Times New Roman"/>
          <w:b w:val="0"/>
          <w:bCs/>
          <w:color w:val="auto"/>
          <w:sz w:val="32"/>
          <w:szCs w:val="32"/>
        </w:rPr>
        <w:t>四、</w:t>
      </w:r>
      <w:r>
        <w:rPr>
          <w:rFonts w:hint="default" w:ascii="Times New Roman" w:hAnsi="Times New Roman" w:eastAsia="仿宋_GB2312" w:cs="Times New Roman"/>
          <w:b w:val="0"/>
          <w:bCs/>
          <w:color w:val="auto"/>
          <w:sz w:val="32"/>
          <w:szCs w:val="32"/>
        </w:rPr>
        <w:t>财</w:t>
      </w:r>
      <w:r>
        <w:rPr>
          <w:rStyle w:val="19"/>
          <w:rFonts w:hint="default" w:ascii="Times New Roman" w:hAnsi="Times New Roman" w:eastAsia="仿宋_GB2312" w:cs="Times New Roman"/>
          <w:b w:val="0"/>
          <w:bCs/>
          <w:color w:val="auto"/>
          <w:sz w:val="32"/>
          <w:szCs w:val="32"/>
        </w:rPr>
        <w:t>政拨款收入支出决算总表</w:t>
      </w:r>
      <w:bookmarkEnd w:id="42"/>
      <w:bookmarkEnd w:id="43"/>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Style w:val="19"/>
          <w:rFonts w:hint="default" w:ascii="Times New Roman" w:hAnsi="Times New Roman" w:eastAsia="仿宋_GB2312" w:cs="Times New Roman"/>
          <w:b w:val="0"/>
          <w:bCs/>
          <w:color w:val="auto"/>
          <w:sz w:val="32"/>
          <w:szCs w:val="32"/>
        </w:rPr>
      </w:pPr>
      <w:bookmarkStart w:id="44" w:name="_Toc10942"/>
      <w:bookmarkStart w:id="45" w:name="_Toc15396623"/>
      <w:r>
        <w:rPr>
          <w:rStyle w:val="19"/>
          <w:rFonts w:hint="default" w:ascii="Times New Roman" w:hAnsi="Times New Roman" w:eastAsia="仿宋_GB2312" w:cs="Times New Roman"/>
          <w:b w:val="0"/>
          <w:bCs/>
          <w:color w:val="auto"/>
          <w:sz w:val="32"/>
          <w:szCs w:val="32"/>
        </w:rPr>
        <w:t>五、</w:t>
      </w:r>
      <w:r>
        <w:rPr>
          <w:rFonts w:hint="default" w:ascii="Times New Roman" w:hAnsi="Times New Roman" w:eastAsia="仿宋_GB2312" w:cs="Times New Roman"/>
          <w:b w:val="0"/>
          <w:bCs/>
          <w:color w:val="auto"/>
          <w:sz w:val="32"/>
          <w:szCs w:val="32"/>
        </w:rPr>
        <w:t>财</w:t>
      </w:r>
      <w:r>
        <w:rPr>
          <w:rStyle w:val="19"/>
          <w:rFonts w:hint="default" w:ascii="Times New Roman" w:hAnsi="Times New Roman" w:eastAsia="仿宋_GB2312" w:cs="Times New Roman"/>
          <w:b w:val="0"/>
          <w:bCs/>
          <w:color w:val="auto"/>
          <w:sz w:val="32"/>
          <w:szCs w:val="32"/>
        </w:rPr>
        <w:t>政拨款支出决算明细表</w:t>
      </w:r>
      <w:bookmarkEnd w:id="44"/>
      <w:bookmarkEnd w:id="45"/>
      <w:bookmarkStart w:id="46" w:name="_Toc15396624"/>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47" w:name="_Toc27177"/>
      <w:r>
        <w:rPr>
          <w:rStyle w:val="19"/>
          <w:rFonts w:hint="default" w:ascii="Times New Roman" w:hAnsi="Times New Roman" w:eastAsia="仿宋_GB2312" w:cs="Times New Roman"/>
          <w:b w:val="0"/>
          <w:bCs/>
          <w:color w:val="auto"/>
          <w:sz w:val="32"/>
          <w:szCs w:val="32"/>
        </w:rPr>
        <w:t>六、</w:t>
      </w:r>
      <w:r>
        <w:rPr>
          <w:rFonts w:hint="default" w:ascii="Times New Roman" w:hAnsi="Times New Roman" w:eastAsia="仿宋_GB2312" w:cs="Times New Roman"/>
          <w:b w:val="0"/>
          <w:bCs/>
          <w:color w:val="auto"/>
          <w:sz w:val="32"/>
          <w:szCs w:val="32"/>
        </w:rPr>
        <w:t>一</w:t>
      </w:r>
      <w:r>
        <w:rPr>
          <w:rStyle w:val="19"/>
          <w:rFonts w:hint="default" w:ascii="Times New Roman" w:hAnsi="Times New Roman" w:eastAsia="仿宋_GB2312" w:cs="Times New Roman"/>
          <w:b w:val="0"/>
          <w:bCs/>
          <w:color w:val="auto"/>
          <w:sz w:val="32"/>
          <w:szCs w:val="32"/>
        </w:rPr>
        <w:t>般公共预算财政拨款支出决算表</w:t>
      </w:r>
      <w:bookmarkEnd w:id="46"/>
      <w:bookmarkEnd w:id="47"/>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48" w:name="_Toc20546"/>
      <w:bookmarkStart w:id="49" w:name="_Toc15396625"/>
      <w:r>
        <w:rPr>
          <w:rStyle w:val="19"/>
          <w:rFonts w:hint="default" w:ascii="Times New Roman" w:hAnsi="Times New Roman" w:eastAsia="仿宋_GB2312" w:cs="Times New Roman"/>
          <w:b w:val="0"/>
          <w:bCs/>
          <w:color w:val="auto"/>
          <w:sz w:val="32"/>
          <w:szCs w:val="32"/>
        </w:rPr>
        <w:t>七、</w:t>
      </w:r>
      <w:r>
        <w:rPr>
          <w:rFonts w:hint="default" w:ascii="Times New Roman" w:hAnsi="Times New Roman" w:eastAsia="仿宋_GB2312" w:cs="Times New Roman"/>
          <w:b w:val="0"/>
          <w:bCs/>
          <w:color w:val="auto"/>
          <w:sz w:val="32"/>
          <w:szCs w:val="32"/>
        </w:rPr>
        <w:t>一</w:t>
      </w:r>
      <w:r>
        <w:rPr>
          <w:rStyle w:val="19"/>
          <w:rFonts w:hint="default" w:ascii="Times New Roman" w:hAnsi="Times New Roman" w:eastAsia="仿宋_GB2312" w:cs="Times New Roman"/>
          <w:b w:val="0"/>
          <w:bCs/>
          <w:color w:val="auto"/>
          <w:sz w:val="32"/>
          <w:szCs w:val="32"/>
        </w:rPr>
        <w:t>般公共预算财政拨款支出决算明细表</w:t>
      </w:r>
      <w:bookmarkEnd w:id="48"/>
      <w:bookmarkEnd w:id="49"/>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50" w:name="_Toc24468"/>
      <w:bookmarkStart w:id="51" w:name="_Toc15396626"/>
      <w:r>
        <w:rPr>
          <w:rStyle w:val="19"/>
          <w:rFonts w:hint="default" w:ascii="Times New Roman" w:hAnsi="Times New Roman" w:eastAsia="仿宋_GB2312" w:cs="Times New Roman"/>
          <w:b w:val="0"/>
          <w:bCs/>
          <w:color w:val="auto"/>
          <w:sz w:val="32"/>
          <w:szCs w:val="32"/>
        </w:rPr>
        <w:t>八、</w:t>
      </w:r>
      <w:r>
        <w:rPr>
          <w:rFonts w:hint="default" w:ascii="Times New Roman" w:hAnsi="Times New Roman" w:eastAsia="仿宋_GB2312" w:cs="Times New Roman"/>
          <w:b w:val="0"/>
          <w:bCs/>
          <w:color w:val="auto"/>
          <w:sz w:val="32"/>
          <w:szCs w:val="32"/>
        </w:rPr>
        <w:t>一</w:t>
      </w:r>
      <w:r>
        <w:rPr>
          <w:rStyle w:val="19"/>
          <w:rFonts w:hint="default" w:ascii="Times New Roman" w:hAnsi="Times New Roman" w:eastAsia="仿宋_GB2312" w:cs="Times New Roman"/>
          <w:b w:val="0"/>
          <w:bCs/>
          <w:color w:val="auto"/>
          <w:sz w:val="32"/>
          <w:szCs w:val="32"/>
        </w:rPr>
        <w:t>般公共预算财政拨款基本支出决算表</w:t>
      </w:r>
      <w:bookmarkEnd w:id="50"/>
      <w:bookmarkEnd w:id="51"/>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52" w:name="_Toc15396627"/>
      <w:bookmarkStart w:id="53" w:name="_Toc8378"/>
      <w:r>
        <w:rPr>
          <w:rStyle w:val="19"/>
          <w:rFonts w:hint="default" w:ascii="Times New Roman" w:hAnsi="Times New Roman" w:eastAsia="仿宋_GB2312" w:cs="Times New Roman"/>
          <w:b w:val="0"/>
          <w:bCs/>
          <w:color w:val="auto"/>
          <w:sz w:val="32"/>
          <w:szCs w:val="32"/>
        </w:rPr>
        <w:t>九、</w:t>
      </w:r>
      <w:r>
        <w:rPr>
          <w:rFonts w:hint="default" w:ascii="Times New Roman" w:hAnsi="Times New Roman" w:eastAsia="仿宋_GB2312" w:cs="Times New Roman"/>
          <w:b w:val="0"/>
          <w:bCs/>
          <w:color w:val="auto"/>
          <w:sz w:val="32"/>
          <w:szCs w:val="32"/>
        </w:rPr>
        <w:t>一</w:t>
      </w:r>
      <w:r>
        <w:rPr>
          <w:rStyle w:val="19"/>
          <w:rFonts w:hint="default" w:ascii="Times New Roman" w:hAnsi="Times New Roman" w:eastAsia="仿宋_GB2312" w:cs="Times New Roman"/>
          <w:b w:val="0"/>
          <w:bCs/>
          <w:color w:val="auto"/>
          <w:sz w:val="32"/>
          <w:szCs w:val="32"/>
        </w:rPr>
        <w:t>般公共预算财政拨款项目支出决算表</w:t>
      </w:r>
      <w:bookmarkEnd w:id="52"/>
      <w:bookmarkEnd w:id="53"/>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Style w:val="19"/>
          <w:rFonts w:hint="default" w:ascii="Times New Roman" w:hAnsi="Times New Roman" w:eastAsia="仿宋_GB2312" w:cs="Times New Roman"/>
          <w:b w:val="0"/>
          <w:bCs/>
          <w:color w:val="auto"/>
          <w:sz w:val="32"/>
          <w:szCs w:val="32"/>
        </w:rPr>
      </w:pPr>
      <w:bookmarkStart w:id="54" w:name="_Toc15396628"/>
      <w:bookmarkStart w:id="55" w:name="_Toc13349"/>
      <w:r>
        <w:rPr>
          <w:rStyle w:val="19"/>
          <w:rFonts w:hint="default" w:ascii="Times New Roman" w:hAnsi="Times New Roman" w:eastAsia="仿宋_GB2312" w:cs="Times New Roman"/>
          <w:b w:val="0"/>
          <w:bCs/>
          <w:color w:val="auto"/>
          <w:sz w:val="32"/>
          <w:szCs w:val="32"/>
        </w:rPr>
        <w:t>十、</w:t>
      </w:r>
      <w:bookmarkEnd w:id="54"/>
      <w:r>
        <w:rPr>
          <w:rFonts w:hint="default" w:ascii="Times New Roman" w:hAnsi="Times New Roman" w:eastAsia="仿宋_GB2312" w:cs="Times New Roman"/>
          <w:b w:val="0"/>
          <w:bCs/>
          <w:color w:val="auto"/>
          <w:sz w:val="32"/>
          <w:szCs w:val="32"/>
        </w:rPr>
        <w:t>政</w:t>
      </w:r>
      <w:r>
        <w:rPr>
          <w:rStyle w:val="19"/>
          <w:rFonts w:hint="default" w:ascii="Times New Roman" w:hAnsi="Times New Roman" w:eastAsia="仿宋_GB2312" w:cs="Times New Roman"/>
          <w:b w:val="0"/>
          <w:bCs/>
          <w:color w:val="auto"/>
          <w:sz w:val="32"/>
          <w:szCs w:val="32"/>
        </w:rPr>
        <w:t>府性基金预算财政拨款收入支出决算表</w:t>
      </w:r>
      <w:bookmarkEnd w:id="55"/>
      <w:bookmarkStart w:id="56" w:name="_Toc15396629"/>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57" w:name="_Toc18619"/>
      <w:r>
        <w:rPr>
          <w:rStyle w:val="19"/>
          <w:rFonts w:hint="default" w:ascii="Times New Roman" w:hAnsi="Times New Roman" w:eastAsia="仿宋_GB2312" w:cs="Times New Roman"/>
          <w:b w:val="0"/>
          <w:bCs/>
          <w:color w:val="auto"/>
          <w:sz w:val="32"/>
          <w:szCs w:val="32"/>
        </w:rPr>
        <w:t>十一、</w:t>
      </w:r>
      <w:bookmarkEnd w:id="56"/>
      <w:r>
        <w:rPr>
          <w:rFonts w:hint="default" w:ascii="Times New Roman" w:hAnsi="Times New Roman" w:eastAsia="仿宋_GB2312" w:cs="Times New Roman"/>
          <w:b w:val="0"/>
          <w:bCs/>
          <w:color w:val="auto"/>
          <w:sz w:val="32"/>
          <w:szCs w:val="32"/>
        </w:rPr>
        <w:t>国</w:t>
      </w:r>
      <w:r>
        <w:rPr>
          <w:rStyle w:val="19"/>
          <w:rFonts w:hint="default" w:ascii="Times New Roman" w:hAnsi="Times New Roman" w:eastAsia="仿宋_GB2312" w:cs="Times New Roman"/>
          <w:b w:val="0"/>
          <w:bCs/>
          <w:color w:val="auto"/>
          <w:sz w:val="32"/>
          <w:szCs w:val="32"/>
        </w:rPr>
        <w:t>有资本经营预算财政拨款收入支出决算表</w:t>
      </w:r>
      <w:r>
        <w:rPr>
          <w:rFonts w:hint="default" w:ascii="Times New Roman" w:hAnsi="Times New Roman" w:eastAsia="仿宋_GB2312" w:cs="Times New Roman"/>
          <w:b w:val="0"/>
          <w:bCs/>
          <w:i w:val="0"/>
          <w:caps w:val="0"/>
          <w:color w:val="auto"/>
          <w:spacing w:val="0"/>
          <w:sz w:val="32"/>
          <w:szCs w:val="32"/>
        </w:rPr>
        <w:t>（</w:t>
      </w:r>
      <w:r>
        <w:rPr>
          <w:rFonts w:hint="default" w:ascii="Times New Roman" w:hAnsi="Times New Roman" w:eastAsia="仿宋_GB2312" w:cs="Times New Roman"/>
          <w:b w:val="0"/>
          <w:bCs/>
          <w:i w:val="0"/>
          <w:caps w:val="0"/>
          <w:color w:val="auto"/>
          <w:spacing w:val="0"/>
          <w:sz w:val="32"/>
          <w:szCs w:val="32"/>
          <w:lang w:eastAsia="zh-CN"/>
        </w:rPr>
        <w:t>此</w:t>
      </w:r>
      <w:r>
        <w:rPr>
          <w:rFonts w:hint="default" w:ascii="Times New Roman" w:hAnsi="Times New Roman" w:eastAsia="仿宋_GB2312" w:cs="Times New Roman"/>
          <w:b w:val="0"/>
          <w:bCs/>
          <w:i w:val="0"/>
          <w:caps w:val="0"/>
          <w:color w:val="auto"/>
          <w:spacing w:val="0"/>
          <w:sz w:val="32"/>
          <w:szCs w:val="32"/>
        </w:rPr>
        <w:t>表无数据）</w:t>
      </w:r>
      <w:bookmarkEnd w:id="57"/>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58" w:name="_Toc15396630"/>
      <w:bookmarkStart w:id="59" w:name="_Toc25640"/>
      <w:r>
        <w:rPr>
          <w:rStyle w:val="19"/>
          <w:rFonts w:hint="default" w:ascii="Times New Roman" w:hAnsi="Times New Roman" w:eastAsia="仿宋_GB2312" w:cs="Times New Roman"/>
          <w:b w:val="0"/>
          <w:bCs/>
          <w:color w:val="auto"/>
          <w:sz w:val="32"/>
          <w:szCs w:val="32"/>
        </w:rPr>
        <w:t>十二、</w:t>
      </w:r>
      <w:bookmarkEnd w:id="58"/>
      <w:r>
        <w:rPr>
          <w:rStyle w:val="19"/>
          <w:rFonts w:hint="default" w:ascii="Times New Roman" w:hAnsi="Times New Roman" w:eastAsia="仿宋_GB2312" w:cs="Times New Roman"/>
          <w:b w:val="0"/>
          <w:bCs/>
          <w:color w:val="auto"/>
          <w:sz w:val="32"/>
          <w:szCs w:val="32"/>
        </w:rPr>
        <w:t>国有资本经营预算财政拨款支出决算表</w:t>
      </w:r>
      <w:bookmarkStart w:id="60" w:name="_Toc15396631"/>
      <w:r>
        <w:rPr>
          <w:rFonts w:hint="default" w:ascii="Times New Roman" w:hAnsi="Times New Roman" w:eastAsia="仿宋_GB2312" w:cs="Times New Roman"/>
          <w:b w:val="0"/>
          <w:bCs/>
          <w:i w:val="0"/>
          <w:caps w:val="0"/>
          <w:color w:val="auto"/>
          <w:spacing w:val="0"/>
          <w:sz w:val="32"/>
          <w:szCs w:val="32"/>
        </w:rPr>
        <w:t>（</w:t>
      </w:r>
      <w:r>
        <w:rPr>
          <w:rFonts w:hint="default" w:ascii="Times New Roman" w:hAnsi="Times New Roman" w:eastAsia="仿宋_GB2312" w:cs="Times New Roman"/>
          <w:b w:val="0"/>
          <w:bCs/>
          <w:i w:val="0"/>
          <w:caps w:val="0"/>
          <w:color w:val="auto"/>
          <w:spacing w:val="0"/>
          <w:sz w:val="32"/>
          <w:szCs w:val="32"/>
          <w:lang w:eastAsia="zh-CN"/>
        </w:rPr>
        <w:t>此</w:t>
      </w:r>
      <w:r>
        <w:rPr>
          <w:rFonts w:hint="default" w:ascii="Times New Roman" w:hAnsi="Times New Roman" w:eastAsia="仿宋_GB2312" w:cs="Times New Roman"/>
          <w:b w:val="0"/>
          <w:bCs/>
          <w:i w:val="0"/>
          <w:caps w:val="0"/>
          <w:color w:val="auto"/>
          <w:spacing w:val="0"/>
          <w:sz w:val="32"/>
          <w:szCs w:val="32"/>
        </w:rPr>
        <w:t>表无数据）</w:t>
      </w:r>
      <w:bookmarkEnd w:id="59"/>
    </w:p>
    <w:p>
      <w:pPr>
        <w:pStyle w:val="6"/>
        <w:keepNext/>
        <w:keepLines/>
        <w:pageBreakBefore w:val="0"/>
        <w:widowControl w:val="0"/>
        <w:kinsoku/>
        <w:wordWrap/>
        <w:overflowPunct/>
        <w:topLinePunct w:val="0"/>
        <w:autoSpaceDE/>
        <w:autoSpaceDN/>
        <w:bidi w:val="0"/>
        <w:adjustRightInd/>
        <w:snapToGrid/>
        <w:spacing w:before="157" w:beforeLines="50" w:after="157" w:afterLines="50" w:line="416" w:lineRule="auto"/>
        <w:ind w:firstLine="640" w:firstLineChars="200"/>
        <w:textAlignment w:val="auto"/>
        <w:rPr>
          <w:rFonts w:hint="default" w:ascii="Times New Roman" w:hAnsi="Times New Roman" w:eastAsia="仿宋_GB2312" w:cs="Times New Roman"/>
          <w:b w:val="0"/>
          <w:bCs/>
          <w:color w:val="auto"/>
          <w:sz w:val="32"/>
          <w:szCs w:val="32"/>
        </w:rPr>
      </w:pPr>
      <w:bookmarkStart w:id="61" w:name="_Toc30021"/>
      <w:r>
        <w:rPr>
          <w:rStyle w:val="19"/>
          <w:rFonts w:hint="default" w:ascii="Times New Roman" w:hAnsi="Times New Roman" w:eastAsia="仿宋_GB2312" w:cs="Times New Roman"/>
          <w:b w:val="0"/>
          <w:bCs/>
          <w:color w:val="auto"/>
          <w:sz w:val="32"/>
          <w:szCs w:val="32"/>
        </w:rPr>
        <w:t>十三、</w:t>
      </w:r>
      <w:bookmarkEnd w:id="60"/>
      <w:r>
        <w:rPr>
          <w:rStyle w:val="19"/>
          <w:rFonts w:hint="default" w:ascii="Times New Roman" w:hAnsi="Times New Roman" w:eastAsia="仿宋_GB2312" w:cs="Times New Roman"/>
          <w:b w:val="0"/>
          <w:bCs/>
          <w:color w:val="auto"/>
          <w:sz w:val="32"/>
          <w:szCs w:val="32"/>
        </w:rPr>
        <w:t>财政拨款“三公”经费支出决算表</w:t>
      </w:r>
      <w:bookmarkEnd w:id="61"/>
    </w:p>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406" w:beforeAutospacing="0" w:after="406" w:afterAutospacing="0" w:line="525" w:lineRule="atLeast"/>
        <w:ind w:leftChars="0" w:right="0" w:rightChars="0"/>
        <w:jc w:val="center"/>
        <w:rPr>
          <w:rFonts w:hint="default" w:ascii="Times New Roman" w:hAnsi="Times New Roman" w:eastAsia="黑体" w:cs="Times New Roman"/>
          <w:i w:val="0"/>
          <w:caps w:val="0"/>
          <w:color w:val="auto"/>
          <w:spacing w:val="0"/>
          <w:sz w:val="44"/>
          <w:szCs w:val="44"/>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20BFA"/>
    <w:multiLevelType w:val="singleLevel"/>
    <w:tmpl w:val="5CD20BFA"/>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MGRiMmViNTc5YmZjMGZjYTcxNzY5OWVkZDY2MGIifQ=="/>
  </w:docVars>
  <w:rsids>
    <w:rsidRoot w:val="5CB22CCF"/>
    <w:rsid w:val="00771238"/>
    <w:rsid w:val="01C2459D"/>
    <w:rsid w:val="02CE79C5"/>
    <w:rsid w:val="032552C8"/>
    <w:rsid w:val="07397B77"/>
    <w:rsid w:val="091138BD"/>
    <w:rsid w:val="09204824"/>
    <w:rsid w:val="0AAE7DCD"/>
    <w:rsid w:val="0DC759FE"/>
    <w:rsid w:val="0E361D34"/>
    <w:rsid w:val="0E43330F"/>
    <w:rsid w:val="0F851480"/>
    <w:rsid w:val="0FA0117C"/>
    <w:rsid w:val="103C0054"/>
    <w:rsid w:val="10B62E7D"/>
    <w:rsid w:val="11B622C1"/>
    <w:rsid w:val="135C5055"/>
    <w:rsid w:val="13914CB8"/>
    <w:rsid w:val="13F97726"/>
    <w:rsid w:val="143026DC"/>
    <w:rsid w:val="14915F2D"/>
    <w:rsid w:val="15E90593"/>
    <w:rsid w:val="1AD47D3B"/>
    <w:rsid w:val="1C71528B"/>
    <w:rsid w:val="1CF30B76"/>
    <w:rsid w:val="1D703F42"/>
    <w:rsid w:val="1DA82F09"/>
    <w:rsid w:val="1F233C47"/>
    <w:rsid w:val="1F817EB6"/>
    <w:rsid w:val="20C049A5"/>
    <w:rsid w:val="222B5777"/>
    <w:rsid w:val="22870641"/>
    <w:rsid w:val="22E26EBD"/>
    <w:rsid w:val="25F52A64"/>
    <w:rsid w:val="26F67C0B"/>
    <w:rsid w:val="26FE64BA"/>
    <w:rsid w:val="28380B9E"/>
    <w:rsid w:val="29493E47"/>
    <w:rsid w:val="29720AA6"/>
    <w:rsid w:val="29931867"/>
    <w:rsid w:val="2B3721AF"/>
    <w:rsid w:val="2C8C3461"/>
    <w:rsid w:val="2D6D534D"/>
    <w:rsid w:val="2D9556C2"/>
    <w:rsid w:val="2E501371"/>
    <w:rsid w:val="32E725ED"/>
    <w:rsid w:val="35301AEA"/>
    <w:rsid w:val="3E4D1237"/>
    <w:rsid w:val="3E614D33"/>
    <w:rsid w:val="3EDEB3EC"/>
    <w:rsid w:val="3FCE0156"/>
    <w:rsid w:val="423523AD"/>
    <w:rsid w:val="441D73A8"/>
    <w:rsid w:val="47152E30"/>
    <w:rsid w:val="4BEB2693"/>
    <w:rsid w:val="4DC751AF"/>
    <w:rsid w:val="4DCC69F0"/>
    <w:rsid w:val="53994359"/>
    <w:rsid w:val="54307217"/>
    <w:rsid w:val="54991C46"/>
    <w:rsid w:val="564D7AEA"/>
    <w:rsid w:val="57375269"/>
    <w:rsid w:val="57FD42BC"/>
    <w:rsid w:val="596107A4"/>
    <w:rsid w:val="59B94D52"/>
    <w:rsid w:val="5C6E63CF"/>
    <w:rsid w:val="5C725121"/>
    <w:rsid w:val="5CB22CCF"/>
    <w:rsid w:val="5F443B39"/>
    <w:rsid w:val="5F8F4024"/>
    <w:rsid w:val="6164613C"/>
    <w:rsid w:val="61762327"/>
    <w:rsid w:val="61F81130"/>
    <w:rsid w:val="64E767F2"/>
    <w:rsid w:val="68020F08"/>
    <w:rsid w:val="694D56A6"/>
    <w:rsid w:val="69523021"/>
    <w:rsid w:val="6B1C2885"/>
    <w:rsid w:val="711F26D6"/>
    <w:rsid w:val="7258270F"/>
    <w:rsid w:val="741802E7"/>
    <w:rsid w:val="747C6519"/>
    <w:rsid w:val="75653583"/>
    <w:rsid w:val="75DE488F"/>
    <w:rsid w:val="7832079F"/>
    <w:rsid w:val="78594E87"/>
    <w:rsid w:val="78FF6FF6"/>
    <w:rsid w:val="79BD1095"/>
    <w:rsid w:val="7ADD37AD"/>
    <w:rsid w:val="7BF56E91"/>
    <w:rsid w:val="7C5E6D39"/>
    <w:rsid w:val="7D617B23"/>
    <w:rsid w:val="7FD17DAD"/>
    <w:rsid w:val="CBFFD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6">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7">
    <w:name w:val="Body Text"/>
    <w:basedOn w:val="1"/>
    <w:qFormat/>
    <w:uiPriority w:val="99"/>
    <w:pPr>
      <w:spacing w:beforeLines="30"/>
    </w:pPr>
    <w:rPr>
      <w:rFonts w:ascii="仿宋_GB2312" w:eastAsia="仿宋_GB2312"/>
      <w:kern w:val="0"/>
      <w:sz w:val="3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qFormat/>
    <w:uiPriority w:val="99"/>
    <w:rPr>
      <w:rFonts w:cs="Times New Roman"/>
      <w:b/>
    </w:rPr>
  </w:style>
  <w:style w:type="character" w:styleId="16">
    <w:name w:val="Emphasis"/>
    <w:basedOn w:val="14"/>
    <w:qFormat/>
    <w:uiPriority w:val="0"/>
    <w:rPr>
      <w:i/>
    </w:rPr>
  </w:style>
  <w:style w:type="paragraph" w:customStyle="1" w:styleId="17">
    <w:name w:val="WPSOffice手动目录 1"/>
    <w:qFormat/>
    <w:uiPriority w:val="0"/>
    <w:pPr>
      <w:ind w:leftChars="0"/>
    </w:pPr>
    <w:rPr>
      <w:rFonts w:asciiTheme="minorHAnsi" w:hAnsiTheme="minorHAnsi" w:eastAsiaTheme="minorEastAsia" w:cstheme="minorBidi"/>
      <w:sz w:val="20"/>
      <w:szCs w:val="20"/>
    </w:rPr>
  </w:style>
  <w:style w:type="paragraph" w:customStyle="1" w:styleId="18">
    <w:name w:val="WPSOffice手动目录 2"/>
    <w:qFormat/>
    <w:uiPriority w:val="0"/>
    <w:pPr>
      <w:ind w:leftChars="200"/>
    </w:pPr>
    <w:rPr>
      <w:rFonts w:asciiTheme="minorHAnsi" w:hAnsiTheme="minorHAnsi" w:eastAsiaTheme="minorEastAsia" w:cstheme="minorBidi"/>
      <w:sz w:val="20"/>
      <w:szCs w:val="20"/>
    </w:rPr>
  </w:style>
  <w:style w:type="character" w:customStyle="1" w:styleId="19">
    <w:name w:val="标题 2 字符"/>
    <w:basedOn w:val="14"/>
    <w:link w:val="6"/>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58364028959736"/>
          <c:y val="0.00485515455575336"/>
          <c:w val="0.892086879207418"/>
          <c:h val="0.812817608027189"/>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c:v>
                </c:pt>
              </c:strCache>
            </c:strRef>
          </c:cat>
          <c:val>
            <c:numRef>
              <c:f>Sheet1!$B$2</c:f>
              <c:numCache>
                <c:formatCode>General</c:formatCode>
                <c:ptCount val="1"/>
                <c:pt idx="0">
                  <c:v>4559.62</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c:v>
                </c:pt>
              </c:strCache>
            </c:strRef>
          </c:cat>
          <c:val>
            <c:numRef>
              <c:f>Sheet1!$C$2</c:f>
              <c:numCache>
                <c:formatCode>General</c:formatCode>
                <c:ptCount val="1"/>
                <c:pt idx="0">
                  <c:v>3939.71</c:v>
                </c:pt>
              </c:numCache>
            </c:numRef>
          </c:val>
        </c:ser>
        <c:dLbls>
          <c:showLegendKey val="0"/>
          <c:showVal val="1"/>
          <c:showCatName val="0"/>
          <c:showSerName val="0"/>
          <c:showPercent val="0"/>
          <c:showBubbleSize val="0"/>
        </c:dLbls>
        <c:gapWidth val="219"/>
        <c:overlap val="-27"/>
        <c:axId val="771835189"/>
        <c:axId val="665382979"/>
      </c:barChart>
      <c:catAx>
        <c:axId val="77183518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382979"/>
        <c:crosses val="autoZero"/>
        <c:auto val="1"/>
        <c:lblAlgn val="ctr"/>
        <c:lblOffset val="100"/>
        <c:noMultiLvlLbl val="0"/>
      </c:catAx>
      <c:valAx>
        <c:axId val="6653829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835189"/>
        <c:crosses val="autoZero"/>
        <c:crossBetween val="between"/>
      </c:valAx>
      <c:spPr>
        <a:noFill/>
        <a:ln>
          <a:noFill/>
        </a:ln>
        <a:effectLst/>
      </c:spPr>
    </c:plotArea>
    <c:legend>
      <c:legendPos val="b"/>
      <c:layout>
        <c:manualLayout>
          <c:xMode val="edge"/>
          <c:yMode val="edge"/>
          <c:x val="0.356780275562001"/>
          <c:y val="0.9190866770117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169055991344333"/>
                  <c:y val="-0.146951871657754"/>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193930450857508"/>
                  <c:y val="0.0821154287546634"/>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c:v>
                </c:pt>
                <c:pt idx="1">
                  <c:v>政府性基金预算财政拨款</c:v>
                </c:pt>
              </c:strCache>
            </c:strRef>
          </c:cat>
          <c:val>
            <c:numRef>
              <c:f>Sheet1!$B$2:$B$3</c:f>
              <c:numCache>
                <c:formatCode>General</c:formatCode>
                <c:ptCount val="2"/>
                <c:pt idx="0">
                  <c:v>3936.11</c:v>
                </c:pt>
                <c:pt idx="1">
                  <c:v>3.6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65000"/>
                  <a:lumOff val="35000"/>
                </a:schemeClr>
              </a:solidFill>
              <a:latin typeface="+mn-lt"/>
              <a:ea typeface="+mn-ea"/>
              <a:cs typeface="+mn-cs"/>
            </a:defRPr>
          </a:pPr>
        </a:p>
      </c:txPr>
    </c:title>
    <c:autoTitleDeleted val="0"/>
    <c:plotArea>
      <c:layout/>
      <c:doughnutChart>
        <c:varyColors val="1"/>
        <c:ser>
          <c:idx val="0"/>
          <c:order val="0"/>
          <c:tx>
            <c:strRef>
              <c:f>Sheet1!$B$1</c:f>
              <c:strCache>
                <c:ptCount val="1"/>
                <c:pt idx="0">
                  <c:v>本年支出</c:v>
                </c:pt>
              </c:strCache>
            </c:strRef>
          </c:tx>
          <c:spPr>
            <a:sp3d contourW="9525"/>
          </c:spPr>
          <c:explosion val="0"/>
          <c:dPt>
            <c:idx val="0"/>
            <c:bubble3D val="0"/>
            <c:spPr>
              <a:solidFill>
                <a:schemeClr val="accent1"/>
              </a:solidFill>
              <a:ln>
                <a:noFill/>
              </a:ln>
              <a:effectLst>
                <a:outerShdw blurRad="317500" algn="ctr" rotWithShape="0">
                  <a:prstClr val="black">
                    <a:alpha val="25000"/>
                  </a:prstClr>
                </a:outerShdw>
              </a:effectLst>
              <a:sp3d contourW="9525"/>
            </c:spPr>
          </c:dPt>
          <c:dPt>
            <c:idx val="1"/>
            <c:bubble3D val="0"/>
            <c:spPr>
              <a:solidFill>
                <a:schemeClr val="accent2"/>
              </a:solidFill>
              <a:ln>
                <a:noFill/>
              </a:ln>
              <a:effectLst>
                <a:outerShdw blurRad="317500" algn="ctr" rotWithShape="0">
                  <a:prstClr val="black">
                    <a:alpha val="25000"/>
                  </a:prstClr>
                </a:outerShdw>
              </a:effectLst>
              <a:sp3d contourW="9525"/>
            </c:spPr>
          </c:dPt>
          <c:dLbls>
            <c:dLbl>
              <c:idx val="0"/>
              <c:layout>
                <c:manualLayout>
                  <c:x val="-0.00338753387533875"/>
                  <c:y val="-0.0282828282828283"/>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853658536585366"/>
                  <c:y val="0"/>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1520.28</c:v>
                </c:pt>
                <c:pt idx="1">
                  <c:v>2419.43</c:v>
                </c:pt>
              </c:numCache>
            </c:numRef>
          </c:val>
        </c:ser>
        <c:dLbls>
          <c:showLegendKey val="0"/>
          <c:showVal val="0"/>
          <c:showCatName val="1"/>
          <c:showSerName val="0"/>
          <c:showPercent val="1"/>
          <c:showBubbleSize val="0"/>
          <c:showLeaderLines val="1"/>
        </c:dLbls>
        <c:firstSliceAng val="0"/>
        <c:holeSize val="50"/>
      </c:doughnut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1"/>
            <c:showCatName val="0"/>
            <c:showSerName val="1"/>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财政拨款收、支决算总计</c:v>
                </c:pt>
              </c:strCache>
            </c:strRef>
          </c:cat>
          <c:val>
            <c:numRef>
              <c:f>Sheet1!$B$2</c:f>
              <c:numCache>
                <c:formatCode>General</c:formatCode>
                <c:ptCount val="1"/>
                <c:pt idx="0">
                  <c:v>4559.62</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1"/>
            <c:showCatName val="0"/>
            <c:showSerName val="1"/>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财政拨款收、支决算总计</c:v>
                </c:pt>
              </c:strCache>
            </c:strRef>
          </c:cat>
          <c:val>
            <c:numRef>
              <c:f>Sheet1!$C$2</c:f>
              <c:numCache>
                <c:formatCode>General</c:formatCode>
                <c:ptCount val="1"/>
                <c:pt idx="0">
                  <c:v>3939.71</c:v>
                </c:pt>
              </c:numCache>
            </c:numRef>
          </c:val>
        </c:ser>
        <c:dLbls>
          <c:showLegendKey val="0"/>
          <c:showVal val="1"/>
          <c:showCatName val="0"/>
          <c:showSerName val="0"/>
          <c:showPercent val="0"/>
          <c:showBubbleSize val="0"/>
        </c:dLbls>
        <c:gapWidth val="219"/>
        <c:overlap val="-27"/>
        <c:axId val="139170173"/>
        <c:axId val="917733409"/>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Lbl>
                    <c:idx val="0"/>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财政拨款收、支决算总计</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1391701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7733409"/>
        <c:crosses val="autoZero"/>
        <c:auto val="1"/>
        <c:lblAlgn val="ctr"/>
        <c:lblOffset val="100"/>
        <c:noMultiLvlLbl val="0"/>
      </c:catAx>
      <c:valAx>
        <c:axId val="91773340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1701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6325"/>
          <c:y val="0.127"/>
          <c:w val="0.927925"/>
          <c:h val="0.716566666666667"/>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1"/>
            <c:showCatName val="0"/>
            <c:showSerName val="1"/>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4459.62</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1"/>
            <c:showCatName val="0"/>
            <c:showSerName val="1"/>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3936.11</c:v>
                </c:pt>
              </c:numCache>
            </c:numRef>
          </c:val>
        </c:ser>
        <c:dLbls>
          <c:showLegendKey val="0"/>
          <c:showVal val="0"/>
          <c:showCatName val="0"/>
          <c:showSerName val="0"/>
          <c:showPercent val="0"/>
          <c:showBubbleSize val="0"/>
        </c:dLbls>
        <c:gapWidth val="219"/>
        <c:overlap val="-27"/>
        <c:axId val="126638824"/>
        <c:axId val="26688731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c15:sqref>
                        </c15:formulaRef>
                      </c:ext>
                    </c:extLst>
                    <c:strCache>
                      <c:ptCount val="1"/>
                      <c:pt idx="0">
                        <c:v>一般公共预算财政拨款支出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1266388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6887311"/>
        <c:crosses val="autoZero"/>
        <c:auto val="1"/>
        <c:lblAlgn val="ctr"/>
        <c:lblOffset val="100"/>
        <c:noMultiLvlLbl val="0"/>
      </c:catAx>
      <c:valAx>
        <c:axId val="266887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6638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287761806895415"/>
          <c:y val="0.307528991971454"/>
          <c:w val="0.425313314306986"/>
          <c:h val="0.611525423728814"/>
        </c:manualLayout>
      </c:layout>
      <c:pie3DChart>
        <c:varyColors val="1"/>
        <c:ser>
          <c:idx val="0"/>
          <c:order val="0"/>
          <c:tx>
            <c:strRef>
              <c:f>Sheet1!$B$1</c:f>
              <c:strCache>
                <c:ptCount val="1"/>
                <c:pt idx="0">
                  <c:v>一般公共预算财政拨款支出</c:v>
                </c:pt>
              </c:strCache>
            </c:strRef>
          </c:tx>
          <c:spPr/>
          <c:explosion val="0"/>
          <c:dPt>
            <c:idx val="0"/>
            <c:bubble3D val="0"/>
            <c:explosion val="1"/>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Pt>
            <c:idx val="2"/>
            <c:bubble3D val="0"/>
            <c:spPr>
              <a:solidFill>
                <a:schemeClr val="accent3"/>
              </a:solidFill>
              <a:ln w="25400">
                <a:solidFill>
                  <a:schemeClr val="lt1"/>
                </a:solidFill>
              </a:ln>
              <a:effectLst/>
            </c:spPr>
          </c:dPt>
          <c:dPt>
            <c:idx val="3"/>
            <c:bubble3D val="0"/>
            <c:spPr>
              <a:solidFill>
                <a:schemeClr val="accent4"/>
              </a:solidFill>
              <a:ln w="25400">
                <a:solidFill>
                  <a:schemeClr val="lt1"/>
                </a:solidFill>
              </a:ln>
              <a:effectLst/>
            </c:spPr>
          </c:dPt>
          <c:dPt>
            <c:idx val="4"/>
            <c:bubble3D val="0"/>
            <c:spPr>
              <a:solidFill>
                <a:schemeClr val="accent5"/>
              </a:solidFill>
              <a:ln w="25400">
                <a:solidFill>
                  <a:schemeClr val="lt1"/>
                </a:solidFill>
              </a:ln>
              <a:effectLst/>
            </c:spPr>
          </c:dPt>
          <c:dPt>
            <c:idx val="5"/>
            <c:bubble3D val="0"/>
            <c:spPr>
              <a:solidFill>
                <a:schemeClr val="accent6"/>
              </a:solidFill>
              <a:ln w="25400">
                <a:solidFill>
                  <a:schemeClr val="lt1"/>
                </a:solidFill>
              </a:ln>
              <a:effectLst/>
            </c:spPr>
          </c:dPt>
          <c:dLbls>
            <c:dLbl>
              <c:idx val="0"/>
              <c:layout>
                <c:manualLayout>
                  <c:x val="-0.0790171532195135"/>
                  <c:y val="-0.15654012449367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2712869650569"/>
                  <c:y val="-0.41774228218148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21072211610975"/>
                  <c:y val="-0.04341559484277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23446584263578"/>
                  <c:y val="-0.26074435997876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0620902837772635"/>
                  <c:y val="0.098024979701028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113986857985785"/>
                  <c:y val="-0.276365244306876"/>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Sheet1!$A$2:$A$7</c:f>
              <c:strCache>
                <c:ptCount val="6"/>
                <c:pt idx="0">
                  <c:v>教育支出</c:v>
                </c:pt>
                <c:pt idx="1">
                  <c:v>住房保障支出</c:v>
                </c:pt>
                <c:pt idx="2">
                  <c:v>卫生健康支出</c:v>
                </c:pt>
                <c:pt idx="3">
                  <c:v>一般公共服务支出</c:v>
                </c:pt>
                <c:pt idx="4">
                  <c:v>其他支出</c:v>
                </c:pt>
                <c:pt idx="5">
                  <c:v>社会保障和就业支出</c:v>
                </c:pt>
              </c:strCache>
            </c:strRef>
          </c:cat>
          <c:val>
            <c:numRef>
              <c:f>Sheet1!$B$2:$B$7</c:f>
              <c:numCache>
                <c:formatCode>General</c:formatCode>
                <c:ptCount val="6"/>
                <c:pt idx="0">
                  <c:v>1267.58</c:v>
                </c:pt>
                <c:pt idx="1">
                  <c:v>89.4</c:v>
                </c:pt>
                <c:pt idx="2">
                  <c:v>78.79</c:v>
                </c:pt>
                <c:pt idx="3">
                  <c:v>2.56</c:v>
                </c:pt>
                <c:pt idx="4">
                  <c:v>80</c:v>
                </c:pt>
                <c:pt idx="5">
                  <c:v>2417.78</c:v>
                </c:pt>
              </c:numCache>
            </c:numRef>
          </c:val>
        </c:ser>
        <c:dLbls>
          <c:showLegendKey val="1"/>
          <c:showVal val="0"/>
          <c:showCatName val="1"/>
          <c:showSerName val="0"/>
          <c:showPercent val="1"/>
          <c:showBubbleSize val="0"/>
        </c:dLbls>
      </c:pie3DChart>
      <c:spPr>
        <a:noFill/>
        <a:ln>
          <a:noFill/>
        </a:ln>
        <a:effectLst/>
      </c:spPr>
    </c:plotArea>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08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“三公”经费财政拨款支出</c:v>
                </c:pt>
              </c:strCache>
            </c:strRef>
          </c:tx>
          <c:spPr/>
          <c:explosion val="0"/>
          <c:dPt>
            <c:idx val="0"/>
            <c:bubble3D val="0"/>
            <c:spPr>
              <a:solidFill>
                <a:schemeClr val="accent2"/>
              </a:solidFill>
              <a:ln w="25400">
                <a:solidFill>
                  <a:schemeClr val="lt1"/>
                </a:solidFill>
              </a:ln>
              <a:effectLst/>
            </c:spPr>
          </c:dPt>
          <c:dPt>
            <c:idx val="1"/>
            <c:bubble3D val="0"/>
            <c:spPr>
              <a:solidFill>
                <a:schemeClr val="accent4"/>
              </a:solidFill>
              <a:ln w="25400">
                <a:solidFill>
                  <a:schemeClr val="lt1"/>
                </a:solidFill>
              </a:ln>
              <a:effectLst/>
            </c:spPr>
          </c:dPt>
          <c:dPt>
            <c:idx val="2"/>
            <c:bubble3D val="0"/>
            <c:spPr>
              <a:solidFill>
                <a:schemeClr val="accent6"/>
              </a:solidFill>
              <a:ln w="25400">
                <a:solidFill>
                  <a:schemeClr val="lt1"/>
                </a:solidFill>
              </a:ln>
              <a:effectLst/>
            </c:spPr>
          </c:dPt>
          <c:dLbls>
            <c:dLbl>
              <c:idx val="0"/>
              <c:layout>
                <c:manualLayout>
                  <c:x val="0.383551834917081"/>
                  <c:y val="0.1014317765577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55605381165919"/>
                      <c:h val="0.240384615384615"/>
                    </c:manualLayout>
                  </c15:layout>
                </c:ext>
              </c:extLst>
            </c:dLbl>
            <c:dLbl>
              <c:idx val="1"/>
              <c:layout>
                <c:manualLayout>
                  <c:x val="0.0231066727568548"/>
                  <c:y val="0.030737512475768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29461015478085"/>
                      <c:h val="0.253846153846154"/>
                    </c:manualLayout>
                  </c15:layout>
                </c:ext>
              </c:extLst>
            </c:dLbl>
            <c:dLbl>
              <c:idx val="2"/>
              <c:layout>
                <c:manualLayout>
                  <c:x val="-0.0459693457421181"/>
                  <c:y val="0.06928850034561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31341530449877"/>
                      <c:h val="0.194505494505495"/>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2.84</c:v>
                </c:pt>
                <c:pt idx="2">
                  <c:v>2.59</c:v>
                </c:pt>
              </c:numCache>
            </c:numRef>
          </c:val>
        </c:ser>
        <c:dLbls>
          <c:showLegendKey val="1"/>
          <c:showVal val="0"/>
          <c:showCatName val="1"/>
          <c:showSerName val="0"/>
          <c:showPercent val="1"/>
          <c:showBubbleSize val="0"/>
        </c:dLbls>
      </c:pie3D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115">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26</Pages>
  <Words>8039</Words>
  <Characters>8717</Characters>
  <Lines>0</Lines>
  <Paragraphs>0</Paragraphs>
  <TotalTime>186</TotalTime>
  <ScaleCrop>false</ScaleCrop>
  <LinksUpToDate>false</LinksUpToDate>
  <CharactersWithSpaces>8869</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2023-08-04T19:01:00Z</dcterms:created>
  <dc:creator>程红</dc:creator>
  <cp:lastModifiedBy>Administrator</cp:lastModifiedBy>
  <cp:lastPrinted>2024-09-11T21:41:00Z</cp:lastPrinted>
  <dcterms:modified xsi:type="dcterms:W3CDTF">2026-09-14T01:13:38Z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266A634CBFE046DE83DC24B8C911A5D4</vt:lpwstr>
  </property>
  <property fmtid="{D5CDD505-2E9C-101B-9397-08002B2CF9AE}" pid="4" name="KSOTemplateDocerSaveRecord">
    <vt:lpwstr>eyJoZGlkIjoiYjI1MzdjNzEyODMxZTg2YmZhMmQ3OGQ2OTgyZjg4YjYiLCJ1c2VySWQiOiI0NTYxNDQ0NDAifQ==</vt:lpwstr>
  </property>
</Properties>
</file>