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525" w:beforeAutospacing="0" w:after="375" w:afterAutospacing="0"/>
        <w:ind w:left="0" w:right="0" w:firstLine="0"/>
        <w:jc w:val="center"/>
        <w:rPr>
          <w:rFonts w:hint="default" w:ascii="Times New Roman" w:hAnsi="Times New Roman" w:eastAsia="微软雅黑" w:cs="Times New Roman"/>
          <w:b w:val="0"/>
          <w:i w:val="0"/>
          <w:caps w:val="0"/>
          <w:color w:val="000000" w:themeColor="text1"/>
          <w:spacing w:val="0"/>
          <w:sz w:val="45"/>
          <w:szCs w:val="45"/>
          <w14:textFill>
            <w14:solidFill>
              <w14:schemeClr w14:val="tx1"/>
            </w14:solidFill>
          </w14:textFill>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525" w:beforeAutospacing="0" w:after="375" w:afterAutospacing="0"/>
        <w:ind w:left="0" w:right="0" w:firstLine="0"/>
        <w:jc w:val="center"/>
        <w:rPr>
          <w:rFonts w:hint="default" w:ascii="Times New Roman" w:hAnsi="Times New Roman" w:eastAsia="微软雅黑" w:cs="Times New Roman"/>
          <w:b w:val="0"/>
          <w:i w:val="0"/>
          <w:caps w:val="0"/>
          <w:color w:val="000000" w:themeColor="text1"/>
          <w:spacing w:val="0"/>
          <w:sz w:val="52"/>
          <w:szCs w:val="52"/>
          <w14:textFill>
            <w14:solidFill>
              <w14:schemeClr w14:val="tx1"/>
            </w14:solidFill>
          </w14:textFill>
        </w:rPr>
      </w:pPr>
      <w:r>
        <w:rPr>
          <w:rFonts w:hint="default" w:ascii="Times New Roman" w:hAnsi="Times New Roman" w:eastAsia="微软雅黑" w:cs="Times New Roman"/>
          <w:b w:val="0"/>
          <w:i w:val="0"/>
          <w:caps w:val="0"/>
          <w:color w:val="000000" w:themeColor="text1"/>
          <w:spacing w:val="0"/>
          <w:sz w:val="52"/>
          <w:szCs w:val="52"/>
          <w14:textFill>
            <w14:solidFill>
              <w14:schemeClr w14:val="tx1"/>
            </w14:solidFill>
          </w14:textFill>
        </w:rPr>
        <w:t>攀枝花市人力资源和社会保障局</w:t>
      </w:r>
      <w:r>
        <w:rPr>
          <w:rFonts w:hint="default" w:ascii="Times New Roman" w:hAnsi="Times New Roman" w:eastAsia="微软雅黑" w:cs="Times New Roman"/>
          <w:b w:val="0"/>
          <w:i w:val="0"/>
          <w:caps w:val="0"/>
          <w:color w:val="000000" w:themeColor="text1"/>
          <w:spacing w:val="0"/>
          <w:sz w:val="52"/>
          <w:szCs w:val="52"/>
          <w:lang w:eastAsia="zh-CN"/>
          <w14:textFill>
            <w14:solidFill>
              <w14:schemeClr w14:val="tx1"/>
            </w14:solidFill>
          </w14:textFill>
        </w:rPr>
        <w:t>2025年度</w:t>
      </w:r>
      <w:r>
        <w:rPr>
          <w:rFonts w:hint="default" w:ascii="Times New Roman" w:hAnsi="Times New Roman" w:eastAsia="微软雅黑" w:cs="Times New Roman"/>
          <w:b w:val="0"/>
          <w:i w:val="0"/>
          <w:caps w:val="0"/>
          <w:color w:val="000000" w:themeColor="text1"/>
          <w:spacing w:val="0"/>
          <w:sz w:val="52"/>
          <w:szCs w:val="52"/>
          <w14:textFill>
            <w14:solidFill>
              <w14:schemeClr w14:val="tx1"/>
            </w14:solidFill>
          </w14:textFill>
        </w:rPr>
        <w:t>部门决算</w:t>
      </w:r>
      <w:r>
        <w:rPr>
          <w:rFonts w:hint="default" w:ascii="Times New Roman" w:hAnsi="Times New Roman" w:eastAsia="微软雅黑" w:cs="Times New Roman"/>
          <w:b w:val="0"/>
          <w:i w:val="0"/>
          <w:caps w:val="0"/>
          <w:color w:val="auto"/>
          <w:spacing w:val="0"/>
          <w:sz w:val="48"/>
          <w:szCs w:val="48"/>
          <w:lang w:eastAsia="zh-CN"/>
        </w:rPr>
        <w:t>公开编制说明</w:t>
      </w:r>
    </w:p>
    <w:p>
      <w:pPr>
        <w:pStyle w:val="11"/>
        <w:keepNext w:val="0"/>
        <w:keepLines w:val="0"/>
        <w:widowControl/>
        <w:suppressLineNumbers w:val="0"/>
        <w:pBdr>
          <w:top w:val="none" w:color="auto" w:sz="0" w:space="0"/>
          <w:left w:val="none" w:color="auto" w:sz="0" w:space="0"/>
          <w:bottom w:val="none" w:color="auto" w:sz="0" w:space="0"/>
          <w:right w:val="none" w:color="auto" w:sz="0" w:space="0"/>
        </w:pBdr>
        <w:tabs>
          <w:tab w:val="left" w:pos="5892"/>
        </w:tabs>
        <w:spacing w:before="406" w:beforeAutospacing="0" w:after="406" w:afterAutospacing="0" w:line="525" w:lineRule="atLeast"/>
        <w:ind w:left="0" w:right="0"/>
        <w:rPr>
          <w:rFonts w:hint="default" w:ascii="Times New Roman" w:hAnsi="Times New Roman" w:eastAsia="微软雅黑" w:cs="Times New Roman"/>
          <w:i w:val="0"/>
          <w:caps w:val="0"/>
          <w:color w:val="000000" w:themeColor="text1"/>
          <w:spacing w:val="0"/>
          <w:sz w:val="27"/>
          <w:szCs w:val="27"/>
          <w:lang w:eastAsia="zh-CN"/>
          <w14:textFill>
            <w14:solidFill>
              <w14:schemeClr w14:val="tx1"/>
            </w14:solidFill>
          </w14:textFill>
        </w:rPr>
      </w:pP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　　</w:t>
      </w:r>
      <w:r>
        <w:rPr>
          <w:rFonts w:hint="default" w:ascii="Times New Roman" w:hAnsi="Times New Roman" w:eastAsia="微软雅黑" w:cs="Times New Roman"/>
          <w:i w:val="0"/>
          <w:caps w:val="0"/>
          <w:color w:val="000000" w:themeColor="text1"/>
          <w:spacing w:val="0"/>
          <w:sz w:val="27"/>
          <w:szCs w:val="27"/>
          <w:lang w:eastAsia="zh-CN"/>
          <w14:textFill>
            <w14:solidFill>
              <w14:schemeClr w14:val="tx1"/>
            </w14:solidFill>
          </w14:textFill>
        </w:rPr>
        <w:tab/>
      </w:r>
    </w:p>
    <w:p>
      <w:pPr>
        <w:pStyle w:val="11"/>
        <w:keepNext w:val="0"/>
        <w:keepLines w:val="0"/>
        <w:widowControl/>
        <w:suppressLineNumbers w:val="0"/>
        <w:pBdr>
          <w:top w:val="none" w:color="auto" w:sz="0" w:space="0"/>
          <w:left w:val="none" w:color="auto" w:sz="0" w:space="0"/>
          <w:bottom w:val="none" w:color="auto" w:sz="0" w:space="0"/>
          <w:right w:val="none" w:color="auto" w:sz="0" w:space="0"/>
        </w:pBdr>
        <w:tabs>
          <w:tab w:val="left" w:pos="5892"/>
        </w:tabs>
        <w:spacing w:before="406" w:beforeAutospacing="0" w:after="406" w:afterAutospacing="0" w:line="525" w:lineRule="atLeast"/>
        <w:ind w:left="0" w:right="0"/>
        <w:rPr>
          <w:rFonts w:hint="default" w:ascii="Times New Roman" w:hAnsi="Times New Roman" w:eastAsia="微软雅黑" w:cs="Times New Roman"/>
          <w:i w:val="0"/>
          <w:caps w:val="0"/>
          <w:color w:val="000000" w:themeColor="text1"/>
          <w:spacing w:val="0"/>
          <w:sz w:val="27"/>
          <w:szCs w:val="27"/>
          <w:lang w:eastAsia="zh-CN"/>
          <w14:textFill>
            <w14:solidFill>
              <w14:schemeClr w14:val="tx1"/>
            </w14:solidFill>
          </w14:textFill>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tabs>
          <w:tab w:val="left" w:pos="5892"/>
        </w:tabs>
        <w:spacing w:before="406" w:beforeAutospacing="0" w:after="406" w:afterAutospacing="0" w:line="525" w:lineRule="atLeast"/>
        <w:ind w:left="0" w:right="0"/>
        <w:rPr>
          <w:rFonts w:hint="default" w:ascii="Times New Roman" w:hAnsi="Times New Roman" w:eastAsia="微软雅黑" w:cs="Times New Roman"/>
          <w:i w:val="0"/>
          <w:caps w:val="0"/>
          <w:color w:val="000000" w:themeColor="text1"/>
          <w:spacing w:val="0"/>
          <w:sz w:val="27"/>
          <w:szCs w:val="27"/>
          <w:lang w:eastAsia="zh-CN"/>
          <w14:textFill>
            <w14:solidFill>
              <w14:schemeClr w14:val="tx1"/>
            </w14:solidFill>
          </w14:textFill>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tabs>
          <w:tab w:val="left" w:pos="5892"/>
        </w:tabs>
        <w:spacing w:before="406" w:beforeAutospacing="0" w:after="406" w:afterAutospacing="0" w:line="525" w:lineRule="atLeast"/>
        <w:ind w:left="0" w:right="0"/>
        <w:rPr>
          <w:rFonts w:hint="default" w:ascii="Times New Roman" w:hAnsi="Times New Roman" w:eastAsia="微软雅黑" w:cs="Times New Roman"/>
          <w:i w:val="0"/>
          <w:caps w:val="0"/>
          <w:color w:val="000000" w:themeColor="text1"/>
          <w:spacing w:val="0"/>
          <w:sz w:val="27"/>
          <w:szCs w:val="27"/>
          <w:lang w:eastAsia="zh-CN"/>
          <w14:textFill>
            <w14:solidFill>
              <w14:schemeClr w14:val="tx1"/>
            </w14:solidFill>
          </w14:textFill>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tabs>
          <w:tab w:val="left" w:pos="5892"/>
        </w:tabs>
        <w:spacing w:before="406" w:beforeAutospacing="0" w:after="406" w:afterAutospacing="0" w:line="525" w:lineRule="atLeast"/>
        <w:ind w:left="0" w:right="0"/>
        <w:rPr>
          <w:rFonts w:hint="default" w:ascii="Times New Roman" w:hAnsi="Times New Roman" w:eastAsia="微软雅黑" w:cs="Times New Roman"/>
          <w:i w:val="0"/>
          <w:caps w:val="0"/>
          <w:color w:val="000000" w:themeColor="text1"/>
          <w:spacing w:val="0"/>
          <w:sz w:val="27"/>
          <w:szCs w:val="27"/>
          <w:lang w:eastAsia="zh-CN"/>
          <w14:textFill>
            <w14:solidFill>
              <w14:schemeClr w14:val="tx1"/>
            </w14:solidFill>
          </w14:textFill>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tabs>
          <w:tab w:val="left" w:pos="5892"/>
        </w:tabs>
        <w:spacing w:before="406" w:beforeAutospacing="0" w:after="406" w:afterAutospacing="0" w:line="525" w:lineRule="atLeast"/>
        <w:ind w:left="0" w:right="0"/>
        <w:rPr>
          <w:rFonts w:hint="default" w:ascii="Times New Roman" w:hAnsi="Times New Roman" w:eastAsia="微软雅黑" w:cs="Times New Roman"/>
          <w:i w:val="0"/>
          <w:caps w:val="0"/>
          <w:color w:val="000000" w:themeColor="text1"/>
          <w:spacing w:val="0"/>
          <w:sz w:val="27"/>
          <w:szCs w:val="27"/>
          <w:lang w:eastAsia="zh-CN"/>
          <w14:textFill>
            <w14:solidFill>
              <w14:schemeClr w14:val="tx1"/>
            </w14:solidFill>
          </w14:textFill>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rPr>
          <w:rFonts w:hint="default" w:ascii="Times New Roman" w:hAnsi="Times New Roman" w:cs="Times New Roman"/>
          <w:color w:val="000000" w:themeColor="text1"/>
          <w:sz w:val="36"/>
          <w:szCs w:val="36"/>
          <w14:textFill>
            <w14:solidFill>
              <w14:schemeClr w14:val="tx1"/>
            </w14:solidFill>
          </w14:textFill>
        </w:rPr>
      </w:pPr>
      <w:r>
        <w:rPr>
          <w:rFonts w:hint="default" w:ascii="Times New Roman" w:hAnsi="Times New Roman" w:eastAsia="微软雅黑" w:cs="Times New Roman"/>
          <w:i w:val="0"/>
          <w:caps w:val="0"/>
          <w:color w:val="000000" w:themeColor="text1"/>
          <w:spacing w:val="0"/>
          <w:sz w:val="36"/>
          <w:szCs w:val="36"/>
          <w14:textFill>
            <w14:solidFill>
              <w14:schemeClr w14:val="tx1"/>
            </w14:solidFill>
          </w14:textFill>
        </w:rPr>
        <w:t>目</w:t>
      </w:r>
      <w:r>
        <w:rPr>
          <w:rFonts w:hint="default" w:ascii="Times New Roman" w:hAnsi="Times New Roman" w:eastAsia="微软雅黑" w:cs="Times New Roman"/>
          <w:i w:val="0"/>
          <w:caps w:val="0"/>
          <w:color w:val="000000" w:themeColor="text1"/>
          <w:spacing w:val="0"/>
          <w:sz w:val="36"/>
          <w:szCs w:val="36"/>
          <w:lang w:val="en-US" w:eastAsia="zh-CN"/>
          <w14:textFill>
            <w14:solidFill>
              <w14:schemeClr w14:val="tx1"/>
            </w14:solidFill>
          </w14:textFill>
        </w:rPr>
        <w:t xml:space="preserve">   </w:t>
      </w:r>
      <w:r>
        <w:rPr>
          <w:rFonts w:hint="default" w:ascii="Times New Roman" w:hAnsi="Times New Roman" w:eastAsia="微软雅黑" w:cs="Times New Roman"/>
          <w:i w:val="0"/>
          <w:caps w:val="0"/>
          <w:color w:val="000000" w:themeColor="text1"/>
          <w:spacing w:val="0"/>
          <w:sz w:val="36"/>
          <w:szCs w:val="36"/>
          <w14:textFill>
            <w14:solidFill>
              <w14:schemeClr w14:val="tx1"/>
            </w14:solidFill>
          </w14:textFill>
        </w:rPr>
        <w:t>录</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pP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公开时间：202</w:t>
      </w:r>
      <w:r>
        <w:rPr>
          <w:rFonts w:hint="default" w:ascii="Times New Roman" w:hAnsi="Times New Roman" w:eastAsia="微软雅黑" w:cs="Times New Roman"/>
          <w:i w:val="0"/>
          <w:caps w:val="0"/>
          <w:color w:val="000000" w:themeColor="text1"/>
          <w:spacing w:val="0"/>
          <w:sz w:val="27"/>
          <w:szCs w:val="27"/>
          <w:lang w:val="en-US" w:eastAsia="zh-CN"/>
          <w14:textFill>
            <w14:solidFill>
              <w14:schemeClr w14:val="tx1"/>
            </w14:solidFill>
          </w14:textFill>
        </w:rPr>
        <w:t>6</w:t>
      </w: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年9月</w:t>
      </w:r>
      <w:r>
        <w:rPr>
          <w:rFonts w:hint="default" w:ascii="Times New Roman" w:hAnsi="Times New Roman" w:eastAsia="微软雅黑" w:cs="Times New Roman"/>
          <w:i w:val="0"/>
          <w:caps w:val="0"/>
          <w:color w:val="000000" w:themeColor="text1"/>
          <w:spacing w:val="0"/>
          <w:sz w:val="27"/>
          <w:szCs w:val="27"/>
          <w:lang w:val="en-US" w:eastAsia="zh-CN"/>
          <w14:textFill>
            <w14:solidFill>
              <w14:schemeClr w14:val="tx1"/>
            </w14:solidFill>
          </w14:textFill>
        </w:rPr>
        <w:t>15</w:t>
      </w: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日</w:t>
      </w:r>
    </w:p>
    <w:sdt>
      <w:sdtPr>
        <w:rPr>
          <w:rFonts w:hint="default" w:ascii="Times New Roman" w:hAnsi="Times New Roman" w:eastAsia="宋体" w:cs="Times New Roman"/>
          <w:kern w:val="2"/>
          <w:sz w:val="21"/>
          <w:szCs w:val="24"/>
          <w:lang w:val="en-US" w:eastAsia="zh-CN" w:bidi="ar-SA"/>
        </w:rPr>
        <w:id w:val="147463468"/>
        <w:docPartObj>
          <w:docPartGallery w:val="Table of Contents"/>
          <w:docPartUnique/>
        </w:docPartObj>
      </w:sdtPr>
      <w:sdtEndPr>
        <w:rPr>
          <w:rFonts w:hint="default" w:ascii="Times New Roman" w:hAnsi="Times New Roman" w:cs="Times New Roman" w:eastAsiaTheme="minorEastAsia"/>
          <w:kern w:val="2"/>
          <w:sz w:val="20"/>
          <w:szCs w:val="20"/>
          <w:lang w:val="en-US" w:eastAsia="zh-CN" w:bidi="ar-SA"/>
        </w:rPr>
      </w:sdtEndPr>
      <w:sdtContent>
        <w:p>
          <w:pPr>
            <w:spacing w:before="0" w:beforeLines="0" w:after="0" w:afterLines="0" w:line="240" w:lineRule="auto"/>
            <w:ind w:left="0" w:leftChars="0" w:right="0" w:rightChars="0" w:firstLine="0" w:firstLineChars="0"/>
            <w:jc w:val="center"/>
            <w:rPr>
              <w:rFonts w:hint="default" w:ascii="Times New Roman" w:hAnsi="Times New Roman" w:cs="Times New Roman"/>
            </w:rPr>
          </w:pPr>
          <w:bookmarkStart w:id="0" w:name="_Toc30285_WPSOffice_Type2"/>
        </w:p>
        <w:p>
          <w:pPr>
            <w:pStyle w:val="17"/>
            <w:tabs>
              <w:tab w:val="right" w:leader="dot" w:pos="8306"/>
            </w:tabs>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fldChar w:fldCharType="begin"/>
          </w:r>
          <w:r>
            <w:rPr>
              <w:rFonts w:hint="default" w:ascii="Times New Roman" w:hAnsi="Times New Roman" w:cs="Times New Roman"/>
              <w:b w:val="0"/>
              <w:bCs w:val="0"/>
              <w:sz w:val="22"/>
              <w:szCs w:val="22"/>
            </w:rPr>
            <w:instrText xml:space="preserve"> HYPERLINK \l _Toc18313_WPSOffice_Level1 </w:instrText>
          </w:r>
          <w:r>
            <w:rPr>
              <w:rFonts w:hint="default" w:ascii="Times New Roman" w:hAnsi="Times New Roman" w:cs="Times New Roman"/>
              <w:b w:val="0"/>
              <w:bCs w:val="0"/>
              <w:sz w:val="22"/>
              <w:szCs w:val="22"/>
            </w:rPr>
            <w:fldChar w:fldCharType="separate"/>
          </w:r>
          <w:sdt>
            <w:sdtPr>
              <w:rPr>
                <w:rFonts w:hint="default" w:ascii="Times New Roman" w:hAnsi="Times New Roman" w:cs="Times New Roman" w:eastAsiaTheme="minorEastAsia"/>
                <w:b w:val="0"/>
                <w:bCs w:val="0"/>
                <w:kern w:val="0"/>
                <w:sz w:val="22"/>
                <w:szCs w:val="22"/>
                <w:lang w:val="en-US" w:eastAsia="zh-CN" w:bidi="ar"/>
              </w:rPr>
              <w:id w:val="147468974"/>
              <w:placeholder>
                <w:docPart w:val="{3ddee3ea-398c-4438-ab3f-3e563697ebad}"/>
              </w:placeholder>
            </w:sdtPr>
            <w:sdtEndPr>
              <w:rPr>
                <w:rFonts w:hint="default" w:ascii="Times New Roman" w:hAnsi="Times New Roman" w:cs="Times New Roman" w:eastAsiaTheme="minorEastAsia"/>
                <w:b w:val="0"/>
                <w:bCs w:val="0"/>
                <w:kern w:val="0"/>
                <w:sz w:val="22"/>
                <w:szCs w:val="22"/>
                <w:lang w:val="en-US" w:eastAsia="zh-CN" w:bidi="ar"/>
              </w:rPr>
            </w:sdtEndPr>
            <w:sdtContent>
              <w:r>
                <w:rPr>
                  <w:rFonts w:hint="default" w:ascii="Times New Roman" w:hAnsi="Times New Roman" w:eastAsia="黑体" w:cs="Times New Roman"/>
                  <w:b w:val="0"/>
                  <w:bCs w:val="0"/>
                  <w:sz w:val="22"/>
                  <w:szCs w:val="22"/>
                </w:rPr>
                <w:t>第一部分 部门概况</w:t>
              </w:r>
            </w:sdtContent>
          </w:sdt>
          <w:r>
            <w:rPr>
              <w:rFonts w:hint="default" w:ascii="Times New Roman" w:hAnsi="Times New Roman" w:cs="Times New Roman"/>
              <w:b w:val="0"/>
              <w:bCs w:val="0"/>
              <w:sz w:val="22"/>
              <w:szCs w:val="22"/>
            </w:rPr>
            <w:tab/>
          </w:r>
          <w:bookmarkStart w:id="1" w:name="_Toc18313_WPSOffice_Level1Page"/>
          <w:r>
            <w:rPr>
              <w:rFonts w:hint="default" w:ascii="Times New Roman" w:hAnsi="Times New Roman" w:cs="Times New Roman"/>
              <w:b w:val="0"/>
              <w:bCs w:val="0"/>
              <w:sz w:val="22"/>
              <w:szCs w:val="22"/>
            </w:rPr>
            <w:t>1</w:t>
          </w:r>
          <w:bookmarkEnd w:id="1"/>
          <w:r>
            <w:rPr>
              <w:rFonts w:hint="default" w:ascii="Times New Roman" w:hAnsi="Times New Roman" w:cs="Times New Roman"/>
              <w:b w:val="0"/>
              <w:bCs w:val="0"/>
              <w:sz w:val="22"/>
              <w:szCs w:val="22"/>
            </w:rPr>
            <w:fldChar w:fldCharType="end"/>
          </w:r>
        </w:p>
        <w:p>
          <w:pPr>
            <w:pStyle w:val="18"/>
            <w:tabs>
              <w:tab w:val="right" w:leader="dot" w:pos="8306"/>
            </w:tabs>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HYPERLINK \l _Toc19536_WPSOffice_Level2 </w:instrText>
          </w:r>
          <w:r>
            <w:rPr>
              <w:rFonts w:hint="default" w:ascii="Times New Roman" w:hAnsi="Times New Roman" w:eastAsia="仿宋_GB2312" w:cs="Times New Roman"/>
              <w:sz w:val="22"/>
              <w:szCs w:val="22"/>
            </w:rPr>
            <w:fldChar w:fldCharType="separate"/>
          </w:r>
          <w:sdt>
            <w:sdtPr>
              <w:rPr>
                <w:rFonts w:hint="default" w:ascii="Times New Roman" w:hAnsi="Times New Roman" w:eastAsia="仿宋_GB2312" w:cs="Times New Roman"/>
                <w:kern w:val="0"/>
                <w:sz w:val="22"/>
                <w:szCs w:val="22"/>
                <w:lang w:val="en-US" w:eastAsia="zh-CN" w:bidi="ar"/>
              </w:rPr>
              <w:id w:val="147466172"/>
              <w:placeholder>
                <w:docPart w:val="{9b42a332-593c-4083-8517-ae5d9714fbbf}"/>
              </w:placeholder>
            </w:sdtPr>
            <w:sdtEndPr>
              <w:rPr>
                <w:rFonts w:hint="default" w:ascii="Times New Roman" w:hAnsi="Times New Roman" w:eastAsia="仿宋_GB2312" w:cs="Times New Roman"/>
                <w:kern w:val="0"/>
                <w:sz w:val="22"/>
                <w:szCs w:val="22"/>
                <w:lang w:val="en-US" w:eastAsia="zh-CN" w:bidi="ar"/>
              </w:rPr>
            </w:sdtEndPr>
            <w:sdtContent>
              <w:r>
                <w:rPr>
                  <w:rFonts w:hint="default" w:ascii="Times New Roman" w:hAnsi="Times New Roman" w:eastAsia="仿宋_GB2312" w:cs="Times New Roman"/>
                  <w:sz w:val="22"/>
                  <w:szCs w:val="22"/>
                </w:rPr>
                <w:t>一、部门职责</w:t>
              </w:r>
            </w:sdtContent>
          </w:sdt>
          <w:r>
            <w:rPr>
              <w:rFonts w:hint="default" w:ascii="Times New Roman" w:hAnsi="Times New Roman" w:eastAsia="仿宋_GB2312" w:cs="Times New Roman"/>
              <w:sz w:val="22"/>
              <w:szCs w:val="22"/>
            </w:rPr>
            <w:tab/>
          </w:r>
          <w:bookmarkStart w:id="2" w:name="_Toc19536_WPSOffice_Level2Page"/>
          <w:r>
            <w:rPr>
              <w:rFonts w:hint="default" w:ascii="Times New Roman" w:hAnsi="Times New Roman" w:eastAsia="仿宋_GB2312" w:cs="Times New Roman"/>
              <w:sz w:val="22"/>
              <w:szCs w:val="22"/>
            </w:rPr>
            <w:t>1</w:t>
          </w:r>
          <w:bookmarkEnd w:id="2"/>
          <w:r>
            <w:rPr>
              <w:rFonts w:hint="default" w:ascii="Times New Roman" w:hAnsi="Times New Roman" w:eastAsia="仿宋_GB2312" w:cs="Times New Roman"/>
              <w:sz w:val="22"/>
              <w:szCs w:val="22"/>
            </w:rPr>
            <w:fldChar w:fldCharType="end"/>
          </w:r>
        </w:p>
        <w:p>
          <w:pPr>
            <w:pStyle w:val="18"/>
            <w:tabs>
              <w:tab w:val="right" w:leader="dot" w:pos="8306"/>
            </w:tabs>
            <w:rPr>
              <w:rFonts w:hint="default" w:ascii="Times New Roman" w:hAnsi="Times New Roman" w:cs="Times New Roman"/>
              <w:sz w:val="22"/>
              <w:szCs w:val="22"/>
            </w:rPr>
          </w:pP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HYPERLINK \l _Toc18123_WPSOffice_Level2 </w:instrText>
          </w:r>
          <w:r>
            <w:rPr>
              <w:rFonts w:hint="default" w:ascii="Times New Roman" w:hAnsi="Times New Roman" w:eastAsia="仿宋_GB2312" w:cs="Times New Roman"/>
              <w:sz w:val="22"/>
              <w:szCs w:val="22"/>
            </w:rPr>
            <w:fldChar w:fldCharType="separate"/>
          </w:r>
          <w:sdt>
            <w:sdtPr>
              <w:rPr>
                <w:rFonts w:hint="default" w:ascii="Times New Roman" w:hAnsi="Times New Roman" w:eastAsia="仿宋_GB2312" w:cs="Times New Roman"/>
                <w:kern w:val="0"/>
                <w:sz w:val="22"/>
                <w:szCs w:val="22"/>
                <w:lang w:val="en-US" w:eastAsia="zh-CN" w:bidi="ar"/>
              </w:rPr>
              <w:id w:val="147454531"/>
              <w:placeholder>
                <w:docPart w:val="{7344e18b-ae1b-4205-92a2-268eaad69128}"/>
              </w:placeholder>
            </w:sdtPr>
            <w:sdtEndPr>
              <w:rPr>
                <w:rFonts w:hint="default" w:ascii="Times New Roman" w:hAnsi="Times New Roman" w:eastAsia="仿宋_GB2312" w:cs="Times New Roman"/>
                <w:kern w:val="0"/>
                <w:sz w:val="22"/>
                <w:szCs w:val="22"/>
                <w:lang w:val="en-US" w:eastAsia="zh-CN" w:bidi="ar"/>
              </w:rPr>
            </w:sdtEndPr>
            <w:sdtContent>
              <w:r>
                <w:rPr>
                  <w:rFonts w:hint="default" w:ascii="Times New Roman" w:hAnsi="Times New Roman" w:eastAsia="仿宋_GB2312" w:cs="Times New Roman"/>
                  <w:sz w:val="22"/>
                  <w:szCs w:val="22"/>
                </w:rPr>
                <w:t>二、机构设置</w:t>
              </w:r>
            </w:sdtContent>
          </w:sdt>
          <w:r>
            <w:rPr>
              <w:rFonts w:hint="default" w:ascii="Times New Roman" w:hAnsi="Times New Roman" w:eastAsia="仿宋_GB2312" w:cs="Times New Roman"/>
              <w:sz w:val="22"/>
              <w:szCs w:val="22"/>
            </w:rPr>
            <w:tab/>
          </w:r>
          <w:bookmarkStart w:id="3" w:name="_Toc18123_WPSOffice_Level2Page"/>
          <w:r>
            <w:rPr>
              <w:rFonts w:hint="default" w:ascii="Times New Roman" w:hAnsi="Times New Roman" w:eastAsia="仿宋_GB2312" w:cs="Times New Roman"/>
              <w:sz w:val="22"/>
              <w:szCs w:val="22"/>
            </w:rPr>
            <w:t>4</w:t>
          </w:r>
          <w:bookmarkEnd w:id="3"/>
          <w:r>
            <w:rPr>
              <w:rFonts w:hint="default" w:ascii="Times New Roman" w:hAnsi="Times New Roman" w:eastAsia="仿宋_GB2312" w:cs="Times New Roman"/>
              <w:sz w:val="22"/>
              <w:szCs w:val="22"/>
            </w:rPr>
            <w:fldChar w:fldCharType="end"/>
          </w:r>
        </w:p>
        <w:p>
          <w:pPr>
            <w:pStyle w:val="17"/>
            <w:tabs>
              <w:tab w:val="right" w:leader="dot" w:pos="8306"/>
            </w:tabs>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fldChar w:fldCharType="begin"/>
          </w:r>
          <w:r>
            <w:rPr>
              <w:rFonts w:hint="default" w:ascii="Times New Roman" w:hAnsi="Times New Roman" w:cs="Times New Roman"/>
              <w:b w:val="0"/>
              <w:bCs w:val="0"/>
              <w:sz w:val="22"/>
              <w:szCs w:val="22"/>
            </w:rPr>
            <w:instrText xml:space="preserve"> HYPERLINK \l _Toc19536_WPSOffice_Level1 </w:instrText>
          </w:r>
          <w:r>
            <w:rPr>
              <w:rFonts w:hint="default" w:ascii="Times New Roman" w:hAnsi="Times New Roman" w:cs="Times New Roman"/>
              <w:b w:val="0"/>
              <w:bCs w:val="0"/>
              <w:sz w:val="22"/>
              <w:szCs w:val="22"/>
            </w:rPr>
            <w:fldChar w:fldCharType="separate"/>
          </w:r>
          <w:sdt>
            <w:sdtPr>
              <w:rPr>
                <w:rFonts w:hint="default" w:ascii="Times New Roman" w:hAnsi="Times New Roman" w:cs="Times New Roman" w:eastAsiaTheme="minorEastAsia"/>
                <w:b w:val="0"/>
                <w:bCs w:val="0"/>
                <w:kern w:val="0"/>
                <w:sz w:val="22"/>
                <w:szCs w:val="22"/>
                <w:lang w:val="en-US" w:eastAsia="zh-CN" w:bidi="ar"/>
              </w:rPr>
              <w:id w:val="147460588"/>
              <w:placeholder>
                <w:docPart w:val="{27727047-dd38-4588-9603-cfdbfd08ee46}"/>
              </w:placeholder>
            </w:sdtPr>
            <w:sdtEndPr>
              <w:rPr>
                <w:rFonts w:hint="default" w:ascii="Times New Roman" w:hAnsi="Times New Roman" w:cs="Times New Roman" w:eastAsiaTheme="minorEastAsia"/>
                <w:b w:val="0"/>
                <w:bCs w:val="0"/>
                <w:kern w:val="0"/>
                <w:sz w:val="22"/>
                <w:szCs w:val="22"/>
                <w:lang w:val="en-US" w:eastAsia="zh-CN" w:bidi="ar"/>
              </w:rPr>
            </w:sdtEndPr>
            <w:sdtContent>
              <w:r>
                <w:rPr>
                  <w:rFonts w:hint="default" w:ascii="Times New Roman" w:hAnsi="Times New Roman" w:eastAsia="黑体" w:cs="Times New Roman"/>
                  <w:b w:val="0"/>
                  <w:bCs w:val="0"/>
                  <w:sz w:val="22"/>
                  <w:szCs w:val="22"/>
                </w:rPr>
                <w:t xml:space="preserve">第二部分 </w:t>
              </w:r>
              <w:r>
                <w:rPr>
                  <w:rFonts w:hint="default" w:ascii="Times New Roman" w:hAnsi="Times New Roman" w:eastAsia="黑体" w:cs="Times New Roman"/>
                  <w:b w:val="0"/>
                  <w:bCs w:val="0"/>
                  <w:sz w:val="22"/>
                  <w:szCs w:val="22"/>
                  <w:lang w:eastAsia="zh-CN"/>
                </w:rPr>
                <w:t>2025年度</w:t>
              </w:r>
              <w:r>
                <w:rPr>
                  <w:rFonts w:hint="default" w:ascii="Times New Roman" w:hAnsi="Times New Roman" w:eastAsia="黑体" w:cs="Times New Roman"/>
                  <w:b w:val="0"/>
                  <w:bCs w:val="0"/>
                  <w:sz w:val="22"/>
                  <w:szCs w:val="22"/>
                </w:rPr>
                <w:t>部门决算情况说明</w:t>
              </w:r>
            </w:sdtContent>
          </w:sdt>
          <w:r>
            <w:rPr>
              <w:rFonts w:hint="default" w:ascii="Times New Roman" w:hAnsi="Times New Roman" w:cs="Times New Roman"/>
              <w:b w:val="0"/>
              <w:bCs w:val="0"/>
              <w:sz w:val="22"/>
              <w:szCs w:val="22"/>
            </w:rPr>
            <w:tab/>
          </w:r>
          <w:bookmarkStart w:id="4" w:name="_Toc19536_WPSOffice_Level1Page"/>
          <w:r>
            <w:rPr>
              <w:rFonts w:hint="default" w:ascii="Times New Roman" w:hAnsi="Times New Roman" w:cs="Times New Roman"/>
              <w:b w:val="0"/>
              <w:bCs w:val="0"/>
              <w:sz w:val="22"/>
              <w:szCs w:val="22"/>
            </w:rPr>
            <w:t>5</w:t>
          </w:r>
          <w:bookmarkEnd w:id="4"/>
          <w:r>
            <w:rPr>
              <w:rFonts w:hint="default" w:ascii="Times New Roman" w:hAnsi="Times New Roman" w:cs="Times New Roman"/>
              <w:b w:val="0"/>
              <w:bCs w:val="0"/>
              <w:sz w:val="22"/>
              <w:szCs w:val="22"/>
            </w:rPr>
            <w:fldChar w:fldCharType="end"/>
          </w:r>
        </w:p>
        <w:p>
          <w:pPr>
            <w:pStyle w:val="18"/>
            <w:tabs>
              <w:tab w:val="right" w:leader="dot" w:pos="8306"/>
            </w:tabs>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HYPERLINK \l _Toc20774_WPSOffice_Level2 </w:instrText>
          </w:r>
          <w:r>
            <w:rPr>
              <w:rFonts w:hint="default" w:ascii="Times New Roman" w:hAnsi="Times New Roman" w:eastAsia="仿宋_GB2312" w:cs="Times New Roman"/>
              <w:sz w:val="22"/>
              <w:szCs w:val="22"/>
            </w:rPr>
            <w:fldChar w:fldCharType="separate"/>
          </w:r>
          <w:sdt>
            <w:sdtPr>
              <w:rPr>
                <w:rFonts w:hint="default" w:ascii="Times New Roman" w:hAnsi="Times New Roman" w:eastAsia="仿宋_GB2312" w:cs="Times New Roman"/>
                <w:kern w:val="0"/>
                <w:sz w:val="22"/>
                <w:szCs w:val="22"/>
                <w:lang w:val="en-US" w:eastAsia="zh-CN" w:bidi="ar"/>
              </w:rPr>
              <w:id w:val="147464775"/>
              <w:placeholder>
                <w:docPart w:val="{d52e73be-9c14-407d-afc2-388e55b4869c}"/>
              </w:placeholder>
            </w:sdtPr>
            <w:sdtEndPr>
              <w:rPr>
                <w:rFonts w:hint="default" w:ascii="Times New Roman" w:hAnsi="Times New Roman" w:eastAsia="仿宋_GB2312" w:cs="Times New Roman"/>
                <w:kern w:val="0"/>
                <w:sz w:val="22"/>
                <w:szCs w:val="22"/>
                <w:lang w:val="en-US" w:eastAsia="zh-CN" w:bidi="ar"/>
              </w:rPr>
            </w:sdtEndPr>
            <w:sdtContent>
              <w:r>
                <w:rPr>
                  <w:rFonts w:hint="default" w:ascii="Times New Roman" w:hAnsi="Times New Roman" w:eastAsia="仿宋_GB2312" w:cs="Times New Roman"/>
                  <w:sz w:val="22"/>
                  <w:szCs w:val="22"/>
                </w:rPr>
                <w:t>一、收入支出决算总体情况说明</w:t>
              </w:r>
            </w:sdtContent>
          </w:sdt>
          <w:r>
            <w:rPr>
              <w:rFonts w:hint="default" w:ascii="Times New Roman" w:hAnsi="Times New Roman" w:eastAsia="仿宋_GB2312" w:cs="Times New Roman"/>
              <w:sz w:val="22"/>
              <w:szCs w:val="22"/>
            </w:rPr>
            <w:tab/>
          </w:r>
          <w:bookmarkStart w:id="5" w:name="_Toc20774_WPSOffice_Level2Page"/>
          <w:r>
            <w:rPr>
              <w:rFonts w:hint="default" w:ascii="Times New Roman" w:hAnsi="Times New Roman" w:eastAsia="仿宋_GB2312" w:cs="Times New Roman"/>
              <w:sz w:val="22"/>
              <w:szCs w:val="22"/>
            </w:rPr>
            <w:t>5</w:t>
          </w:r>
          <w:bookmarkEnd w:id="5"/>
          <w:r>
            <w:rPr>
              <w:rFonts w:hint="default" w:ascii="Times New Roman" w:hAnsi="Times New Roman" w:eastAsia="仿宋_GB2312" w:cs="Times New Roman"/>
              <w:sz w:val="22"/>
              <w:szCs w:val="22"/>
            </w:rPr>
            <w:fldChar w:fldCharType="end"/>
          </w:r>
        </w:p>
        <w:p>
          <w:pPr>
            <w:pStyle w:val="18"/>
            <w:tabs>
              <w:tab w:val="right" w:leader="dot" w:pos="8306"/>
            </w:tabs>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HYPERLINK \l _Toc18470_WPSOffice_Level2 </w:instrText>
          </w:r>
          <w:r>
            <w:rPr>
              <w:rFonts w:hint="default" w:ascii="Times New Roman" w:hAnsi="Times New Roman" w:eastAsia="仿宋_GB2312" w:cs="Times New Roman"/>
              <w:sz w:val="22"/>
              <w:szCs w:val="22"/>
            </w:rPr>
            <w:fldChar w:fldCharType="separate"/>
          </w:r>
          <w:sdt>
            <w:sdtPr>
              <w:rPr>
                <w:rFonts w:hint="default" w:ascii="Times New Roman" w:hAnsi="Times New Roman" w:eastAsia="仿宋_GB2312" w:cs="Times New Roman"/>
                <w:kern w:val="0"/>
                <w:sz w:val="22"/>
                <w:szCs w:val="22"/>
                <w:lang w:val="en-US" w:eastAsia="zh-CN" w:bidi="ar"/>
              </w:rPr>
              <w:id w:val="147463171"/>
              <w:placeholder>
                <w:docPart w:val="{fa8a02b1-d18e-4a56-9de3-7accfc66f970}"/>
              </w:placeholder>
            </w:sdtPr>
            <w:sdtEndPr>
              <w:rPr>
                <w:rFonts w:hint="default" w:ascii="Times New Roman" w:hAnsi="Times New Roman" w:eastAsia="仿宋_GB2312" w:cs="Times New Roman"/>
                <w:kern w:val="0"/>
                <w:sz w:val="22"/>
                <w:szCs w:val="22"/>
                <w:lang w:val="en-US" w:eastAsia="zh-CN" w:bidi="ar"/>
              </w:rPr>
            </w:sdtEndPr>
            <w:sdtContent>
              <w:r>
                <w:rPr>
                  <w:rFonts w:hint="default" w:ascii="Times New Roman" w:hAnsi="Times New Roman" w:eastAsia="仿宋_GB2312" w:cs="Times New Roman"/>
                  <w:sz w:val="22"/>
                  <w:szCs w:val="22"/>
                </w:rPr>
                <w:t>二、收入决算情况说明</w:t>
              </w:r>
            </w:sdtContent>
          </w:sdt>
          <w:r>
            <w:rPr>
              <w:rFonts w:hint="default" w:ascii="Times New Roman" w:hAnsi="Times New Roman" w:eastAsia="仿宋_GB2312" w:cs="Times New Roman"/>
              <w:sz w:val="22"/>
              <w:szCs w:val="22"/>
            </w:rPr>
            <w:tab/>
          </w:r>
          <w:bookmarkStart w:id="6" w:name="_Toc18470_WPSOffice_Level2Page"/>
          <w:r>
            <w:rPr>
              <w:rFonts w:hint="default" w:ascii="Times New Roman" w:hAnsi="Times New Roman" w:eastAsia="仿宋_GB2312" w:cs="Times New Roman"/>
              <w:sz w:val="22"/>
              <w:szCs w:val="22"/>
            </w:rPr>
            <w:t>5</w:t>
          </w:r>
          <w:bookmarkEnd w:id="6"/>
          <w:r>
            <w:rPr>
              <w:rFonts w:hint="default" w:ascii="Times New Roman" w:hAnsi="Times New Roman" w:eastAsia="仿宋_GB2312" w:cs="Times New Roman"/>
              <w:sz w:val="22"/>
              <w:szCs w:val="22"/>
            </w:rPr>
            <w:fldChar w:fldCharType="end"/>
          </w:r>
        </w:p>
        <w:p>
          <w:pPr>
            <w:pStyle w:val="18"/>
            <w:tabs>
              <w:tab w:val="right" w:leader="dot" w:pos="8306"/>
            </w:tabs>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HYPERLINK \l _Toc22176_WPSOffice_Level2 </w:instrText>
          </w:r>
          <w:r>
            <w:rPr>
              <w:rFonts w:hint="default" w:ascii="Times New Roman" w:hAnsi="Times New Roman" w:eastAsia="仿宋_GB2312" w:cs="Times New Roman"/>
              <w:sz w:val="22"/>
              <w:szCs w:val="22"/>
            </w:rPr>
            <w:fldChar w:fldCharType="separate"/>
          </w:r>
          <w:sdt>
            <w:sdtPr>
              <w:rPr>
                <w:rFonts w:hint="default" w:ascii="Times New Roman" w:hAnsi="Times New Roman" w:eastAsia="仿宋_GB2312" w:cs="Times New Roman"/>
                <w:kern w:val="0"/>
                <w:sz w:val="22"/>
                <w:szCs w:val="22"/>
                <w:lang w:val="en-US" w:eastAsia="zh-CN" w:bidi="ar"/>
              </w:rPr>
              <w:id w:val="147479541"/>
              <w:placeholder>
                <w:docPart w:val="{1a64dcb4-cd15-44e3-925e-3313b508833b}"/>
              </w:placeholder>
            </w:sdtPr>
            <w:sdtEndPr>
              <w:rPr>
                <w:rFonts w:hint="default" w:ascii="Times New Roman" w:hAnsi="Times New Roman" w:eastAsia="仿宋_GB2312" w:cs="Times New Roman"/>
                <w:kern w:val="0"/>
                <w:sz w:val="22"/>
                <w:szCs w:val="22"/>
                <w:lang w:val="en-US" w:eastAsia="zh-CN" w:bidi="ar"/>
              </w:rPr>
            </w:sdtEndPr>
            <w:sdtContent>
              <w:r>
                <w:rPr>
                  <w:rFonts w:hint="default" w:ascii="Times New Roman" w:hAnsi="Times New Roman" w:eastAsia="仿宋_GB2312" w:cs="Times New Roman"/>
                  <w:sz w:val="22"/>
                  <w:szCs w:val="22"/>
                </w:rPr>
                <w:t>三、支出决算情况说明</w:t>
              </w:r>
            </w:sdtContent>
          </w:sdt>
          <w:r>
            <w:rPr>
              <w:rFonts w:hint="default" w:ascii="Times New Roman" w:hAnsi="Times New Roman" w:eastAsia="仿宋_GB2312" w:cs="Times New Roman"/>
              <w:sz w:val="22"/>
              <w:szCs w:val="22"/>
            </w:rPr>
            <w:tab/>
          </w:r>
          <w:bookmarkStart w:id="7" w:name="_Toc22176_WPSOffice_Level2Page"/>
          <w:r>
            <w:rPr>
              <w:rFonts w:hint="default" w:ascii="Times New Roman" w:hAnsi="Times New Roman" w:eastAsia="仿宋_GB2312" w:cs="Times New Roman"/>
              <w:sz w:val="22"/>
              <w:szCs w:val="22"/>
            </w:rPr>
            <w:t>6</w:t>
          </w:r>
          <w:bookmarkEnd w:id="7"/>
          <w:r>
            <w:rPr>
              <w:rFonts w:hint="default" w:ascii="Times New Roman" w:hAnsi="Times New Roman" w:eastAsia="仿宋_GB2312" w:cs="Times New Roman"/>
              <w:sz w:val="22"/>
              <w:szCs w:val="22"/>
            </w:rPr>
            <w:fldChar w:fldCharType="end"/>
          </w:r>
        </w:p>
        <w:p>
          <w:pPr>
            <w:pStyle w:val="18"/>
            <w:tabs>
              <w:tab w:val="right" w:leader="dot" w:pos="8306"/>
            </w:tabs>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HYPERLINK \l _Toc28593_WPSOffice_Level2 </w:instrText>
          </w:r>
          <w:r>
            <w:rPr>
              <w:rFonts w:hint="default" w:ascii="Times New Roman" w:hAnsi="Times New Roman" w:eastAsia="仿宋_GB2312" w:cs="Times New Roman"/>
              <w:sz w:val="22"/>
              <w:szCs w:val="22"/>
            </w:rPr>
            <w:fldChar w:fldCharType="separate"/>
          </w:r>
          <w:sdt>
            <w:sdtPr>
              <w:rPr>
                <w:rFonts w:hint="default" w:ascii="Times New Roman" w:hAnsi="Times New Roman" w:eastAsia="仿宋_GB2312" w:cs="Times New Roman"/>
                <w:kern w:val="0"/>
                <w:sz w:val="22"/>
                <w:szCs w:val="22"/>
                <w:lang w:val="en-US" w:eastAsia="zh-CN" w:bidi="ar"/>
              </w:rPr>
              <w:id w:val="147475454"/>
              <w:placeholder>
                <w:docPart w:val="{7b1d6695-f9e0-4e88-a511-fed69331718d}"/>
              </w:placeholder>
            </w:sdtPr>
            <w:sdtEndPr>
              <w:rPr>
                <w:rFonts w:hint="default" w:ascii="Times New Roman" w:hAnsi="Times New Roman" w:eastAsia="仿宋_GB2312" w:cs="Times New Roman"/>
                <w:kern w:val="0"/>
                <w:sz w:val="22"/>
                <w:szCs w:val="22"/>
                <w:lang w:val="en-US" w:eastAsia="zh-CN" w:bidi="ar"/>
              </w:rPr>
            </w:sdtEndPr>
            <w:sdtContent>
              <w:r>
                <w:rPr>
                  <w:rFonts w:hint="default" w:ascii="Times New Roman" w:hAnsi="Times New Roman" w:eastAsia="仿宋_GB2312" w:cs="Times New Roman"/>
                  <w:sz w:val="22"/>
                  <w:szCs w:val="22"/>
                </w:rPr>
                <w:t>四、财政拨款收入支出决算总体情况说明</w:t>
              </w:r>
            </w:sdtContent>
          </w:sdt>
          <w:r>
            <w:rPr>
              <w:rFonts w:hint="default" w:ascii="Times New Roman" w:hAnsi="Times New Roman" w:eastAsia="仿宋_GB2312" w:cs="Times New Roman"/>
              <w:sz w:val="22"/>
              <w:szCs w:val="22"/>
            </w:rPr>
            <w:tab/>
          </w:r>
          <w:bookmarkStart w:id="8" w:name="_Toc28593_WPSOffice_Level2Page"/>
          <w:r>
            <w:rPr>
              <w:rFonts w:hint="default" w:ascii="Times New Roman" w:hAnsi="Times New Roman" w:eastAsia="仿宋_GB2312" w:cs="Times New Roman"/>
              <w:sz w:val="22"/>
              <w:szCs w:val="22"/>
            </w:rPr>
            <w:t>7</w:t>
          </w:r>
          <w:bookmarkEnd w:id="8"/>
          <w:r>
            <w:rPr>
              <w:rFonts w:hint="default" w:ascii="Times New Roman" w:hAnsi="Times New Roman" w:eastAsia="仿宋_GB2312" w:cs="Times New Roman"/>
              <w:sz w:val="22"/>
              <w:szCs w:val="22"/>
            </w:rPr>
            <w:fldChar w:fldCharType="end"/>
          </w:r>
        </w:p>
        <w:p>
          <w:pPr>
            <w:pStyle w:val="18"/>
            <w:tabs>
              <w:tab w:val="right" w:leader="dot" w:pos="8306"/>
            </w:tabs>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HYPERLINK \l _Toc14898_WPSOffice_Level2 </w:instrText>
          </w:r>
          <w:r>
            <w:rPr>
              <w:rFonts w:hint="default" w:ascii="Times New Roman" w:hAnsi="Times New Roman" w:eastAsia="仿宋_GB2312" w:cs="Times New Roman"/>
              <w:sz w:val="22"/>
              <w:szCs w:val="22"/>
            </w:rPr>
            <w:fldChar w:fldCharType="separate"/>
          </w:r>
          <w:sdt>
            <w:sdtPr>
              <w:rPr>
                <w:rFonts w:hint="default" w:ascii="Times New Roman" w:hAnsi="Times New Roman" w:eastAsia="仿宋_GB2312" w:cs="Times New Roman"/>
                <w:kern w:val="0"/>
                <w:sz w:val="22"/>
                <w:szCs w:val="22"/>
                <w:lang w:val="en-US" w:eastAsia="zh-CN" w:bidi="ar"/>
              </w:rPr>
              <w:id w:val="147457623"/>
              <w:placeholder>
                <w:docPart w:val="{9c2319f4-03de-485f-927c-1dddfad590b0}"/>
              </w:placeholder>
            </w:sdtPr>
            <w:sdtEndPr>
              <w:rPr>
                <w:rFonts w:hint="default" w:ascii="Times New Roman" w:hAnsi="Times New Roman" w:eastAsia="仿宋_GB2312" w:cs="Times New Roman"/>
                <w:kern w:val="0"/>
                <w:sz w:val="22"/>
                <w:szCs w:val="22"/>
                <w:lang w:val="en-US" w:eastAsia="zh-CN" w:bidi="ar"/>
              </w:rPr>
            </w:sdtEndPr>
            <w:sdtContent>
              <w:r>
                <w:rPr>
                  <w:rFonts w:hint="default" w:ascii="Times New Roman" w:hAnsi="Times New Roman" w:eastAsia="仿宋_GB2312" w:cs="Times New Roman"/>
                  <w:sz w:val="22"/>
                  <w:szCs w:val="22"/>
                </w:rPr>
                <w:t>五、一般公共预算财政拨款支出决算情况说明</w:t>
              </w:r>
            </w:sdtContent>
          </w:sdt>
          <w:r>
            <w:rPr>
              <w:rFonts w:hint="default" w:ascii="Times New Roman" w:hAnsi="Times New Roman" w:eastAsia="仿宋_GB2312" w:cs="Times New Roman"/>
              <w:sz w:val="22"/>
              <w:szCs w:val="22"/>
            </w:rPr>
            <w:tab/>
          </w:r>
          <w:bookmarkStart w:id="9" w:name="_Toc14898_WPSOffice_Level2Page"/>
          <w:r>
            <w:rPr>
              <w:rFonts w:hint="default" w:ascii="Times New Roman" w:hAnsi="Times New Roman" w:eastAsia="仿宋_GB2312" w:cs="Times New Roman"/>
              <w:sz w:val="22"/>
              <w:szCs w:val="22"/>
            </w:rPr>
            <w:t>7</w:t>
          </w:r>
          <w:bookmarkEnd w:id="9"/>
          <w:r>
            <w:rPr>
              <w:rFonts w:hint="default" w:ascii="Times New Roman" w:hAnsi="Times New Roman" w:eastAsia="仿宋_GB2312" w:cs="Times New Roman"/>
              <w:sz w:val="22"/>
              <w:szCs w:val="22"/>
            </w:rPr>
            <w:fldChar w:fldCharType="end"/>
          </w:r>
        </w:p>
        <w:p>
          <w:pPr>
            <w:pStyle w:val="18"/>
            <w:tabs>
              <w:tab w:val="right" w:leader="dot" w:pos="8306"/>
            </w:tabs>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HYPERLINK \l _Toc12295_WPSOffice_Level2 </w:instrText>
          </w:r>
          <w:r>
            <w:rPr>
              <w:rFonts w:hint="default" w:ascii="Times New Roman" w:hAnsi="Times New Roman" w:eastAsia="仿宋_GB2312" w:cs="Times New Roman"/>
              <w:sz w:val="22"/>
              <w:szCs w:val="22"/>
            </w:rPr>
            <w:fldChar w:fldCharType="separate"/>
          </w:r>
          <w:sdt>
            <w:sdtPr>
              <w:rPr>
                <w:rFonts w:hint="default" w:ascii="Times New Roman" w:hAnsi="Times New Roman" w:eastAsia="仿宋_GB2312" w:cs="Times New Roman"/>
                <w:kern w:val="0"/>
                <w:sz w:val="22"/>
                <w:szCs w:val="22"/>
                <w:lang w:val="en-US" w:eastAsia="zh-CN" w:bidi="ar"/>
              </w:rPr>
              <w:id w:val="147466693"/>
              <w:placeholder>
                <w:docPart w:val="{bf63c859-cfa8-4a65-986b-807cb31b1d1b}"/>
              </w:placeholder>
            </w:sdtPr>
            <w:sdtEndPr>
              <w:rPr>
                <w:rFonts w:hint="default" w:ascii="Times New Roman" w:hAnsi="Times New Roman" w:eastAsia="仿宋_GB2312" w:cs="Times New Roman"/>
                <w:kern w:val="0"/>
                <w:sz w:val="22"/>
                <w:szCs w:val="22"/>
                <w:lang w:val="en-US" w:eastAsia="zh-CN" w:bidi="ar"/>
              </w:rPr>
            </w:sdtEndPr>
            <w:sdtContent>
              <w:r>
                <w:rPr>
                  <w:rFonts w:hint="default" w:ascii="Times New Roman" w:hAnsi="Times New Roman" w:eastAsia="仿宋_GB2312" w:cs="Times New Roman"/>
                  <w:sz w:val="22"/>
                  <w:szCs w:val="22"/>
                </w:rPr>
                <w:t>六、一般公共预算财政拨款基本支出决算情况说明</w:t>
              </w:r>
            </w:sdtContent>
          </w:sdt>
          <w:r>
            <w:rPr>
              <w:rFonts w:hint="default" w:ascii="Times New Roman" w:hAnsi="Times New Roman" w:eastAsia="仿宋_GB2312" w:cs="Times New Roman"/>
              <w:sz w:val="22"/>
              <w:szCs w:val="22"/>
            </w:rPr>
            <w:tab/>
          </w:r>
          <w:bookmarkStart w:id="10" w:name="_Toc12295_WPSOffice_Level2Page"/>
          <w:r>
            <w:rPr>
              <w:rFonts w:hint="default" w:ascii="Times New Roman" w:hAnsi="Times New Roman" w:eastAsia="仿宋_GB2312" w:cs="Times New Roman"/>
              <w:sz w:val="22"/>
              <w:szCs w:val="22"/>
            </w:rPr>
            <w:t>1</w:t>
          </w:r>
          <w:bookmarkEnd w:id="10"/>
          <w:r>
            <w:rPr>
              <w:rFonts w:hint="default" w:ascii="Times New Roman" w:hAnsi="Times New Roman" w:eastAsia="仿宋_GB2312" w:cs="Times New Roman"/>
              <w:sz w:val="22"/>
              <w:szCs w:val="22"/>
              <w:lang w:val="en-US" w:eastAsia="zh-CN"/>
            </w:rPr>
            <w:t>3</w:t>
          </w:r>
          <w:r>
            <w:rPr>
              <w:rFonts w:hint="default" w:ascii="Times New Roman" w:hAnsi="Times New Roman" w:eastAsia="仿宋_GB2312" w:cs="Times New Roman"/>
              <w:sz w:val="22"/>
              <w:szCs w:val="22"/>
            </w:rPr>
            <w:fldChar w:fldCharType="end"/>
          </w:r>
        </w:p>
        <w:p>
          <w:pPr>
            <w:pStyle w:val="18"/>
            <w:tabs>
              <w:tab w:val="right" w:leader="dot" w:pos="8306"/>
            </w:tabs>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HYPERLINK \l _Toc19249_WPSOffice_Level2 </w:instrText>
          </w:r>
          <w:r>
            <w:rPr>
              <w:rFonts w:hint="default" w:ascii="Times New Roman" w:hAnsi="Times New Roman" w:eastAsia="仿宋_GB2312" w:cs="Times New Roman"/>
              <w:sz w:val="22"/>
              <w:szCs w:val="22"/>
            </w:rPr>
            <w:fldChar w:fldCharType="separate"/>
          </w:r>
          <w:sdt>
            <w:sdtPr>
              <w:rPr>
                <w:rFonts w:hint="default" w:ascii="Times New Roman" w:hAnsi="Times New Roman" w:eastAsia="仿宋_GB2312" w:cs="Times New Roman"/>
                <w:kern w:val="0"/>
                <w:sz w:val="22"/>
                <w:szCs w:val="22"/>
                <w:lang w:val="en-US" w:eastAsia="zh-CN" w:bidi="ar"/>
              </w:rPr>
              <w:id w:val="147468957"/>
              <w:placeholder>
                <w:docPart w:val="{cd1ffeb0-acc2-48c5-b8d5-2d389e8ae93e}"/>
              </w:placeholder>
            </w:sdtPr>
            <w:sdtEndPr>
              <w:rPr>
                <w:rFonts w:hint="default" w:ascii="Times New Roman" w:hAnsi="Times New Roman" w:eastAsia="仿宋_GB2312" w:cs="Times New Roman"/>
                <w:kern w:val="0"/>
                <w:sz w:val="22"/>
                <w:szCs w:val="22"/>
                <w:lang w:val="en-US" w:eastAsia="zh-CN" w:bidi="ar"/>
              </w:rPr>
            </w:sdtEndPr>
            <w:sdtContent>
              <w:r>
                <w:rPr>
                  <w:rFonts w:hint="default" w:ascii="Times New Roman" w:hAnsi="Times New Roman" w:eastAsia="仿宋_GB2312" w:cs="Times New Roman"/>
                  <w:sz w:val="22"/>
                  <w:szCs w:val="22"/>
                </w:rPr>
                <w:t>七、财政拨款“三公”经费支出决算情况说明</w:t>
              </w:r>
            </w:sdtContent>
          </w:sdt>
          <w:r>
            <w:rPr>
              <w:rFonts w:hint="default" w:ascii="Times New Roman" w:hAnsi="Times New Roman" w:eastAsia="仿宋_GB2312" w:cs="Times New Roman"/>
              <w:sz w:val="22"/>
              <w:szCs w:val="22"/>
            </w:rPr>
            <w:tab/>
          </w:r>
          <w:bookmarkStart w:id="11" w:name="_Toc19249_WPSOffice_Level2Page"/>
          <w:r>
            <w:rPr>
              <w:rFonts w:hint="default" w:ascii="Times New Roman" w:hAnsi="Times New Roman" w:eastAsia="仿宋_GB2312" w:cs="Times New Roman"/>
              <w:sz w:val="22"/>
              <w:szCs w:val="22"/>
            </w:rPr>
            <w:t>1</w:t>
          </w:r>
          <w:bookmarkEnd w:id="11"/>
          <w:r>
            <w:rPr>
              <w:rFonts w:hint="default" w:ascii="Times New Roman" w:hAnsi="Times New Roman" w:eastAsia="仿宋_GB2312" w:cs="Times New Roman"/>
              <w:sz w:val="22"/>
              <w:szCs w:val="22"/>
              <w:lang w:val="en-US" w:eastAsia="zh-CN"/>
            </w:rPr>
            <w:t>3</w:t>
          </w:r>
          <w:r>
            <w:rPr>
              <w:rFonts w:hint="default" w:ascii="Times New Roman" w:hAnsi="Times New Roman" w:eastAsia="仿宋_GB2312" w:cs="Times New Roman"/>
              <w:sz w:val="22"/>
              <w:szCs w:val="22"/>
            </w:rPr>
            <w:fldChar w:fldCharType="end"/>
          </w:r>
        </w:p>
        <w:p>
          <w:pPr>
            <w:pStyle w:val="18"/>
            <w:tabs>
              <w:tab w:val="right" w:leader="dot" w:pos="8306"/>
            </w:tabs>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HYPERLINK \l _Toc19878_WPSOffice_Level2 </w:instrText>
          </w:r>
          <w:r>
            <w:rPr>
              <w:rFonts w:hint="default" w:ascii="Times New Roman" w:hAnsi="Times New Roman" w:eastAsia="仿宋_GB2312" w:cs="Times New Roman"/>
              <w:sz w:val="22"/>
              <w:szCs w:val="22"/>
            </w:rPr>
            <w:fldChar w:fldCharType="separate"/>
          </w:r>
          <w:sdt>
            <w:sdtPr>
              <w:rPr>
                <w:rFonts w:hint="default" w:ascii="Times New Roman" w:hAnsi="Times New Roman" w:eastAsia="仿宋_GB2312" w:cs="Times New Roman"/>
                <w:kern w:val="0"/>
                <w:sz w:val="22"/>
                <w:szCs w:val="22"/>
                <w:lang w:val="en-US" w:eastAsia="zh-CN" w:bidi="ar"/>
              </w:rPr>
              <w:id w:val="147472122"/>
              <w:placeholder>
                <w:docPart w:val="{c1adeb25-9001-4fdf-92eb-01537428a528}"/>
              </w:placeholder>
            </w:sdtPr>
            <w:sdtEndPr>
              <w:rPr>
                <w:rFonts w:hint="default" w:ascii="Times New Roman" w:hAnsi="Times New Roman" w:eastAsia="仿宋_GB2312" w:cs="Times New Roman"/>
                <w:kern w:val="0"/>
                <w:sz w:val="22"/>
                <w:szCs w:val="22"/>
                <w:lang w:val="en-US" w:eastAsia="zh-CN" w:bidi="ar"/>
              </w:rPr>
            </w:sdtEndPr>
            <w:sdtContent>
              <w:r>
                <w:rPr>
                  <w:rFonts w:hint="default" w:ascii="Times New Roman" w:hAnsi="Times New Roman" w:eastAsia="仿宋_GB2312" w:cs="Times New Roman"/>
                  <w:sz w:val="22"/>
                  <w:szCs w:val="22"/>
                </w:rPr>
                <w:t>八、政府性基金预算支出决算情况说明</w:t>
              </w:r>
            </w:sdtContent>
          </w:sdt>
          <w:r>
            <w:rPr>
              <w:rFonts w:hint="default" w:ascii="Times New Roman" w:hAnsi="Times New Roman" w:eastAsia="仿宋_GB2312" w:cs="Times New Roman"/>
              <w:sz w:val="22"/>
              <w:szCs w:val="22"/>
            </w:rPr>
            <w:tab/>
          </w:r>
          <w:bookmarkStart w:id="12" w:name="_Toc19878_WPSOffice_Level2Page"/>
          <w:r>
            <w:rPr>
              <w:rFonts w:hint="default" w:ascii="Times New Roman" w:hAnsi="Times New Roman" w:eastAsia="仿宋_GB2312" w:cs="Times New Roman"/>
              <w:sz w:val="22"/>
              <w:szCs w:val="22"/>
            </w:rPr>
            <w:t>1</w:t>
          </w:r>
          <w:bookmarkEnd w:id="12"/>
          <w:r>
            <w:rPr>
              <w:rFonts w:hint="default" w:ascii="Times New Roman" w:hAnsi="Times New Roman" w:eastAsia="仿宋_GB2312" w:cs="Times New Roman"/>
              <w:sz w:val="22"/>
              <w:szCs w:val="22"/>
              <w:lang w:val="en-US" w:eastAsia="zh-CN"/>
            </w:rPr>
            <w:t>5</w:t>
          </w:r>
          <w:r>
            <w:rPr>
              <w:rFonts w:hint="default" w:ascii="Times New Roman" w:hAnsi="Times New Roman" w:eastAsia="仿宋_GB2312" w:cs="Times New Roman"/>
              <w:sz w:val="22"/>
              <w:szCs w:val="22"/>
            </w:rPr>
            <w:fldChar w:fldCharType="end"/>
          </w:r>
        </w:p>
        <w:p>
          <w:pPr>
            <w:pStyle w:val="18"/>
            <w:tabs>
              <w:tab w:val="right" w:leader="dot" w:pos="8306"/>
            </w:tabs>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HYPERLINK \l _Toc11422_WPSOffice_Level2 </w:instrText>
          </w:r>
          <w:r>
            <w:rPr>
              <w:rFonts w:hint="default" w:ascii="Times New Roman" w:hAnsi="Times New Roman" w:eastAsia="仿宋_GB2312" w:cs="Times New Roman"/>
              <w:sz w:val="22"/>
              <w:szCs w:val="22"/>
            </w:rPr>
            <w:fldChar w:fldCharType="separate"/>
          </w:r>
          <w:sdt>
            <w:sdtPr>
              <w:rPr>
                <w:rFonts w:hint="default" w:ascii="Times New Roman" w:hAnsi="Times New Roman" w:eastAsia="仿宋_GB2312" w:cs="Times New Roman"/>
                <w:kern w:val="0"/>
                <w:sz w:val="22"/>
                <w:szCs w:val="22"/>
                <w:lang w:val="en-US" w:eastAsia="zh-CN" w:bidi="ar"/>
              </w:rPr>
              <w:id w:val="147468970"/>
              <w:placeholder>
                <w:docPart w:val="{54dd6c52-a5a0-4088-b167-bacd222c4758}"/>
              </w:placeholder>
            </w:sdtPr>
            <w:sdtEndPr>
              <w:rPr>
                <w:rFonts w:hint="default" w:ascii="Times New Roman" w:hAnsi="Times New Roman" w:eastAsia="仿宋_GB2312" w:cs="Times New Roman"/>
                <w:kern w:val="0"/>
                <w:sz w:val="22"/>
                <w:szCs w:val="22"/>
                <w:lang w:val="en-US" w:eastAsia="zh-CN" w:bidi="ar"/>
              </w:rPr>
            </w:sdtEndPr>
            <w:sdtContent>
              <w:r>
                <w:rPr>
                  <w:rFonts w:hint="default" w:ascii="Times New Roman" w:hAnsi="Times New Roman" w:eastAsia="仿宋_GB2312" w:cs="Times New Roman"/>
                  <w:sz w:val="22"/>
                  <w:szCs w:val="22"/>
                </w:rPr>
                <w:t>九、国有资本经营预算支出决算情况说明</w:t>
              </w:r>
            </w:sdtContent>
          </w:sdt>
          <w:r>
            <w:rPr>
              <w:rFonts w:hint="default" w:ascii="Times New Roman" w:hAnsi="Times New Roman" w:eastAsia="仿宋_GB2312" w:cs="Times New Roman"/>
              <w:sz w:val="22"/>
              <w:szCs w:val="22"/>
            </w:rPr>
            <w:tab/>
          </w:r>
          <w:bookmarkStart w:id="13" w:name="_Toc11422_WPSOffice_Level2Page"/>
          <w:r>
            <w:rPr>
              <w:rFonts w:hint="default" w:ascii="Times New Roman" w:hAnsi="Times New Roman" w:eastAsia="仿宋_GB2312" w:cs="Times New Roman"/>
              <w:sz w:val="22"/>
              <w:szCs w:val="22"/>
            </w:rPr>
            <w:t>1</w:t>
          </w:r>
          <w:bookmarkEnd w:id="13"/>
          <w:r>
            <w:rPr>
              <w:rFonts w:hint="default" w:ascii="Times New Roman" w:hAnsi="Times New Roman" w:eastAsia="仿宋_GB2312" w:cs="Times New Roman"/>
              <w:sz w:val="22"/>
              <w:szCs w:val="22"/>
              <w:lang w:val="en-US" w:eastAsia="zh-CN"/>
            </w:rPr>
            <w:t>6</w:t>
          </w:r>
          <w:r>
            <w:rPr>
              <w:rFonts w:hint="default" w:ascii="Times New Roman" w:hAnsi="Times New Roman" w:eastAsia="仿宋_GB2312" w:cs="Times New Roman"/>
              <w:sz w:val="22"/>
              <w:szCs w:val="22"/>
            </w:rPr>
            <w:fldChar w:fldCharType="end"/>
          </w:r>
        </w:p>
        <w:p>
          <w:pPr>
            <w:pStyle w:val="18"/>
            <w:tabs>
              <w:tab w:val="right" w:leader="dot" w:pos="8306"/>
            </w:tabs>
            <w:rPr>
              <w:rFonts w:hint="default" w:ascii="Times New Roman" w:hAnsi="Times New Roman" w:cs="Times New Roman"/>
              <w:sz w:val="22"/>
              <w:szCs w:val="22"/>
            </w:rPr>
          </w:pP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HYPERLINK \l _Toc30285_WPSOffice_Level2 </w:instrText>
          </w:r>
          <w:r>
            <w:rPr>
              <w:rFonts w:hint="default" w:ascii="Times New Roman" w:hAnsi="Times New Roman" w:eastAsia="仿宋_GB2312" w:cs="Times New Roman"/>
              <w:sz w:val="22"/>
              <w:szCs w:val="22"/>
            </w:rPr>
            <w:fldChar w:fldCharType="separate"/>
          </w:r>
          <w:sdt>
            <w:sdtPr>
              <w:rPr>
                <w:rFonts w:hint="default" w:ascii="Times New Roman" w:hAnsi="Times New Roman" w:eastAsia="仿宋_GB2312" w:cs="Times New Roman"/>
                <w:kern w:val="0"/>
                <w:sz w:val="22"/>
                <w:szCs w:val="22"/>
                <w:lang w:val="en-US" w:eastAsia="zh-CN" w:bidi="ar"/>
              </w:rPr>
              <w:id w:val="147481669"/>
              <w:placeholder>
                <w:docPart w:val="{9952ea23-7830-4523-99a5-bf4e74785a3b}"/>
              </w:placeholder>
            </w:sdtPr>
            <w:sdtEndPr>
              <w:rPr>
                <w:rFonts w:hint="default" w:ascii="Times New Roman" w:hAnsi="Times New Roman" w:eastAsia="仿宋_GB2312" w:cs="Times New Roman"/>
                <w:kern w:val="0"/>
                <w:sz w:val="22"/>
                <w:szCs w:val="22"/>
                <w:lang w:val="en-US" w:eastAsia="zh-CN" w:bidi="ar"/>
              </w:rPr>
            </w:sdtEndPr>
            <w:sdtContent>
              <w:r>
                <w:rPr>
                  <w:rFonts w:hint="default" w:ascii="Times New Roman" w:hAnsi="Times New Roman" w:eastAsia="仿宋_GB2312" w:cs="Times New Roman"/>
                  <w:sz w:val="22"/>
                  <w:szCs w:val="22"/>
                </w:rPr>
                <w:t>十、其他重要事项的情况说明</w:t>
              </w:r>
            </w:sdtContent>
          </w:sdt>
          <w:r>
            <w:rPr>
              <w:rFonts w:hint="default" w:ascii="Times New Roman" w:hAnsi="Times New Roman" w:eastAsia="仿宋_GB2312" w:cs="Times New Roman"/>
              <w:sz w:val="22"/>
              <w:szCs w:val="22"/>
            </w:rPr>
            <w:tab/>
          </w:r>
          <w:bookmarkStart w:id="14" w:name="_Toc30285_WPSOffice_Level2Page"/>
          <w:r>
            <w:rPr>
              <w:rFonts w:hint="default" w:ascii="Times New Roman" w:hAnsi="Times New Roman" w:eastAsia="仿宋_GB2312" w:cs="Times New Roman"/>
              <w:sz w:val="22"/>
              <w:szCs w:val="22"/>
            </w:rPr>
            <w:t>1</w:t>
          </w:r>
          <w:bookmarkEnd w:id="14"/>
          <w:r>
            <w:rPr>
              <w:rFonts w:hint="default" w:ascii="Times New Roman" w:hAnsi="Times New Roman" w:eastAsia="仿宋_GB2312" w:cs="Times New Roman"/>
              <w:sz w:val="22"/>
              <w:szCs w:val="22"/>
              <w:lang w:val="en-US" w:eastAsia="zh-CN"/>
            </w:rPr>
            <w:t>6</w:t>
          </w:r>
          <w:r>
            <w:rPr>
              <w:rFonts w:hint="default" w:ascii="Times New Roman" w:hAnsi="Times New Roman" w:eastAsia="仿宋_GB2312" w:cs="Times New Roman"/>
              <w:sz w:val="22"/>
              <w:szCs w:val="22"/>
            </w:rPr>
            <w:fldChar w:fldCharType="end"/>
          </w:r>
        </w:p>
        <w:p>
          <w:pPr>
            <w:pStyle w:val="17"/>
            <w:tabs>
              <w:tab w:val="right" w:leader="dot" w:pos="8306"/>
            </w:tabs>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fldChar w:fldCharType="begin"/>
          </w:r>
          <w:r>
            <w:rPr>
              <w:rFonts w:hint="default" w:ascii="Times New Roman" w:hAnsi="Times New Roman" w:cs="Times New Roman"/>
              <w:b w:val="0"/>
              <w:bCs w:val="0"/>
              <w:sz w:val="22"/>
              <w:szCs w:val="22"/>
            </w:rPr>
            <w:instrText xml:space="preserve"> HYPERLINK \l _Toc30285_WPSOffice_Level1 </w:instrText>
          </w:r>
          <w:r>
            <w:rPr>
              <w:rFonts w:hint="default" w:ascii="Times New Roman" w:hAnsi="Times New Roman" w:cs="Times New Roman"/>
              <w:b w:val="0"/>
              <w:bCs w:val="0"/>
              <w:sz w:val="22"/>
              <w:szCs w:val="22"/>
            </w:rPr>
            <w:fldChar w:fldCharType="separate"/>
          </w:r>
          <w:sdt>
            <w:sdtPr>
              <w:rPr>
                <w:rFonts w:hint="default" w:ascii="Times New Roman" w:hAnsi="Times New Roman" w:cs="Times New Roman" w:eastAsiaTheme="minorEastAsia"/>
                <w:b w:val="0"/>
                <w:bCs w:val="0"/>
                <w:kern w:val="0"/>
                <w:sz w:val="22"/>
                <w:szCs w:val="22"/>
                <w:lang w:val="en-US" w:eastAsia="zh-CN" w:bidi="ar"/>
              </w:rPr>
              <w:id w:val="147462157"/>
              <w:placeholder>
                <w:docPart w:val="{c251b27a-7deb-47cb-b5d6-e3f8e8b7a83d}"/>
              </w:placeholder>
            </w:sdtPr>
            <w:sdtEndPr>
              <w:rPr>
                <w:rFonts w:hint="default" w:ascii="Times New Roman" w:hAnsi="Times New Roman" w:cs="Times New Roman" w:eastAsiaTheme="minorEastAsia"/>
                <w:b w:val="0"/>
                <w:bCs w:val="0"/>
                <w:kern w:val="0"/>
                <w:sz w:val="22"/>
                <w:szCs w:val="22"/>
                <w:lang w:val="en-US" w:eastAsia="zh-CN" w:bidi="ar"/>
              </w:rPr>
            </w:sdtEndPr>
            <w:sdtContent>
              <w:r>
                <w:rPr>
                  <w:rFonts w:hint="default" w:ascii="Times New Roman" w:hAnsi="Times New Roman" w:eastAsia="黑体" w:cs="Times New Roman"/>
                  <w:b w:val="0"/>
                  <w:bCs w:val="0"/>
                  <w:sz w:val="22"/>
                  <w:szCs w:val="22"/>
                </w:rPr>
                <w:t>第三部分 名词解释</w:t>
              </w:r>
            </w:sdtContent>
          </w:sdt>
          <w:r>
            <w:rPr>
              <w:rFonts w:hint="default" w:ascii="Times New Roman" w:hAnsi="Times New Roman" w:cs="Times New Roman"/>
              <w:b w:val="0"/>
              <w:bCs w:val="0"/>
              <w:sz w:val="22"/>
              <w:szCs w:val="22"/>
            </w:rPr>
            <w:tab/>
          </w:r>
          <w:bookmarkStart w:id="15" w:name="_Toc30285_WPSOffice_Level1Page"/>
          <w:r>
            <w:rPr>
              <w:rFonts w:hint="default" w:ascii="Times New Roman" w:hAnsi="Times New Roman" w:cs="Times New Roman"/>
              <w:b w:val="0"/>
              <w:bCs w:val="0"/>
              <w:sz w:val="22"/>
              <w:szCs w:val="22"/>
            </w:rPr>
            <w:t>1</w:t>
          </w:r>
          <w:bookmarkEnd w:id="15"/>
          <w:r>
            <w:rPr>
              <w:rFonts w:hint="default" w:ascii="Times New Roman" w:hAnsi="Times New Roman" w:cs="Times New Roman"/>
              <w:b w:val="0"/>
              <w:bCs w:val="0"/>
              <w:sz w:val="22"/>
              <w:szCs w:val="22"/>
              <w:lang w:val="en-US" w:eastAsia="zh-CN"/>
            </w:rPr>
            <w:t>9</w:t>
          </w:r>
          <w:r>
            <w:rPr>
              <w:rFonts w:hint="default" w:ascii="Times New Roman" w:hAnsi="Times New Roman" w:cs="Times New Roman"/>
              <w:b w:val="0"/>
              <w:bCs w:val="0"/>
              <w:sz w:val="22"/>
              <w:szCs w:val="22"/>
            </w:rPr>
            <w:fldChar w:fldCharType="end"/>
          </w:r>
        </w:p>
        <w:p>
          <w:pPr>
            <w:pStyle w:val="17"/>
            <w:tabs>
              <w:tab w:val="right" w:leader="dot" w:pos="8306"/>
            </w:tabs>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fldChar w:fldCharType="begin"/>
          </w:r>
          <w:r>
            <w:rPr>
              <w:rFonts w:hint="default" w:ascii="Times New Roman" w:hAnsi="Times New Roman" w:cs="Times New Roman"/>
              <w:b w:val="0"/>
              <w:bCs w:val="0"/>
              <w:sz w:val="22"/>
              <w:szCs w:val="22"/>
            </w:rPr>
            <w:instrText xml:space="preserve"> HYPERLINK \l _Toc3219_WPSOffice_Level1 </w:instrText>
          </w:r>
          <w:r>
            <w:rPr>
              <w:rFonts w:hint="default" w:ascii="Times New Roman" w:hAnsi="Times New Roman" w:cs="Times New Roman"/>
              <w:b w:val="0"/>
              <w:bCs w:val="0"/>
              <w:sz w:val="22"/>
              <w:szCs w:val="22"/>
            </w:rPr>
            <w:fldChar w:fldCharType="separate"/>
          </w:r>
          <w:sdt>
            <w:sdtPr>
              <w:rPr>
                <w:rFonts w:hint="default" w:ascii="Times New Roman" w:hAnsi="Times New Roman" w:cs="Times New Roman" w:eastAsiaTheme="minorEastAsia"/>
                <w:b w:val="0"/>
                <w:bCs w:val="0"/>
                <w:kern w:val="0"/>
                <w:sz w:val="22"/>
                <w:szCs w:val="22"/>
                <w:lang w:val="en-US" w:eastAsia="zh-CN" w:bidi="ar"/>
              </w:rPr>
              <w:id w:val="147474763"/>
              <w:placeholder>
                <w:docPart w:val="{acfab68d-4011-46ae-8ed5-aa6deaf2b886}"/>
              </w:placeholder>
            </w:sdtPr>
            <w:sdtEndPr>
              <w:rPr>
                <w:rFonts w:hint="default" w:ascii="Times New Roman" w:hAnsi="Times New Roman" w:cs="Times New Roman" w:eastAsiaTheme="minorEastAsia"/>
                <w:b w:val="0"/>
                <w:bCs w:val="0"/>
                <w:kern w:val="0"/>
                <w:sz w:val="22"/>
                <w:szCs w:val="22"/>
                <w:lang w:val="en-US" w:eastAsia="zh-CN" w:bidi="ar"/>
              </w:rPr>
            </w:sdtEndPr>
            <w:sdtContent>
              <w:r>
                <w:rPr>
                  <w:rFonts w:hint="default" w:ascii="Times New Roman" w:hAnsi="Times New Roman" w:eastAsia="黑体" w:cs="Times New Roman"/>
                  <w:b w:val="0"/>
                  <w:bCs w:val="0"/>
                  <w:sz w:val="22"/>
                  <w:szCs w:val="22"/>
                </w:rPr>
                <w:t>第四部分 附件</w:t>
              </w:r>
            </w:sdtContent>
          </w:sdt>
          <w:r>
            <w:rPr>
              <w:rFonts w:hint="default" w:ascii="Times New Roman" w:hAnsi="Times New Roman" w:cs="Times New Roman"/>
              <w:b w:val="0"/>
              <w:bCs w:val="0"/>
              <w:sz w:val="22"/>
              <w:szCs w:val="22"/>
            </w:rPr>
            <w:tab/>
          </w:r>
          <w:bookmarkStart w:id="16" w:name="_Toc3219_WPSOffice_Level1Page"/>
          <w:r>
            <w:rPr>
              <w:rFonts w:hint="default" w:ascii="Times New Roman" w:hAnsi="Times New Roman" w:cs="Times New Roman"/>
              <w:b w:val="0"/>
              <w:bCs w:val="0"/>
              <w:sz w:val="22"/>
              <w:szCs w:val="22"/>
            </w:rPr>
            <w:t>2</w:t>
          </w:r>
          <w:bookmarkEnd w:id="16"/>
          <w:r>
            <w:rPr>
              <w:rFonts w:hint="default" w:ascii="Times New Roman" w:hAnsi="Times New Roman" w:cs="Times New Roman"/>
              <w:b w:val="0"/>
              <w:bCs w:val="0"/>
              <w:sz w:val="22"/>
              <w:szCs w:val="22"/>
              <w:lang w:val="en-US" w:eastAsia="zh-CN"/>
            </w:rPr>
            <w:t>4</w:t>
          </w:r>
          <w:r>
            <w:rPr>
              <w:rFonts w:hint="default" w:ascii="Times New Roman" w:hAnsi="Times New Roman" w:cs="Times New Roman"/>
              <w:b w:val="0"/>
              <w:bCs w:val="0"/>
              <w:sz w:val="22"/>
              <w:szCs w:val="22"/>
            </w:rPr>
            <w:fldChar w:fldCharType="end"/>
          </w:r>
        </w:p>
        <w:p>
          <w:pPr>
            <w:pStyle w:val="17"/>
            <w:tabs>
              <w:tab w:val="right" w:leader="dot" w:pos="8306"/>
            </w:tabs>
            <w:rPr>
              <w:rFonts w:hint="default" w:ascii="Times New Roman" w:hAnsi="Times New Roman" w:cs="Times New Roman" w:eastAsiaTheme="minorEastAsia"/>
              <w:sz w:val="22"/>
              <w:szCs w:val="22"/>
              <w:lang w:val="en-US" w:eastAsia="zh-CN"/>
            </w:rPr>
          </w:pPr>
          <w:r>
            <w:rPr>
              <w:rFonts w:hint="default" w:ascii="Times New Roman" w:hAnsi="Times New Roman" w:cs="Times New Roman"/>
              <w:b w:val="0"/>
              <w:bCs w:val="0"/>
              <w:sz w:val="22"/>
              <w:szCs w:val="22"/>
            </w:rPr>
            <w:fldChar w:fldCharType="begin"/>
          </w:r>
          <w:r>
            <w:rPr>
              <w:rFonts w:hint="default" w:ascii="Times New Roman" w:hAnsi="Times New Roman" w:cs="Times New Roman"/>
              <w:b w:val="0"/>
              <w:bCs w:val="0"/>
              <w:sz w:val="22"/>
              <w:szCs w:val="22"/>
            </w:rPr>
            <w:instrText xml:space="preserve"> HYPERLINK \l _Toc12069_WPSOffice_Level1 </w:instrText>
          </w:r>
          <w:r>
            <w:rPr>
              <w:rFonts w:hint="default" w:ascii="Times New Roman" w:hAnsi="Times New Roman" w:cs="Times New Roman"/>
              <w:b w:val="0"/>
              <w:bCs w:val="0"/>
              <w:sz w:val="22"/>
              <w:szCs w:val="22"/>
            </w:rPr>
            <w:fldChar w:fldCharType="separate"/>
          </w:r>
          <w:sdt>
            <w:sdtPr>
              <w:rPr>
                <w:rFonts w:hint="default" w:ascii="Times New Roman" w:hAnsi="Times New Roman" w:cs="Times New Roman" w:eastAsiaTheme="minorEastAsia"/>
                <w:b w:val="0"/>
                <w:bCs w:val="0"/>
                <w:kern w:val="0"/>
                <w:sz w:val="22"/>
                <w:szCs w:val="22"/>
                <w:lang w:val="en-US" w:eastAsia="zh-CN" w:bidi="ar"/>
              </w:rPr>
              <w:id w:val="147482910"/>
              <w:placeholder>
                <w:docPart w:val="{944d1609-ad93-43c1-8ddd-4e108ac617b1}"/>
              </w:placeholder>
            </w:sdtPr>
            <w:sdtEndPr>
              <w:rPr>
                <w:rFonts w:hint="default" w:ascii="Times New Roman" w:hAnsi="Times New Roman" w:cs="Times New Roman" w:eastAsiaTheme="minorEastAsia"/>
                <w:b w:val="0"/>
                <w:bCs w:val="0"/>
                <w:kern w:val="0"/>
                <w:sz w:val="22"/>
                <w:szCs w:val="22"/>
                <w:lang w:val="en-US" w:eastAsia="zh-CN" w:bidi="ar"/>
              </w:rPr>
            </w:sdtEndPr>
            <w:sdtContent>
              <w:r>
                <w:rPr>
                  <w:rFonts w:hint="default" w:ascii="Times New Roman" w:hAnsi="Times New Roman" w:eastAsia="黑体" w:cs="Times New Roman"/>
                  <w:b w:val="0"/>
                  <w:bCs w:val="0"/>
                  <w:sz w:val="22"/>
                  <w:szCs w:val="22"/>
                </w:rPr>
                <w:t>第五部分 附表</w:t>
              </w:r>
            </w:sdtContent>
          </w:sdt>
          <w:r>
            <w:rPr>
              <w:rFonts w:hint="default" w:ascii="Times New Roman" w:hAnsi="Times New Roman" w:cs="Times New Roman"/>
              <w:b w:val="0"/>
              <w:bCs w:val="0"/>
              <w:sz w:val="22"/>
              <w:szCs w:val="22"/>
            </w:rPr>
            <w:tab/>
          </w:r>
          <w:r>
            <w:rPr>
              <w:rFonts w:hint="default" w:ascii="Times New Roman" w:hAnsi="Times New Roman" w:cs="Times New Roman"/>
              <w:b w:val="0"/>
              <w:bCs w:val="0"/>
              <w:sz w:val="22"/>
              <w:szCs w:val="22"/>
            </w:rPr>
            <w:fldChar w:fldCharType="end"/>
          </w:r>
          <w:r>
            <w:rPr>
              <w:rFonts w:hint="default" w:ascii="Times New Roman" w:hAnsi="Times New Roman" w:cs="Times New Roman"/>
              <w:b w:val="0"/>
              <w:bCs w:val="0"/>
              <w:sz w:val="22"/>
              <w:szCs w:val="22"/>
              <w:lang w:val="en-US" w:eastAsia="zh-CN"/>
            </w:rPr>
            <w:t>48</w:t>
          </w:r>
        </w:p>
        <w:p>
          <w:pPr>
            <w:pStyle w:val="18"/>
            <w:tabs>
              <w:tab w:val="right" w:leader="dot" w:pos="8306"/>
            </w:tabs>
            <w:rPr>
              <w:rFonts w:hint="default" w:ascii="Times New Roman" w:hAnsi="Times New Roman" w:cs="Times New Roman" w:eastAsiaTheme="minorEastAsia"/>
              <w:sz w:val="22"/>
              <w:szCs w:val="22"/>
              <w:lang w:val="en-US" w:eastAsia="zh-CN"/>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_Toc21718_WPSOffice_Level2 </w:instrText>
          </w:r>
          <w:r>
            <w:rPr>
              <w:rFonts w:hint="default" w:ascii="Times New Roman" w:hAnsi="Times New Roman" w:cs="Times New Roman"/>
              <w:sz w:val="22"/>
              <w:szCs w:val="22"/>
            </w:rPr>
            <w:fldChar w:fldCharType="separate"/>
          </w:r>
          <w:sdt>
            <w:sdtPr>
              <w:rPr>
                <w:rFonts w:hint="default" w:ascii="Times New Roman" w:hAnsi="Times New Roman" w:cs="Times New Roman" w:eastAsiaTheme="minorEastAsia"/>
                <w:kern w:val="0"/>
                <w:sz w:val="22"/>
                <w:szCs w:val="22"/>
                <w:lang w:val="en-US" w:eastAsia="zh-CN" w:bidi="ar"/>
              </w:rPr>
              <w:id w:val="147481357"/>
              <w:placeholder>
                <w:docPart w:val="{7323d970-0231-41c2-8571-efd122553232}"/>
              </w:placeholder>
            </w:sdtPr>
            <w:sdtEndPr>
              <w:rPr>
                <w:rFonts w:hint="default" w:ascii="Times New Roman" w:hAnsi="Times New Roman" w:cs="Times New Roman" w:eastAsiaTheme="minorEastAsia"/>
                <w:kern w:val="0"/>
                <w:sz w:val="22"/>
                <w:szCs w:val="22"/>
                <w:lang w:val="en-US" w:eastAsia="zh-CN" w:bidi="ar"/>
              </w:rPr>
            </w:sdtEndPr>
            <w:sdtContent>
              <w:r>
                <w:rPr>
                  <w:rFonts w:hint="default" w:ascii="Times New Roman" w:hAnsi="Times New Roman" w:eastAsia="仿宋_GB2312" w:cs="Times New Roman"/>
                  <w:sz w:val="22"/>
                  <w:szCs w:val="22"/>
                </w:rPr>
                <w:t>一、收入支出决算总表</w:t>
              </w:r>
            </w:sdtContent>
          </w:sdt>
          <w:r>
            <w:rPr>
              <w:rFonts w:hint="default" w:ascii="Times New Roman" w:hAnsi="Times New Roman" w:cs="Times New Roman"/>
              <w:sz w:val="22"/>
              <w:szCs w:val="22"/>
            </w:rPr>
            <w:tab/>
          </w:r>
          <w:r>
            <w:rPr>
              <w:rFonts w:hint="default" w:ascii="Times New Roman" w:hAnsi="Times New Roman" w:cs="Times New Roman"/>
              <w:sz w:val="22"/>
              <w:szCs w:val="22"/>
            </w:rPr>
            <w:fldChar w:fldCharType="end"/>
          </w:r>
          <w:r>
            <w:rPr>
              <w:rFonts w:hint="default" w:ascii="Times New Roman" w:hAnsi="Times New Roman" w:cs="Times New Roman"/>
              <w:b w:val="0"/>
              <w:bCs w:val="0"/>
              <w:sz w:val="22"/>
              <w:szCs w:val="22"/>
              <w:lang w:val="en-US" w:eastAsia="zh-CN"/>
            </w:rPr>
            <w:t>48</w:t>
          </w:r>
        </w:p>
        <w:p>
          <w:pPr>
            <w:pStyle w:val="18"/>
            <w:tabs>
              <w:tab w:val="right" w:leader="dot" w:pos="8306"/>
            </w:tabs>
            <w:rPr>
              <w:rFonts w:hint="default" w:ascii="Times New Roman" w:hAnsi="Times New Roman" w:cs="Times New Roman" w:eastAsiaTheme="minorEastAsia"/>
              <w:sz w:val="22"/>
              <w:szCs w:val="22"/>
              <w:lang w:val="en-US" w:eastAsia="zh-CN"/>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_Toc21740_WPSOffice_Level2 </w:instrText>
          </w:r>
          <w:r>
            <w:rPr>
              <w:rFonts w:hint="default" w:ascii="Times New Roman" w:hAnsi="Times New Roman" w:cs="Times New Roman"/>
              <w:sz w:val="22"/>
              <w:szCs w:val="22"/>
            </w:rPr>
            <w:fldChar w:fldCharType="separate"/>
          </w:r>
          <w:sdt>
            <w:sdtPr>
              <w:rPr>
                <w:rFonts w:hint="default" w:ascii="Times New Roman" w:hAnsi="Times New Roman" w:cs="Times New Roman" w:eastAsiaTheme="minorEastAsia"/>
                <w:kern w:val="0"/>
                <w:sz w:val="22"/>
                <w:szCs w:val="22"/>
                <w:lang w:val="en-US" w:eastAsia="zh-CN" w:bidi="ar"/>
              </w:rPr>
              <w:id w:val="147475676"/>
              <w:placeholder>
                <w:docPart w:val="{c8a8f5a8-e93e-4d84-91d2-614bd72aa94a}"/>
              </w:placeholder>
            </w:sdtPr>
            <w:sdtEndPr>
              <w:rPr>
                <w:rFonts w:hint="default" w:ascii="Times New Roman" w:hAnsi="Times New Roman" w:cs="Times New Roman" w:eastAsiaTheme="minorEastAsia"/>
                <w:kern w:val="0"/>
                <w:sz w:val="22"/>
                <w:szCs w:val="22"/>
                <w:lang w:val="en-US" w:eastAsia="zh-CN" w:bidi="ar"/>
              </w:rPr>
            </w:sdtEndPr>
            <w:sdtContent>
              <w:r>
                <w:rPr>
                  <w:rFonts w:hint="default" w:ascii="Times New Roman" w:hAnsi="Times New Roman" w:eastAsia="仿宋_GB2312" w:cs="Times New Roman"/>
                  <w:sz w:val="22"/>
                  <w:szCs w:val="22"/>
                </w:rPr>
                <w:t>二、收入决算表</w:t>
              </w:r>
            </w:sdtContent>
          </w:sdt>
          <w:r>
            <w:rPr>
              <w:rFonts w:hint="default" w:ascii="Times New Roman" w:hAnsi="Times New Roman" w:cs="Times New Roman"/>
              <w:sz w:val="22"/>
              <w:szCs w:val="22"/>
            </w:rPr>
            <w:tab/>
          </w:r>
          <w:r>
            <w:rPr>
              <w:rFonts w:hint="default" w:ascii="Times New Roman" w:hAnsi="Times New Roman" w:cs="Times New Roman"/>
              <w:sz w:val="22"/>
              <w:szCs w:val="22"/>
            </w:rPr>
            <w:fldChar w:fldCharType="end"/>
          </w:r>
          <w:r>
            <w:rPr>
              <w:rFonts w:hint="default" w:ascii="Times New Roman" w:hAnsi="Times New Roman" w:cs="Times New Roman"/>
              <w:b w:val="0"/>
              <w:bCs w:val="0"/>
              <w:sz w:val="22"/>
              <w:szCs w:val="22"/>
              <w:lang w:val="en-US" w:eastAsia="zh-CN"/>
            </w:rPr>
            <w:t>48</w:t>
          </w:r>
        </w:p>
        <w:p>
          <w:pPr>
            <w:pStyle w:val="18"/>
            <w:tabs>
              <w:tab w:val="right" w:leader="dot" w:pos="8306"/>
            </w:tabs>
            <w:rPr>
              <w:rFonts w:hint="default" w:ascii="Times New Roman" w:hAnsi="Times New Roman" w:cs="Times New Roman" w:eastAsiaTheme="minorEastAsia"/>
              <w:sz w:val="22"/>
              <w:szCs w:val="22"/>
              <w:lang w:val="en-US" w:eastAsia="zh-CN"/>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_Toc29332_WPSOffice_Level2 </w:instrText>
          </w:r>
          <w:r>
            <w:rPr>
              <w:rFonts w:hint="default" w:ascii="Times New Roman" w:hAnsi="Times New Roman" w:cs="Times New Roman"/>
              <w:sz w:val="22"/>
              <w:szCs w:val="22"/>
            </w:rPr>
            <w:fldChar w:fldCharType="separate"/>
          </w:r>
          <w:sdt>
            <w:sdtPr>
              <w:rPr>
                <w:rFonts w:hint="default" w:ascii="Times New Roman" w:hAnsi="Times New Roman" w:cs="Times New Roman" w:eastAsiaTheme="minorEastAsia"/>
                <w:kern w:val="0"/>
                <w:sz w:val="22"/>
                <w:szCs w:val="22"/>
                <w:lang w:val="en-US" w:eastAsia="zh-CN" w:bidi="ar"/>
              </w:rPr>
              <w:id w:val="147463466"/>
              <w:placeholder>
                <w:docPart w:val="{586e8bd3-4a90-485e-a8a6-5f653f5d3327}"/>
              </w:placeholder>
            </w:sdtPr>
            <w:sdtEndPr>
              <w:rPr>
                <w:rFonts w:hint="default" w:ascii="Times New Roman" w:hAnsi="Times New Roman" w:cs="Times New Roman" w:eastAsiaTheme="minorEastAsia"/>
                <w:kern w:val="0"/>
                <w:sz w:val="22"/>
                <w:szCs w:val="22"/>
                <w:lang w:val="en-US" w:eastAsia="zh-CN" w:bidi="ar"/>
              </w:rPr>
            </w:sdtEndPr>
            <w:sdtContent>
              <w:r>
                <w:rPr>
                  <w:rFonts w:hint="default" w:ascii="Times New Roman" w:hAnsi="Times New Roman" w:eastAsia="仿宋_GB2312" w:cs="Times New Roman"/>
                  <w:sz w:val="22"/>
                  <w:szCs w:val="22"/>
                </w:rPr>
                <w:t>三、支出决算表</w:t>
              </w:r>
            </w:sdtContent>
          </w:sdt>
          <w:r>
            <w:rPr>
              <w:rFonts w:hint="default" w:ascii="Times New Roman" w:hAnsi="Times New Roman" w:cs="Times New Roman"/>
              <w:sz w:val="22"/>
              <w:szCs w:val="22"/>
            </w:rPr>
            <w:tab/>
          </w:r>
          <w:r>
            <w:rPr>
              <w:rFonts w:hint="default" w:ascii="Times New Roman" w:hAnsi="Times New Roman" w:cs="Times New Roman"/>
              <w:sz w:val="22"/>
              <w:szCs w:val="22"/>
            </w:rPr>
            <w:fldChar w:fldCharType="end"/>
          </w:r>
          <w:r>
            <w:rPr>
              <w:rFonts w:hint="default" w:ascii="Times New Roman" w:hAnsi="Times New Roman" w:cs="Times New Roman"/>
              <w:b w:val="0"/>
              <w:bCs w:val="0"/>
              <w:sz w:val="22"/>
              <w:szCs w:val="22"/>
              <w:lang w:val="en-US" w:eastAsia="zh-CN"/>
            </w:rPr>
            <w:t>48</w:t>
          </w:r>
        </w:p>
        <w:p>
          <w:pPr>
            <w:pStyle w:val="18"/>
            <w:tabs>
              <w:tab w:val="right" w:leader="dot" w:pos="8306"/>
            </w:tabs>
            <w:rPr>
              <w:rFonts w:hint="default" w:ascii="Times New Roman" w:hAnsi="Times New Roman" w:cs="Times New Roman" w:eastAsiaTheme="minorEastAsia"/>
              <w:sz w:val="22"/>
              <w:szCs w:val="22"/>
              <w:lang w:val="en-US" w:eastAsia="zh-CN"/>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_Toc30607_WPSOffice_Level2 </w:instrText>
          </w:r>
          <w:r>
            <w:rPr>
              <w:rFonts w:hint="default" w:ascii="Times New Roman" w:hAnsi="Times New Roman" w:cs="Times New Roman"/>
              <w:sz w:val="22"/>
              <w:szCs w:val="22"/>
            </w:rPr>
            <w:fldChar w:fldCharType="separate"/>
          </w:r>
          <w:sdt>
            <w:sdtPr>
              <w:rPr>
                <w:rFonts w:hint="default" w:ascii="Times New Roman" w:hAnsi="Times New Roman" w:cs="Times New Roman" w:eastAsiaTheme="minorEastAsia"/>
                <w:kern w:val="0"/>
                <w:sz w:val="22"/>
                <w:szCs w:val="22"/>
                <w:lang w:val="en-US" w:eastAsia="zh-CN" w:bidi="ar"/>
              </w:rPr>
              <w:id w:val="147457372"/>
              <w:placeholder>
                <w:docPart w:val="{e7aea217-206b-40b6-82b7-f9e7d4af70a1}"/>
              </w:placeholder>
            </w:sdtPr>
            <w:sdtEndPr>
              <w:rPr>
                <w:rFonts w:hint="default" w:ascii="Times New Roman" w:hAnsi="Times New Roman" w:cs="Times New Roman" w:eastAsiaTheme="minorEastAsia"/>
                <w:kern w:val="0"/>
                <w:sz w:val="22"/>
                <w:szCs w:val="22"/>
                <w:lang w:val="en-US" w:eastAsia="zh-CN" w:bidi="ar"/>
              </w:rPr>
            </w:sdtEndPr>
            <w:sdtContent>
              <w:r>
                <w:rPr>
                  <w:rFonts w:hint="default" w:ascii="Times New Roman" w:hAnsi="Times New Roman" w:eastAsia="仿宋_GB2312" w:cs="Times New Roman"/>
                  <w:sz w:val="22"/>
                  <w:szCs w:val="22"/>
                </w:rPr>
                <w:t>四、财政拨款收入支出决算总表</w:t>
              </w:r>
            </w:sdtContent>
          </w:sdt>
          <w:r>
            <w:rPr>
              <w:rFonts w:hint="default" w:ascii="Times New Roman" w:hAnsi="Times New Roman" w:cs="Times New Roman"/>
              <w:sz w:val="22"/>
              <w:szCs w:val="22"/>
            </w:rPr>
            <w:tab/>
          </w:r>
          <w:r>
            <w:rPr>
              <w:rFonts w:hint="default" w:ascii="Times New Roman" w:hAnsi="Times New Roman" w:cs="Times New Roman"/>
              <w:sz w:val="22"/>
              <w:szCs w:val="22"/>
            </w:rPr>
            <w:fldChar w:fldCharType="end"/>
          </w:r>
          <w:r>
            <w:rPr>
              <w:rFonts w:hint="default" w:ascii="Times New Roman" w:hAnsi="Times New Roman" w:cs="Times New Roman"/>
              <w:b w:val="0"/>
              <w:bCs w:val="0"/>
              <w:sz w:val="22"/>
              <w:szCs w:val="22"/>
              <w:lang w:val="en-US" w:eastAsia="zh-CN"/>
            </w:rPr>
            <w:t>48</w:t>
          </w:r>
        </w:p>
        <w:p>
          <w:pPr>
            <w:pStyle w:val="18"/>
            <w:tabs>
              <w:tab w:val="right" w:leader="dot" w:pos="8306"/>
            </w:tabs>
            <w:rPr>
              <w:rFonts w:hint="default" w:ascii="Times New Roman" w:hAnsi="Times New Roman" w:cs="Times New Roman" w:eastAsiaTheme="minorEastAsia"/>
              <w:sz w:val="22"/>
              <w:szCs w:val="22"/>
              <w:lang w:val="en-US" w:eastAsia="zh-CN"/>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_Toc26553_WPSOffice_Level2 </w:instrText>
          </w:r>
          <w:r>
            <w:rPr>
              <w:rFonts w:hint="default" w:ascii="Times New Roman" w:hAnsi="Times New Roman" w:cs="Times New Roman"/>
              <w:sz w:val="22"/>
              <w:szCs w:val="22"/>
            </w:rPr>
            <w:fldChar w:fldCharType="separate"/>
          </w:r>
          <w:sdt>
            <w:sdtPr>
              <w:rPr>
                <w:rFonts w:hint="default" w:ascii="Times New Roman" w:hAnsi="Times New Roman" w:cs="Times New Roman" w:eastAsiaTheme="minorEastAsia"/>
                <w:kern w:val="0"/>
                <w:sz w:val="22"/>
                <w:szCs w:val="22"/>
                <w:lang w:val="en-US" w:eastAsia="zh-CN" w:bidi="ar"/>
              </w:rPr>
              <w:id w:val="147454599"/>
              <w:placeholder>
                <w:docPart w:val="{019d5033-21ec-4c30-bf46-75b1eb33a599}"/>
              </w:placeholder>
            </w:sdtPr>
            <w:sdtEndPr>
              <w:rPr>
                <w:rFonts w:hint="default" w:ascii="Times New Roman" w:hAnsi="Times New Roman" w:cs="Times New Roman" w:eastAsiaTheme="minorEastAsia"/>
                <w:kern w:val="0"/>
                <w:sz w:val="22"/>
                <w:szCs w:val="22"/>
                <w:lang w:val="en-US" w:eastAsia="zh-CN" w:bidi="ar"/>
              </w:rPr>
            </w:sdtEndPr>
            <w:sdtContent>
              <w:r>
                <w:rPr>
                  <w:rFonts w:hint="default" w:ascii="Times New Roman" w:hAnsi="Times New Roman" w:eastAsia="仿宋_GB2312" w:cs="Times New Roman"/>
                  <w:sz w:val="22"/>
                  <w:szCs w:val="22"/>
                </w:rPr>
                <w:t>五、财政拨款支出决算明细表</w:t>
              </w:r>
            </w:sdtContent>
          </w:sdt>
          <w:r>
            <w:rPr>
              <w:rFonts w:hint="default" w:ascii="Times New Roman" w:hAnsi="Times New Roman" w:cs="Times New Roman"/>
              <w:sz w:val="22"/>
              <w:szCs w:val="22"/>
            </w:rPr>
            <w:tab/>
          </w:r>
          <w:r>
            <w:rPr>
              <w:rFonts w:hint="default" w:ascii="Times New Roman" w:hAnsi="Times New Roman" w:cs="Times New Roman"/>
              <w:sz w:val="22"/>
              <w:szCs w:val="22"/>
            </w:rPr>
            <w:fldChar w:fldCharType="end"/>
          </w:r>
          <w:r>
            <w:rPr>
              <w:rFonts w:hint="default" w:ascii="Times New Roman" w:hAnsi="Times New Roman" w:cs="Times New Roman"/>
              <w:b w:val="0"/>
              <w:bCs w:val="0"/>
              <w:sz w:val="22"/>
              <w:szCs w:val="22"/>
              <w:lang w:val="en-US" w:eastAsia="zh-CN"/>
            </w:rPr>
            <w:t>48</w:t>
          </w:r>
        </w:p>
        <w:p>
          <w:pPr>
            <w:pStyle w:val="18"/>
            <w:tabs>
              <w:tab w:val="right" w:leader="dot" w:pos="8306"/>
            </w:tabs>
            <w:rPr>
              <w:rFonts w:hint="default" w:ascii="Times New Roman" w:hAnsi="Times New Roman" w:cs="Times New Roman" w:eastAsiaTheme="minorEastAsia"/>
              <w:sz w:val="22"/>
              <w:szCs w:val="22"/>
              <w:lang w:val="en-US" w:eastAsia="zh-CN"/>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_Toc3864_WPSOffice_Level2 </w:instrText>
          </w:r>
          <w:r>
            <w:rPr>
              <w:rFonts w:hint="default" w:ascii="Times New Roman" w:hAnsi="Times New Roman" w:cs="Times New Roman"/>
              <w:sz w:val="22"/>
              <w:szCs w:val="22"/>
            </w:rPr>
            <w:fldChar w:fldCharType="separate"/>
          </w:r>
          <w:sdt>
            <w:sdtPr>
              <w:rPr>
                <w:rFonts w:hint="default" w:ascii="Times New Roman" w:hAnsi="Times New Roman" w:cs="Times New Roman" w:eastAsiaTheme="minorEastAsia"/>
                <w:kern w:val="0"/>
                <w:sz w:val="22"/>
                <w:szCs w:val="22"/>
                <w:lang w:val="en-US" w:eastAsia="zh-CN" w:bidi="ar"/>
              </w:rPr>
              <w:id w:val="147465881"/>
              <w:placeholder>
                <w:docPart w:val="{67492fe7-889d-4cb4-9f66-6f19c22e8a39}"/>
              </w:placeholder>
            </w:sdtPr>
            <w:sdtEndPr>
              <w:rPr>
                <w:rFonts w:hint="default" w:ascii="Times New Roman" w:hAnsi="Times New Roman" w:cs="Times New Roman" w:eastAsiaTheme="minorEastAsia"/>
                <w:kern w:val="0"/>
                <w:sz w:val="22"/>
                <w:szCs w:val="22"/>
                <w:lang w:val="en-US" w:eastAsia="zh-CN" w:bidi="ar"/>
              </w:rPr>
            </w:sdtEndPr>
            <w:sdtContent>
              <w:r>
                <w:rPr>
                  <w:rFonts w:hint="default" w:ascii="Times New Roman" w:hAnsi="Times New Roman" w:eastAsia="仿宋_GB2312" w:cs="Times New Roman"/>
                  <w:sz w:val="22"/>
                  <w:szCs w:val="22"/>
                </w:rPr>
                <w:t>六、一般公共预算财政拨款支出决算表</w:t>
              </w:r>
            </w:sdtContent>
          </w:sdt>
          <w:r>
            <w:rPr>
              <w:rFonts w:hint="default" w:ascii="Times New Roman" w:hAnsi="Times New Roman" w:cs="Times New Roman"/>
              <w:sz w:val="22"/>
              <w:szCs w:val="22"/>
            </w:rPr>
            <w:tab/>
          </w:r>
          <w:r>
            <w:rPr>
              <w:rFonts w:hint="default" w:ascii="Times New Roman" w:hAnsi="Times New Roman" w:cs="Times New Roman"/>
              <w:sz w:val="22"/>
              <w:szCs w:val="22"/>
            </w:rPr>
            <w:fldChar w:fldCharType="end"/>
          </w:r>
          <w:r>
            <w:rPr>
              <w:rFonts w:hint="default" w:ascii="Times New Roman" w:hAnsi="Times New Roman" w:cs="Times New Roman"/>
              <w:b w:val="0"/>
              <w:bCs w:val="0"/>
              <w:sz w:val="22"/>
              <w:szCs w:val="22"/>
              <w:lang w:val="en-US" w:eastAsia="zh-CN"/>
            </w:rPr>
            <w:t>48</w:t>
          </w:r>
        </w:p>
        <w:p>
          <w:pPr>
            <w:pStyle w:val="18"/>
            <w:tabs>
              <w:tab w:val="right" w:leader="dot" w:pos="8306"/>
            </w:tabs>
            <w:rPr>
              <w:rFonts w:hint="default" w:ascii="Times New Roman" w:hAnsi="Times New Roman" w:cs="Times New Roman" w:eastAsiaTheme="minorEastAsia"/>
              <w:sz w:val="22"/>
              <w:szCs w:val="22"/>
              <w:lang w:val="en-US" w:eastAsia="zh-CN"/>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_Toc4564_WPSOffice_Level2 </w:instrText>
          </w:r>
          <w:r>
            <w:rPr>
              <w:rFonts w:hint="default" w:ascii="Times New Roman" w:hAnsi="Times New Roman" w:cs="Times New Roman"/>
              <w:sz w:val="22"/>
              <w:szCs w:val="22"/>
            </w:rPr>
            <w:fldChar w:fldCharType="separate"/>
          </w:r>
          <w:sdt>
            <w:sdtPr>
              <w:rPr>
                <w:rFonts w:hint="default" w:ascii="Times New Roman" w:hAnsi="Times New Roman" w:cs="Times New Roman" w:eastAsiaTheme="minorEastAsia"/>
                <w:kern w:val="0"/>
                <w:sz w:val="22"/>
                <w:szCs w:val="22"/>
                <w:lang w:val="en-US" w:eastAsia="zh-CN" w:bidi="ar"/>
              </w:rPr>
              <w:id w:val="147456312"/>
              <w:placeholder>
                <w:docPart w:val="{53bdb8cc-8ccc-4fe9-a45b-df6ab1678df7}"/>
              </w:placeholder>
            </w:sdtPr>
            <w:sdtEndPr>
              <w:rPr>
                <w:rFonts w:hint="default" w:ascii="Times New Roman" w:hAnsi="Times New Roman" w:cs="Times New Roman" w:eastAsiaTheme="minorEastAsia"/>
                <w:kern w:val="0"/>
                <w:sz w:val="22"/>
                <w:szCs w:val="22"/>
                <w:lang w:val="en-US" w:eastAsia="zh-CN" w:bidi="ar"/>
              </w:rPr>
            </w:sdtEndPr>
            <w:sdtContent>
              <w:r>
                <w:rPr>
                  <w:rFonts w:hint="default" w:ascii="Times New Roman" w:hAnsi="Times New Roman" w:eastAsia="仿宋_GB2312" w:cs="Times New Roman"/>
                  <w:sz w:val="22"/>
                  <w:szCs w:val="22"/>
                </w:rPr>
                <w:t>七、一般公共预算财政拨款支出决算明细表</w:t>
              </w:r>
            </w:sdtContent>
          </w:sdt>
          <w:r>
            <w:rPr>
              <w:rFonts w:hint="default" w:ascii="Times New Roman" w:hAnsi="Times New Roman" w:cs="Times New Roman"/>
              <w:sz w:val="22"/>
              <w:szCs w:val="22"/>
            </w:rPr>
            <w:tab/>
          </w:r>
          <w:r>
            <w:rPr>
              <w:rFonts w:hint="default" w:ascii="Times New Roman" w:hAnsi="Times New Roman" w:cs="Times New Roman"/>
              <w:sz w:val="22"/>
              <w:szCs w:val="22"/>
            </w:rPr>
            <w:fldChar w:fldCharType="end"/>
          </w:r>
          <w:r>
            <w:rPr>
              <w:rFonts w:hint="default" w:ascii="Times New Roman" w:hAnsi="Times New Roman" w:cs="Times New Roman"/>
              <w:b w:val="0"/>
              <w:bCs w:val="0"/>
              <w:sz w:val="22"/>
              <w:szCs w:val="22"/>
              <w:lang w:val="en-US" w:eastAsia="zh-CN"/>
            </w:rPr>
            <w:t>48</w:t>
          </w:r>
        </w:p>
        <w:p>
          <w:pPr>
            <w:pStyle w:val="18"/>
            <w:tabs>
              <w:tab w:val="right" w:leader="dot" w:pos="8306"/>
            </w:tabs>
            <w:rPr>
              <w:rFonts w:hint="default" w:ascii="Times New Roman" w:hAnsi="Times New Roman" w:cs="Times New Roman" w:eastAsiaTheme="minorEastAsia"/>
              <w:sz w:val="22"/>
              <w:szCs w:val="22"/>
              <w:lang w:val="en-US" w:eastAsia="zh-CN"/>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_Toc15816_WPSOffice_Level2 </w:instrText>
          </w:r>
          <w:r>
            <w:rPr>
              <w:rFonts w:hint="default" w:ascii="Times New Roman" w:hAnsi="Times New Roman" w:cs="Times New Roman"/>
              <w:sz w:val="22"/>
              <w:szCs w:val="22"/>
            </w:rPr>
            <w:fldChar w:fldCharType="separate"/>
          </w:r>
          <w:sdt>
            <w:sdtPr>
              <w:rPr>
                <w:rFonts w:hint="default" w:ascii="Times New Roman" w:hAnsi="Times New Roman" w:cs="Times New Roman" w:eastAsiaTheme="minorEastAsia"/>
                <w:kern w:val="0"/>
                <w:sz w:val="22"/>
                <w:szCs w:val="22"/>
                <w:lang w:val="en-US" w:eastAsia="zh-CN" w:bidi="ar"/>
              </w:rPr>
              <w:id w:val="147460135"/>
              <w:placeholder>
                <w:docPart w:val="{c7755a47-bb1e-44cc-9a89-4372494c0cb5}"/>
              </w:placeholder>
            </w:sdtPr>
            <w:sdtEndPr>
              <w:rPr>
                <w:rFonts w:hint="default" w:ascii="Times New Roman" w:hAnsi="Times New Roman" w:cs="Times New Roman" w:eastAsiaTheme="minorEastAsia"/>
                <w:kern w:val="0"/>
                <w:sz w:val="22"/>
                <w:szCs w:val="22"/>
                <w:lang w:val="en-US" w:eastAsia="zh-CN" w:bidi="ar"/>
              </w:rPr>
            </w:sdtEndPr>
            <w:sdtContent>
              <w:r>
                <w:rPr>
                  <w:rFonts w:hint="default" w:ascii="Times New Roman" w:hAnsi="Times New Roman" w:eastAsia="仿宋_GB2312" w:cs="Times New Roman"/>
                  <w:sz w:val="22"/>
                  <w:szCs w:val="22"/>
                </w:rPr>
                <w:t>八、一般公共预算财政拨款基本支出决算表</w:t>
              </w:r>
            </w:sdtContent>
          </w:sdt>
          <w:r>
            <w:rPr>
              <w:rFonts w:hint="default" w:ascii="Times New Roman" w:hAnsi="Times New Roman" w:cs="Times New Roman"/>
              <w:sz w:val="22"/>
              <w:szCs w:val="22"/>
            </w:rPr>
            <w:tab/>
          </w:r>
          <w:r>
            <w:rPr>
              <w:rFonts w:hint="default" w:ascii="Times New Roman" w:hAnsi="Times New Roman" w:cs="Times New Roman"/>
              <w:sz w:val="22"/>
              <w:szCs w:val="22"/>
            </w:rPr>
            <w:fldChar w:fldCharType="end"/>
          </w:r>
          <w:r>
            <w:rPr>
              <w:rFonts w:hint="default" w:ascii="Times New Roman" w:hAnsi="Times New Roman" w:cs="Times New Roman"/>
              <w:b w:val="0"/>
              <w:bCs w:val="0"/>
              <w:sz w:val="22"/>
              <w:szCs w:val="22"/>
              <w:lang w:val="en-US" w:eastAsia="zh-CN"/>
            </w:rPr>
            <w:t>48</w:t>
          </w:r>
        </w:p>
        <w:p>
          <w:pPr>
            <w:pStyle w:val="18"/>
            <w:tabs>
              <w:tab w:val="right" w:leader="dot" w:pos="8306"/>
            </w:tabs>
            <w:rPr>
              <w:rFonts w:hint="default" w:ascii="Times New Roman" w:hAnsi="Times New Roman" w:cs="Times New Roman" w:eastAsiaTheme="minorEastAsia"/>
              <w:sz w:val="22"/>
              <w:szCs w:val="22"/>
              <w:lang w:val="en-US" w:eastAsia="zh-CN"/>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_Toc355_WPSOffice_Level2 </w:instrText>
          </w:r>
          <w:r>
            <w:rPr>
              <w:rFonts w:hint="default" w:ascii="Times New Roman" w:hAnsi="Times New Roman" w:cs="Times New Roman"/>
              <w:sz w:val="22"/>
              <w:szCs w:val="22"/>
            </w:rPr>
            <w:fldChar w:fldCharType="separate"/>
          </w:r>
          <w:sdt>
            <w:sdtPr>
              <w:rPr>
                <w:rFonts w:hint="default" w:ascii="Times New Roman" w:hAnsi="Times New Roman" w:cs="Times New Roman" w:eastAsiaTheme="minorEastAsia"/>
                <w:kern w:val="0"/>
                <w:sz w:val="22"/>
                <w:szCs w:val="22"/>
                <w:lang w:val="en-US" w:eastAsia="zh-CN" w:bidi="ar"/>
              </w:rPr>
              <w:id w:val="147461381"/>
              <w:placeholder>
                <w:docPart w:val="{aa38051d-d219-42a2-8c91-715dc91b9c25}"/>
              </w:placeholder>
            </w:sdtPr>
            <w:sdtEndPr>
              <w:rPr>
                <w:rFonts w:hint="default" w:ascii="Times New Roman" w:hAnsi="Times New Roman" w:cs="Times New Roman" w:eastAsiaTheme="minorEastAsia"/>
                <w:kern w:val="0"/>
                <w:sz w:val="22"/>
                <w:szCs w:val="22"/>
                <w:lang w:val="en-US" w:eastAsia="zh-CN" w:bidi="ar"/>
              </w:rPr>
            </w:sdtEndPr>
            <w:sdtContent>
              <w:r>
                <w:rPr>
                  <w:rFonts w:hint="default" w:ascii="Times New Roman" w:hAnsi="Times New Roman" w:eastAsia="仿宋_GB2312" w:cs="Times New Roman"/>
                  <w:sz w:val="22"/>
                  <w:szCs w:val="22"/>
                </w:rPr>
                <w:t>九、一般公共预算财政拨款项目支出决算表</w:t>
              </w:r>
            </w:sdtContent>
          </w:sdt>
          <w:r>
            <w:rPr>
              <w:rFonts w:hint="default" w:ascii="Times New Roman" w:hAnsi="Times New Roman" w:cs="Times New Roman"/>
              <w:sz w:val="22"/>
              <w:szCs w:val="22"/>
            </w:rPr>
            <w:tab/>
          </w:r>
          <w:r>
            <w:rPr>
              <w:rFonts w:hint="default" w:ascii="Times New Roman" w:hAnsi="Times New Roman" w:cs="Times New Roman"/>
              <w:sz w:val="22"/>
              <w:szCs w:val="22"/>
            </w:rPr>
            <w:fldChar w:fldCharType="end"/>
          </w:r>
          <w:r>
            <w:rPr>
              <w:rFonts w:hint="default" w:ascii="Times New Roman" w:hAnsi="Times New Roman" w:cs="Times New Roman"/>
              <w:b w:val="0"/>
              <w:bCs w:val="0"/>
              <w:sz w:val="22"/>
              <w:szCs w:val="22"/>
              <w:lang w:val="en-US" w:eastAsia="zh-CN"/>
            </w:rPr>
            <w:t>48</w:t>
          </w:r>
        </w:p>
        <w:p>
          <w:pPr>
            <w:pStyle w:val="18"/>
            <w:tabs>
              <w:tab w:val="right" w:leader="dot" w:pos="8306"/>
            </w:tabs>
            <w:rPr>
              <w:rFonts w:hint="default" w:ascii="Times New Roman" w:hAnsi="Times New Roman" w:cs="Times New Roman" w:eastAsiaTheme="minorEastAsia"/>
              <w:sz w:val="22"/>
              <w:szCs w:val="22"/>
              <w:lang w:val="en-US" w:eastAsia="zh-CN"/>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_Toc29787_WPSOffice_Level2 </w:instrText>
          </w:r>
          <w:r>
            <w:rPr>
              <w:rFonts w:hint="default" w:ascii="Times New Roman" w:hAnsi="Times New Roman" w:cs="Times New Roman"/>
              <w:sz w:val="22"/>
              <w:szCs w:val="22"/>
            </w:rPr>
            <w:fldChar w:fldCharType="separate"/>
          </w:r>
          <w:sdt>
            <w:sdtPr>
              <w:rPr>
                <w:rFonts w:hint="default" w:ascii="Times New Roman" w:hAnsi="Times New Roman" w:cs="Times New Roman" w:eastAsiaTheme="minorEastAsia"/>
                <w:kern w:val="0"/>
                <w:sz w:val="22"/>
                <w:szCs w:val="22"/>
                <w:lang w:val="en-US" w:eastAsia="zh-CN" w:bidi="ar"/>
              </w:rPr>
              <w:id w:val="147457848"/>
              <w:placeholder>
                <w:docPart w:val="{a7e5dc5e-47e8-442c-b2d4-31658755d031}"/>
              </w:placeholder>
            </w:sdtPr>
            <w:sdtEndPr>
              <w:rPr>
                <w:rFonts w:hint="default" w:ascii="Times New Roman" w:hAnsi="Times New Roman" w:cs="Times New Roman" w:eastAsiaTheme="minorEastAsia"/>
                <w:kern w:val="0"/>
                <w:sz w:val="22"/>
                <w:szCs w:val="22"/>
                <w:lang w:val="en-US" w:eastAsia="zh-CN" w:bidi="ar"/>
              </w:rPr>
            </w:sdtEndPr>
            <w:sdtContent>
              <w:r>
                <w:rPr>
                  <w:rFonts w:hint="default" w:ascii="Times New Roman" w:hAnsi="Times New Roman" w:eastAsia="仿宋_GB2312" w:cs="Times New Roman"/>
                  <w:sz w:val="22"/>
                  <w:szCs w:val="22"/>
                </w:rPr>
                <w:t>十、政府性基金预算财政拨款收入支出决算表</w:t>
              </w:r>
            </w:sdtContent>
          </w:sdt>
          <w:r>
            <w:rPr>
              <w:rFonts w:hint="default" w:ascii="Times New Roman" w:hAnsi="Times New Roman" w:cs="Times New Roman"/>
              <w:sz w:val="22"/>
              <w:szCs w:val="22"/>
            </w:rPr>
            <w:tab/>
          </w:r>
          <w:r>
            <w:rPr>
              <w:rFonts w:hint="default" w:ascii="Times New Roman" w:hAnsi="Times New Roman" w:cs="Times New Roman"/>
              <w:sz w:val="22"/>
              <w:szCs w:val="22"/>
            </w:rPr>
            <w:fldChar w:fldCharType="end"/>
          </w:r>
          <w:r>
            <w:rPr>
              <w:rFonts w:hint="default" w:ascii="Times New Roman" w:hAnsi="Times New Roman" w:cs="Times New Roman"/>
              <w:b w:val="0"/>
              <w:bCs w:val="0"/>
              <w:sz w:val="22"/>
              <w:szCs w:val="22"/>
              <w:lang w:val="en-US" w:eastAsia="zh-CN"/>
            </w:rPr>
            <w:t>48</w:t>
          </w:r>
        </w:p>
        <w:p>
          <w:pPr>
            <w:pStyle w:val="18"/>
            <w:tabs>
              <w:tab w:val="right" w:leader="dot" w:pos="8306"/>
            </w:tabs>
            <w:rPr>
              <w:rFonts w:hint="default" w:ascii="Times New Roman" w:hAnsi="Times New Roman" w:cs="Times New Roman" w:eastAsiaTheme="minorEastAsia"/>
              <w:sz w:val="22"/>
              <w:szCs w:val="22"/>
              <w:lang w:val="en-US" w:eastAsia="zh-CN"/>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_Toc25989_WPSOffice_Level2 </w:instrText>
          </w:r>
          <w:r>
            <w:rPr>
              <w:rFonts w:hint="default" w:ascii="Times New Roman" w:hAnsi="Times New Roman" w:cs="Times New Roman"/>
              <w:sz w:val="22"/>
              <w:szCs w:val="22"/>
            </w:rPr>
            <w:fldChar w:fldCharType="separate"/>
          </w:r>
          <w:sdt>
            <w:sdtPr>
              <w:rPr>
                <w:rFonts w:hint="default" w:ascii="Times New Roman" w:hAnsi="Times New Roman" w:cs="Times New Roman" w:eastAsiaTheme="minorEastAsia"/>
                <w:kern w:val="0"/>
                <w:sz w:val="22"/>
                <w:szCs w:val="22"/>
                <w:lang w:val="en-US" w:eastAsia="zh-CN" w:bidi="ar"/>
              </w:rPr>
              <w:id w:val="147467460"/>
              <w:placeholder>
                <w:docPart w:val="{14135ff0-e8dd-405a-a6c5-0559f387c1d2}"/>
              </w:placeholder>
            </w:sdtPr>
            <w:sdtEndPr>
              <w:rPr>
                <w:rFonts w:hint="default" w:ascii="Times New Roman" w:hAnsi="Times New Roman" w:cs="Times New Roman" w:eastAsiaTheme="minorEastAsia"/>
                <w:kern w:val="0"/>
                <w:sz w:val="22"/>
                <w:szCs w:val="22"/>
                <w:lang w:val="en-US" w:eastAsia="zh-CN" w:bidi="ar"/>
              </w:rPr>
            </w:sdtEndPr>
            <w:sdtContent>
              <w:r>
                <w:rPr>
                  <w:rFonts w:hint="default" w:ascii="Times New Roman" w:hAnsi="Times New Roman" w:eastAsia="仿宋_GB2312" w:cs="Times New Roman"/>
                  <w:sz w:val="22"/>
                  <w:szCs w:val="22"/>
                </w:rPr>
                <w:t>十一、国有资本经营预算财政拨款收入支出决算表</w:t>
              </w:r>
            </w:sdtContent>
          </w:sdt>
          <w:r>
            <w:rPr>
              <w:rFonts w:hint="default" w:ascii="Times New Roman" w:hAnsi="Times New Roman" w:cs="Times New Roman"/>
              <w:sz w:val="22"/>
              <w:szCs w:val="22"/>
            </w:rPr>
            <w:tab/>
          </w:r>
          <w:r>
            <w:rPr>
              <w:rFonts w:hint="default" w:ascii="Times New Roman" w:hAnsi="Times New Roman" w:cs="Times New Roman"/>
              <w:sz w:val="22"/>
              <w:szCs w:val="22"/>
            </w:rPr>
            <w:fldChar w:fldCharType="end"/>
          </w:r>
          <w:r>
            <w:rPr>
              <w:rFonts w:hint="default" w:ascii="Times New Roman" w:hAnsi="Times New Roman" w:cs="Times New Roman"/>
              <w:b w:val="0"/>
              <w:bCs w:val="0"/>
              <w:sz w:val="22"/>
              <w:szCs w:val="22"/>
              <w:lang w:val="en-US" w:eastAsia="zh-CN"/>
            </w:rPr>
            <w:t>48</w:t>
          </w:r>
        </w:p>
        <w:p>
          <w:pPr>
            <w:pStyle w:val="18"/>
            <w:tabs>
              <w:tab w:val="right" w:leader="dot" w:pos="8306"/>
            </w:tabs>
            <w:rPr>
              <w:rFonts w:hint="default" w:ascii="Times New Roman" w:hAnsi="Times New Roman" w:cs="Times New Roman" w:eastAsiaTheme="minorEastAsia"/>
              <w:sz w:val="22"/>
              <w:szCs w:val="22"/>
              <w:lang w:val="en-US" w:eastAsia="zh-CN"/>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_Toc27012_WPSOffice_Level2 </w:instrText>
          </w:r>
          <w:r>
            <w:rPr>
              <w:rFonts w:hint="default" w:ascii="Times New Roman" w:hAnsi="Times New Roman" w:cs="Times New Roman"/>
              <w:sz w:val="22"/>
              <w:szCs w:val="22"/>
            </w:rPr>
            <w:fldChar w:fldCharType="separate"/>
          </w:r>
          <w:sdt>
            <w:sdtPr>
              <w:rPr>
                <w:rFonts w:hint="default" w:ascii="Times New Roman" w:hAnsi="Times New Roman" w:cs="Times New Roman" w:eastAsiaTheme="minorEastAsia"/>
                <w:kern w:val="0"/>
                <w:sz w:val="22"/>
                <w:szCs w:val="22"/>
                <w:lang w:val="en-US" w:eastAsia="zh-CN" w:bidi="ar"/>
              </w:rPr>
              <w:id w:val="147459074"/>
              <w:placeholder>
                <w:docPart w:val="{8755a17c-f0b3-4ba5-a4ca-0510d5377d01}"/>
              </w:placeholder>
            </w:sdtPr>
            <w:sdtEndPr>
              <w:rPr>
                <w:rFonts w:hint="default" w:ascii="Times New Roman" w:hAnsi="Times New Roman" w:cs="Times New Roman" w:eastAsiaTheme="minorEastAsia"/>
                <w:kern w:val="0"/>
                <w:sz w:val="22"/>
                <w:szCs w:val="22"/>
                <w:lang w:val="en-US" w:eastAsia="zh-CN" w:bidi="ar"/>
              </w:rPr>
            </w:sdtEndPr>
            <w:sdtContent>
              <w:r>
                <w:rPr>
                  <w:rFonts w:hint="default" w:ascii="Times New Roman" w:hAnsi="Times New Roman" w:eastAsia="仿宋_GB2312" w:cs="Times New Roman"/>
                  <w:sz w:val="22"/>
                  <w:szCs w:val="22"/>
                </w:rPr>
                <w:t>十二、国有资本经营预算财政拨款支出决算表</w:t>
              </w:r>
            </w:sdtContent>
          </w:sdt>
          <w:r>
            <w:rPr>
              <w:rFonts w:hint="default" w:ascii="Times New Roman" w:hAnsi="Times New Roman" w:cs="Times New Roman"/>
              <w:sz w:val="22"/>
              <w:szCs w:val="22"/>
            </w:rPr>
            <w:tab/>
          </w:r>
          <w:r>
            <w:rPr>
              <w:rFonts w:hint="default" w:ascii="Times New Roman" w:hAnsi="Times New Roman" w:cs="Times New Roman"/>
              <w:sz w:val="22"/>
              <w:szCs w:val="22"/>
            </w:rPr>
            <w:fldChar w:fldCharType="end"/>
          </w:r>
          <w:r>
            <w:rPr>
              <w:rFonts w:hint="default" w:ascii="Times New Roman" w:hAnsi="Times New Roman" w:cs="Times New Roman"/>
              <w:b w:val="0"/>
              <w:bCs w:val="0"/>
              <w:sz w:val="22"/>
              <w:szCs w:val="22"/>
              <w:lang w:val="en-US" w:eastAsia="zh-CN"/>
            </w:rPr>
            <w:t>48</w:t>
          </w:r>
        </w:p>
        <w:p>
          <w:pPr>
            <w:pStyle w:val="18"/>
            <w:tabs>
              <w:tab w:val="right" w:leader="dot" w:pos="8306"/>
            </w:tabs>
            <w:rPr>
              <w:rFonts w:hint="default" w:ascii="Times New Roman" w:hAnsi="Times New Roman" w:cs="Times New Roman"/>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_Toc30214_WPSOffice_Level2 </w:instrText>
          </w:r>
          <w:r>
            <w:rPr>
              <w:rFonts w:hint="default" w:ascii="Times New Roman" w:hAnsi="Times New Roman" w:cs="Times New Roman"/>
              <w:sz w:val="22"/>
              <w:szCs w:val="22"/>
            </w:rPr>
            <w:fldChar w:fldCharType="separate"/>
          </w:r>
          <w:sdt>
            <w:sdtPr>
              <w:rPr>
                <w:rFonts w:hint="default" w:ascii="Times New Roman" w:hAnsi="Times New Roman" w:cs="Times New Roman" w:eastAsiaTheme="minorEastAsia"/>
                <w:kern w:val="0"/>
                <w:sz w:val="22"/>
                <w:szCs w:val="22"/>
                <w:lang w:val="en-US" w:eastAsia="zh-CN" w:bidi="ar"/>
              </w:rPr>
              <w:id w:val="147452340"/>
              <w:placeholder>
                <w:docPart w:val="{4d93603f-74d1-4e00-a138-b6fc505329b7}"/>
              </w:placeholder>
            </w:sdtPr>
            <w:sdtEndPr>
              <w:rPr>
                <w:rFonts w:hint="default" w:ascii="Times New Roman" w:hAnsi="Times New Roman" w:cs="Times New Roman" w:eastAsiaTheme="minorEastAsia"/>
                <w:kern w:val="0"/>
                <w:sz w:val="22"/>
                <w:szCs w:val="22"/>
                <w:lang w:val="en-US" w:eastAsia="zh-CN" w:bidi="ar"/>
              </w:rPr>
            </w:sdtEndPr>
            <w:sdtContent>
              <w:r>
                <w:rPr>
                  <w:rFonts w:hint="default" w:ascii="Times New Roman" w:hAnsi="Times New Roman" w:eastAsia="仿宋_GB2312" w:cs="Times New Roman"/>
                  <w:sz w:val="22"/>
                  <w:szCs w:val="22"/>
                </w:rPr>
                <w:t>十三、财政拨款“三公”经费支出决算表</w:t>
              </w:r>
            </w:sdtContent>
          </w:sdt>
          <w:r>
            <w:rPr>
              <w:rFonts w:hint="default" w:ascii="Times New Roman" w:hAnsi="Times New Roman" w:cs="Times New Roman"/>
              <w:sz w:val="22"/>
              <w:szCs w:val="22"/>
            </w:rPr>
            <w:tab/>
          </w:r>
          <w:r>
            <w:rPr>
              <w:rFonts w:hint="default" w:ascii="Times New Roman" w:hAnsi="Times New Roman" w:cs="Times New Roman"/>
              <w:sz w:val="22"/>
              <w:szCs w:val="22"/>
            </w:rPr>
            <w:fldChar w:fldCharType="end"/>
          </w:r>
          <w:bookmarkEnd w:id="0"/>
          <w:r>
            <w:rPr>
              <w:rFonts w:hint="default" w:ascii="Times New Roman" w:hAnsi="Times New Roman" w:cs="Times New Roman"/>
              <w:b w:val="0"/>
              <w:bCs w:val="0"/>
              <w:sz w:val="22"/>
              <w:szCs w:val="22"/>
              <w:lang w:val="en-US" w:eastAsia="zh-CN"/>
            </w:rPr>
            <w:t>48</w:t>
          </w:r>
        </w:p>
      </w:sdtContent>
    </w:sdt>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both"/>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rPr>
          <w:rFonts w:hint="default" w:ascii="Times New Roman" w:hAnsi="Times New Roman" w:eastAsia="黑体" w:cs="Times New Roman"/>
          <w:i w:val="0"/>
          <w:caps w:val="0"/>
          <w:color w:val="000000" w:themeColor="text1"/>
          <w:spacing w:val="0"/>
          <w:sz w:val="44"/>
          <w:szCs w:val="44"/>
          <w14:textFill>
            <w14:solidFill>
              <w14:schemeClr w14:val="tx1"/>
            </w14:solidFill>
          </w14:textFill>
        </w:rPr>
        <w:sectPr>
          <w:pgSz w:w="11906" w:h="16838"/>
          <w:pgMar w:top="1440" w:right="1800" w:bottom="1440" w:left="1800" w:header="851" w:footer="992" w:gutter="0"/>
          <w:pgNumType w:fmt="decimal" w:start="1"/>
          <w:cols w:space="425" w:num="1"/>
          <w:docGrid w:type="lines" w:linePitch="312" w:charSpace="0"/>
        </w:sectPr>
      </w:pPr>
      <w:bookmarkStart w:id="17" w:name="_Toc21517_WPSOffice_Level1"/>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rPr>
          <w:rFonts w:hint="default" w:ascii="Times New Roman" w:hAnsi="Times New Roman" w:eastAsia="黑体" w:cs="Times New Roman"/>
          <w:color w:val="000000" w:themeColor="text1"/>
          <w:sz w:val="44"/>
          <w:szCs w:val="44"/>
          <w14:textFill>
            <w14:solidFill>
              <w14:schemeClr w14:val="tx1"/>
            </w14:solidFill>
          </w14:textFill>
        </w:rPr>
      </w:pPr>
      <w:bookmarkStart w:id="18" w:name="_Toc18313_WPSOffice_Level1"/>
      <w:r>
        <w:rPr>
          <w:rFonts w:hint="default" w:ascii="Times New Roman" w:hAnsi="Times New Roman" w:eastAsia="黑体" w:cs="Times New Roman"/>
          <w:i w:val="0"/>
          <w:caps w:val="0"/>
          <w:color w:val="000000" w:themeColor="text1"/>
          <w:spacing w:val="0"/>
          <w:sz w:val="44"/>
          <w:szCs w:val="44"/>
          <w14:textFill>
            <w14:solidFill>
              <w14:schemeClr w14:val="tx1"/>
            </w14:solidFill>
          </w14:textFill>
        </w:rPr>
        <w:t>第一部分 部门概况</w:t>
      </w:r>
      <w:bookmarkEnd w:id="17"/>
      <w:bookmarkEnd w:id="18"/>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617"/>
        </w:tabs>
        <w:kinsoku/>
        <w:wordWrap/>
        <w:overflowPunct/>
        <w:topLinePunct w:val="0"/>
        <w:autoSpaceDE/>
        <w:autoSpaceDN/>
        <w:bidi w:val="0"/>
        <w:adjustRightInd/>
        <w:snapToGrid/>
        <w:spacing w:before="0" w:beforeAutospacing="0" w:after="0" w:afterAutospacing="0" w:line="240" w:lineRule="auto"/>
        <w:ind w:left="0" w:leftChars="0" w:right="0" w:firstLine="643" w:firstLineChars="200"/>
        <w:jc w:val="both"/>
        <w:textAlignment w:val="auto"/>
        <w:rPr>
          <w:rFonts w:hint="default" w:ascii="Times New Roman" w:hAnsi="Times New Roman" w:eastAsia="仿宋_GB2312" w:cs="Times New Roman"/>
          <w:b/>
          <w:bCs/>
          <w:i w:val="0"/>
          <w:caps w:val="0"/>
          <w:color w:val="000000" w:themeColor="text1"/>
          <w:spacing w:val="0"/>
          <w:sz w:val="32"/>
          <w:szCs w:val="32"/>
          <w:lang w:eastAsia="zh-CN"/>
          <w14:textFill>
            <w14:solidFill>
              <w14:schemeClr w14:val="tx1"/>
            </w14:solidFill>
          </w14:textFill>
        </w:rPr>
      </w:pPr>
      <w:bookmarkStart w:id="19" w:name="_Toc12645_WPSOffice_Level2"/>
      <w:r>
        <w:rPr>
          <w:rFonts w:hint="default" w:ascii="Times New Roman" w:hAnsi="Times New Roman" w:eastAsia="仿宋_GB2312" w:cs="Times New Roman"/>
          <w:b/>
          <w:bCs/>
          <w:i w:val="0"/>
          <w:caps w:val="0"/>
          <w:color w:val="000000" w:themeColor="text1"/>
          <w:spacing w:val="0"/>
          <w:sz w:val="32"/>
          <w:szCs w:val="32"/>
          <w:lang w:eastAsia="zh-CN"/>
          <w14:textFill>
            <w14:solidFill>
              <w14:schemeClr w14:val="tx1"/>
            </w14:solidFill>
          </w14:textFill>
        </w:rPr>
        <w:tab/>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617"/>
        </w:tabs>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default" w:ascii="Times New Roman" w:hAnsi="Times New Roman" w:eastAsia="黑体" w:cs="Times New Roman"/>
          <w:b w:val="0"/>
          <w:bCs w:val="0"/>
          <w:color w:val="000000" w:themeColor="text1"/>
          <w:sz w:val="32"/>
          <w:szCs w:val="32"/>
          <w:lang w:eastAsia="zh-CN"/>
          <w14:textFill>
            <w14:solidFill>
              <w14:schemeClr w14:val="tx1"/>
            </w14:solidFill>
          </w14:textFill>
        </w:rPr>
      </w:pPr>
      <w:bookmarkStart w:id="20" w:name="_Toc19536_WPSOffice_Level2"/>
      <w:r>
        <w:rPr>
          <w:rFonts w:hint="default" w:ascii="Times New Roman" w:hAnsi="Times New Roman" w:eastAsia="黑体" w:cs="Times New Roman"/>
          <w:b w:val="0"/>
          <w:bCs w:val="0"/>
          <w:i w:val="0"/>
          <w:caps w:val="0"/>
          <w:color w:val="000000" w:themeColor="text1"/>
          <w:spacing w:val="0"/>
          <w:sz w:val="32"/>
          <w:szCs w:val="32"/>
          <w14:textFill>
            <w14:solidFill>
              <w14:schemeClr w14:val="tx1"/>
            </w14:solidFill>
          </w14:textFill>
        </w:rPr>
        <w:t>一、</w:t>
      </w:r>
      <w:bookmarkEnd w:id="19"/>
      <w:r>
        <w:rPr>
          <w:rFonts w:hint="default" w:ascii="Times New Roman" w:hAnsi="Times New Roman" w:eastAsia="黑体" w:cs="Times New Roman"/>
          <w:b w:val="0"/>
          <w:bCs w:val="0"/>
          <w:i w:val="0"/>
          <w:caps w:val="0"/>
          <w:color w:val="000000" w:themeColor="text1"/>
          <w:spacing w:val="0"/>
          <w:sz w:val="32"/>
          <w:szCs w:val="32"/>
          <w:lang w:eastAsia="zh-CN"/>
          <w14:textFill>
            <w14:solidFill>
              <w14:schemeClr w14:val="tx1"/>
            </w14:solidFill>
          </w14:textFill>
        </w:rPr>
        <w:t>部门职责</w:t>
      </w:r>
      <w:bookmarkEnd w:id="20"/>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sz w:val="32"/>
          <w:szCs w:val="32"/>
        </w:rPr>
        <w:t>经</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委、</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政府批准同意，根据《关于</w:t>
      </w:r>
      <w:r>
        <w:rPr>
          <w:rFonts w:hint="default" w:ascii="Times New Roman" w:hAnsi="Times New Roman" w:eastAsia="仿宋_GB2312" w:cs="Times New Roman"/>
          <w:sz w:val="32"/>
          <w:szCs w:val="32"/>
          <w:lang w:eastAsia="zh-CN"/>
        </w:rPr>
        <w:t>印发</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攀枝花市</w:t>
      </w:r>
      <w:r>
        <w:rPr>
          <w:rFonts w:hint="default" w:ascii="Times New Roman" w:hAnsi="Times New Roman" w:eastAsia="仿宋_GB2312" w:cs="Times New Roman"/>
          <w:sz w:val="32"/>
          <w:szCs w:val="32"/>
        </w:rPr>
        <w:t>人力资源和社会保障</w:t>
      </w:r>
      <w:r>
        <w:rPr>
          <w:rFonts w:hint="default" w:ascii="Times New Roman" w:hAnsi="Times New Roman" w:eastAsia="仿宋_GB2312" w:cs="Times New Roman"/>
          <w:sz w:val="32"/>
          <w:szCs w:val="32"/>
          <w:lang w:eastAsia="zh-CN"/>
        </w:rPr>
        <w:t>局</w:t>
      </w:r>
      <w:r>
        <w:rPr>
          <w:rFonts w:hint="default" w:ascii="Times New Roman" w:hAnsi="Times New Roman" w:eastAsia="仿宋_GB2312" w:cs="Times New Roman"/>
          <w:sz w:val="32"/>
          <w:szCs w:val="32"/>
        </w:rPr>
        <w:t>职能配置、内设机构和人员编制规定〉的通知》（</w:t>
      </w:r>
      <w:r>
        <w:rPr>
          <w:rFonts w:hint="default" w:ascii="Times New Roman" w:hAnsi="Times New Roman" w:eastAsia="仿宋_GB2312" w:cs="Times New Roman"/>
          <w:sz w:val="32"/>
          <w:szCs w:val="32"/>
          <w:lang w:eastAsia="zh-CN"/>
        </w:rPr>
        <w:t>攀</w:t>
      </w:r>
      <w:r>
        <w:rPr>
          <w:rFonts w:hint="default" w:ascii="Times New Roman" w:hAnsi="Times New Roman" w:eastAsia="仿宋_GB2312" w:cs="Times New Roman"/>
          <w:sz w:val="32"/>
          <w:szCs w:val="32"/>
        </w:rPr>
        <w:t>委</w:t>
      </w:r>
      <w:r>
        <w:rPr>
          <w:rFonts w:hint="default" w:ascii="Times New Roman" w:hAnsi="Times New Roman" w:eastAsia="仿宋_GB2312" w:cs="Times New Roman"/>
          <w:sz w:val="32"/>
          <w:szCs w:val="32"/>
          <w:lang w:eastAsia="zh-CN"/>
        </w:rPr>
        <w:t>办</w:t>
      </w:r>
      <w:r>
        <w:rPr>
          <w:rFonts w:hint="default" w:ascii="Times New Roman" w:hAnsi="Times New Roman" w:eastAsia="仿宋_GB2312" w:cs="Times New Roman"/>
          <w:sz w:val="32"/>
          <w:szCs w:val="32"/>
        </w:rPr>
        <w:t>〔2019〕</w:t>
      </w:r>
      <w:r>
        <w:rPr>
          <w:rFonts w:hint="default" w:ascii="Times New Roman" w:hAnsi="Times New Roman" w:eastAsia="仿宋_GB2312" w:cs="Times New Roman"/>
          <w:sz w:val="32"/>
          <w:szCs w:val="32"/>
          <w:lang w:val="en-US" w:eastAsia="zh-CN"/>
        </w:rPr>
        <w:t>53</w:t>
      </w:r>
      <w:r>
        <w:rPr>
          <w:rFonts w:hint="default" w:ascii="Times New Roman" w:hAnsi="Times New Roman" w:eastAsia="仿宋_GB2312" w:cs="Times New Roman"/>
          <w:sz w:val="32"/>
          <w:szCs w:val="32"/>
        </w:rPr>
        <w:t>号），人力资源社会保障</w:t>
      </w:r>
      <w:r>
        <w:rPr>
          <w:rFonts w:hint="default" w:ascii="Times New Roman" w:hAnsi="Times New Roman" w:eastAsia="仿宋_GB2312" w:cs="Times New Roman"/>
          <w:sz w:val="32"/>
          <w:szCs w:val="32"/>
          <w:lang w:eastAsia="zh-CN"/>
        </w:rPr>
        <w:t>局</w:t>
      </w:r>
      <w:r>
        <w:rPr>
          <w:rFonts w:hint="default" w:ascii="Times New Roman" w:hAnsi="Times New Roman" w:eastAsia="仿宋_GB2312" w:cs="Times New Roman"/>
          <w:sz w:val="32"/>
          <w:szCs w:val="32"/>
        </w:rPr>
        <w:t>是</w:t>
      </w:r>
      <w:r>
        <w:rPr>
          <w:rFonts w:hint="default" w:ascii="Times New Roman" w:hAnsi="Times New Roman" w:eastAsia="仿宋_GB2312" w:cs="Times New Roman"/>
          <w:sz w:val="32"/>
          <w:szCs w:val="32"/>
          <w:lang w:eastAsia="zh-CN"/>
        </w:rPr>
        <w:t>攀枝花市</w:t>
      </w:r>
      <w:r>
        <w:rPr>
          <w:rFonts w:hint="default" w:ascii="Times New Roman" w:hAnsi="Times New Roman" w:eastAsia="仿宋_GB2312" w:cs="Times New Roman"/>
          <w:sz w:val="32"/>
          <w:szCs w:val="32"/>
        </w:rPr>
        <w:t>人民政府</w:t>
      </w:r>
      <w:r>
        <w:rPr>
          <w:rFonts w:hint="default" w:ascii="Times New Roman" w:hAnsi="Times New Roman" w:eastAsia="仿宋_GB2312" w:cs="Times New Roman"/>
          <w:sz w:val="32"/>
          <w:szCs w:val="32"/>
          <w:lang w:eastAsia="zh-CN"/>
        </w:rPr>
        <w:t>工作</w:t>
      </w:r>
      <w:r>
        <w:rPr>
          <w:rFonts w:hint="default" w:ascii="Times New Roman" w:hAnsi="Times New Roman" w:eastAsia="仿宋_GB2312" w:cs="Times New Roman"/>
          <w:sz w:val="32"/>
          <w:szCs w:val="32"/>
        </w:rPr>
        <w:t>部门，为正</w:t>
      </w:r>
      <w:r>
        <w:rPr>
          <w:rFonts w:hint="default" w:ascii="Times New Roman" w:hAnsi="Times New Roman" w:eastAsia="仿宋_GB2312" w:cs="Times New Roman"/>
          <w:sz w:val="32"/>
          <w:szCs w:val="32"/>
          <w:lang w:eastAsia="zh-CN"/>
        </w:rPr>
        <w:t>县</w:t>
      </w:r>
      <w:r>
        <w:rPr>
          <w:rFonts w:hint="default" w:ascii="Times New Roman" w:hAnsi="Times New Roman" w:eastAsia="仿宋_GB2312" w:cs="Times New Roman"/>
          <w:sz w:val="32"/>
          <w:szCs w:val="32"/>
        </w:rPr>
        <w:t>级。人力资源社会保障</w:t>
      </w:r>
      <w:r>
        <w:rPr>
          <w:rFonts w:hint="default" w:ascii="Times New Roman" w:hAnsi="Times New Roman" w:eastAsia="仿宋_GB2312" w:cs="Times New Roman"/>
          <w:sz w:val="32"/>
          <w:szCs w:val="32"/>
          <w:lang w:eastAsia="zh-CN"/>
        </w:rPr>
        <w:t>局</w:t>
      </w:r>
      <w:r>
        <w:rPr>
          <w:rFonts w:hint="default" w:ascii="Times New Roman" w:hAnsi="Times New Roman" w:eastAsia="仿宋_GB2312" w:cs="Times New Roman"/>
          <w:sz w:val="32"/>
          <w:szCs w:val="32"/>
        </w:rPr>
        <w:t>承担以下</w:t>
      </w:r>
      <w:r>
        <w:rPr>
          <w:rFonts w:hint="default" w:ascii="Times New Roman" w:hAnsi="Times New Roman" w:eastAsia="仿宋_GB2312" w:cs="Times New Roman"/>
          <w:sz w:val="32"/>
          <w:szCs w:val="32"/>
          <w:lang w:eastAsia="zh-CN"/>
        </w:rPr>
        <w:t>主要职责</w:t>
      </w:r>
      <w:r>
        <w:rPr>
          <w:rFonts w:hint="default" w:ascii="Times New Roman" w:hAnsi="Times New Roman" w:eastAsia="仿宋_GB2312" w:cs="Times New Roman"/>
          <w:sz w:val="32"/>
          <w:szCs w:val="32"/>
        </w:rPr>
        <w:t>：</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贯彻执行国家、省人力资源和社会保障工作的法律、法规、规章和政策，拟订全市人力资源和社会保障事业发展规划、政策并组织实施，统筹推进人力资源和社会保障事业发展。</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2.</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拟订并组织实施全市人力资源市场发展规划和人力资源服务业发展、人力资源流动政策，促进人力资源合理流动，有效配置。</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3.</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负责促进就业工作，拟订统筹全市城乡就业发展规划和政策，完善公共就业创业服务体系，统筹建立面向城乡劳动者的职业技能培训制度，拟订并组织落实创业、就业援助制度，提出就业资金安排计划并组织实施，牵头拟订高校毕业生就业政策，组织实施高校毕业生就业创业服务工作。</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4.</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统筹推进建立覆盖全市城乡的多层次社会保障体系。贯彻执行国家、省养老、失业、工伤等社会保险及其补充保险政策和标准，拟订全市的相关政策并组织实施，贯彻落实养老保险全国统筹办法和全国统一的养老、失业、工伤保险关系转续办法，会同有关部门拟订全市养老、失业、工伤等社会保险及其补充保险基金管理和监督制度并组织实施，编制全市相关社会保险基金预决算草案，会同有关部门实施全民参保计划并建立全市统一的社会保险公共服务平台。负责全市养老、失业、工伤保险基金保值增值的监督检查。拟订人力资源和社会保障信息化建设总体规划、年度计划，制定相关制度并组织实施。</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5.</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负责就业、失业和相关社会保障基金预测预警和信息引导，拟订应对预案，实施预防、调节和控制，保持就业形势稳定和相关社会保险基金总体收支平衡。</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6.</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统筹拟订劳动人事争议调解仲裁制度和劳动关系政策，完善劳动关系协商协调机制，拟订职工工作时间、休息休假制度，拟订消除非法使用童工政策和女工、未成年工特殊劳动保护政策。依法督促用人单位在劳动用工、合同签订与履约时，载明劳动保护、劳动条件和职业危害防护等条款。组织实施劳动保障监察，协调劳动者维权工作，依法查处重大案件。</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7.</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牵头推进深化职称制度改革，拟订专业技术人员管理、继续教育和博士后管理政策并组织实施，负责高层次专业技术人才选拔和培养工作，负责留学回国人员的服务和管理工作。组织拟订技能人才培养评价、使用和激励制度。贯彻落实职业资格制度，健全职业技能多元化评价政策。指导、监督各级各类技工学校、民办职业培训机构按国家、省和我市有关规定履行安全管理责任。</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8.</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组织实施国家表彰制度，综合管理表彰奖励工作，承担全市评比达标表彰和市级部门表彰奖励工作，根据授权承办以市委、市政府名义开展的市级表彰活动。承办市委管理的部分领导人员的行政任免手续。</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9.</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会同有关部门指导实施事业单位人事制度改革，按照管理权限承办事业单位岗位设置、公开招聘、人员聘用等人事综合管理工作，拟订事业单位工作人员和机关工勤人员管理政策，将安全生产责任履行情况作为事业单位工作人员奖惩、考核的重要内容。</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10.</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贯彻执行国家、省企业职工工资收入分配、支付、保障和调控政策，指导和监督国有企业工资总额管理和国有企业负责人工资收入分配。贯彻落实事业单位人员工资收入分配政策，建立企事业单位人员工资决定、正常增长和支付保障机制，贯彻落实企事业单位人员福利和退休政策。</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11.</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会同有关部门拟订劳务开发及农民工工作综合性政策和规划并推动相关政策的落实，协调解决重点难点问题，维护农民工合法权益。负责将安全生产纳入农民工技能培训内容。</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12.</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受理人力资源和社会保障方面的信访事项，会同有关部门协调处理重大信访事件或突发事件。</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13.</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负责市人力资源社会保障领域的对外交流与合作工作。</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14.</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承担职责范围内的安全生产和职业健康、生态环境保护、审批服务便民化等工作。</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15.</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完成市委、市政府交办的其他任务。</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16.</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职能转变。深入推进简政放权、放管结合、优化服务改革，进一步减少行政审批事项，规范和优化对外办理事项，减少职业资格许可和认定等事项，实行职业资格目录清单管理，加强事中事后监管，创新就业和社会保障等公共服务方式，加强信息共享，提高公共服务水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bookmarkStart w:id="21" w:name="_Toc18123_WPSOffice_Level2"/>
      <w:bookmarkStart w:id="22" w:name="_Toc4437_WPSOffice_Level2"/>
      <w:r>
        <w:rPr>
          <w:rFonts w:hint="default" w:ascii="Times New Roman" w:hAnsi="Times New Roman" w:eastAsia="黑体" w:cs="Times New Roman"/>
          <w:i w:val="0"/>
          <w:caps w:val="0"/>
          <w:color w:val="000000" w:themeColor="text1"/>
          <w:spacing w:val="0"/>
          <w:sz w:val="32"/>
          <w:szCs w:val="32"/>
          <w14:textFill>
            <w14:solidFill>
              <w14:schemeClr w14:val="tx1"/>
            </w14:solidFill>
          </w14:textFill>
        </w:rPr>
        <w:t>二、机构设置</w:t>
      </w:r>
      <w:bookmarkEnd w:id="21"/>
      <w:bookmarkEnd w:id="22"/>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攀枝花市人力资源和社会保障局下属二级</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预算</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单位</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4</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个，其中行政单位0个，参照公务员法管理的事业单位</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0</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个，其他事业单位</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4</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个。</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纳入攀枝花市人力资源和社会保障局</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2025年度</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部门决算编制范围的二级预算单位包括：</w:t>
      </w:r>
    </w:p>
    <w:p>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攀枝花市人力资源和社会保障信息中心。</w:t>
      </w:r>
    </w:p>
    <w:p>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攀枝花市人才服务中心。</w:t>
      </w:r>
    </w:p>
    <w:p>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攀枝花市人事考试中心。</w:t>
      </w:r>
    </w:p>
    <w:p>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攀枝花市劳动人事争议仲裁院。</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pP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 </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rPr>
          <w:rFonts w:hint="default" w:ascii="Times New Roman" w:hAnsi="Times New Roman" w:eastAsia="黑体" w:cs="Times New Roman"/>
          <w:color w:val="000000" w:themeColor="text1"/>
          <w:sz w:val="44"/>
          <w:szCs w:val="44"/>
          <w14:textFill>
            <w14:solidFill>
              <w14:schemeClr w14:val="tx1"/>
            </w14:solidFill>
          </w14:textFill>
        </w:rPr>
      </w:pPr>
      <w:bookmarkStart w:id="23" w:name="_Toc19536_WPSOffice_Level1"/>
      <w:bookmarkStart w:id="24" w:name="_Toc12645_WPSOffice_Level1"/>
      <w:r>
        <w:rPr>
          <w:rFonts w:hint="default" w:ascii="Times New Roman" w:hAnsi="Times New Roman" w:eastAsia="黑体" w:cs="Times New Roman"/>
          <w:i w:val="0"/>
          <w:caps w:val="0"/>
          <w:color w:val="000000" w:themeColor="text1"/>
          <w:spacing w:val="0"/>
          <w:sz w:val="44"/>
          <w:szCs w:val="44"/>
          <w14:textFill>
            <w14:solidFill>
              <w14:schemeClr w14:val="tx1"/>
            </w14:solidFill>
          </w14:textFill>
        </w:rPr>
        <w:t xml:space="preserve">第二部分 </w:t>
      </w:r>
      <w:r>
        <w:rPr>
          <w:rFonts w:hint="default" w:ascii="Times New Roman" w:hAnsi="Times New Roman" w:eastAsia="黑体" w:cs="Times New Roman"/>
          <w:i w:val="0"/>
          <w:caps w:val="0"/>
          <w:color w:val="000000" w:themeColor="text1"/>
          <w:spacing w:val="0"/>
          <w:sz w:val="44"/>
          <w:szCs w:val="44"/>
          <w:lang w:eastAsia="zh-CN"/>
          <w14:textFill>
            <w14:solidFill>
              <w14:schemeClr w14:val="tx1"/>
            </w14:solidFill>
          </w14:textFill>
        </w:rPr>
        <w:t>2025年度</w:t>
      </w:r>
      <w:r>
        <w:rPr>
          <w:rFonts w:hint="default" w:ascii="Times New Roman" w:hAnsi="Times New Roman" w:eastAsia="黑体" w:cs="Times New Roman"/>
          <w:i w:val="0"/>
          <w:caps w:val="0"/>
          <w:color w:val="000000" w:themeColor="text1"/>
          <w:spacing w:val="0"/>
          <w:sz w:val="44"/>
          <w:szCs w:val="44"/>
          <w14:textFill>
            <w14:solidFill>
              <w14:schemeClr w14:val="tx1"/>
            </w14:solidFill>
          </w14:textFill>
        </w:rPr>
        <w:t>部门决算情况说明</w:t>
      </w:r>
      <w:bookmarkEnd w:id="23"/>
      <w:bookmarkEnd w:id="24"/>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default" w:ascii="Times New Roman" w:hAnsi="Times New Roman" w:eastAsia="黑体" w:cs="Times New Roman"/>
          <w:color w:val="000000" w:themeColor="text1"/>
          <w:sz w:val="32"/>
          <w:szCs w:val="32"/>
          <w14:textFill>
            <w14:solidFill>
              <w14:schemeClr w14:val="tx1"/>
            </w14:solidFill>
          </w14:textFill>
        </w:rPr>
      </w:pPr>
      <w:bookmarkStart w:id="25" w:name="_Toc23996_WPSOffice_Level2"/>
      <w:bookmarkStart w:id="26" w:name="_Toc20774_WPSOffice_Level2"/>
      <w:r>
        <w:rPr>
          <w:rFonts w:hint="default" w:ascii="Times New Roman" w:hAnsi="Times New Roman" w:eastAsia="黑体" w:cs="Times New Roman"/>
          <w:i w:val="0"/>
          <w:caps w:val="0"/>
          <w:color w:val="000000" w:themeColor="text1"/>
          <w:spacing w:val="0"/>
          <w:sz w:val="32"/>
          <w:szCs w:val="32"/>
          <w14:textFill>
            <w14:solidFill>
              <w14:schemeClr w14:val="tx1"/>
            </w14:solidFill>
          </w14:textFill>
        </w:rPr>
        <w:t>一、收入支出决算总体情况说明</w:t>
      </w:r>
      <w:bookmarkEnd w:id="25"/>
      <w:bookmarkEnd w:id="26"/>
    </w:p>
    <w:p>
      <w:pPr>
        <w:keepNext w:val="0"/>
        <w:keepLines w:val="0"/>
        <w:pageBreakBefore w:val="0"/>
        <w:widowControl w:val="0"/>
        <w:kinsoku/>
        <w:wordWrap/>
        <w:overflowPunct/>
        <w:topLinePunct w:val="0"/>
        <w:autoSpaceDE/>
        <w:autoSpaceDN/>
        <w:bidi w:val="0"/>
        <w:adjustRightInd/>
        <w:spacing w:line="360" w:lineRule="auto"/>
        <w:ind w:firstLine="640" w:firstLineChars="200"/>
        <w:jc w:val="left"/>
        <w:textAlignment w:val="auto"/>
        <w:rPr>
          <w:rFonts w:hint="default" w:ascii="Times New Roman" w:hAnsi="Times New Roman" w:eastAsia="仿宋" w:cs="Times New Roman"/>
          <w:color w:val="auto"/>
          <w:sz w:val="32"/>
          <w:szCs w:val="32"/>
        </w:rPr>
      </w:pPr>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sz w:val="32"/>
          <w:szCs w:val="32"/>
          <w:lang w:val="en-US" w:eastAsia="zh-CN"/>
        </w:rPr>
        <w:t>5971.42</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上年度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w:t>
      </w:r>
      <w:r>
        <w:rPr>
          <w:rFonts w:hint="default" w:ascii="Times New Roman" w:hAnsi="Times New Roman" w:eastAsia="仿宋_GB2312" w:cs="Times New Roman"/>
          <w:color w:val="auto"/>
          <w:sz w:val="32"/>
          <w:szCs w:val="32"/>
          <w:highlight w:val="none"/>
          <w:lang w:eastAsia="zh-CN"/>
        </w:rPr>
        <w:t>减少</w:t>
      </w:r>
      <w:r>
        <w:rPr>
          <w:rFonts w:hint="default" w:ascii="Times New Roman" w:hAnsi="Times New Roman" w:eastAsia="仿宋_GB2312" w:cs="Times New Roman"/>
          <w:color w:val="auto"/>
          <w:sz w:val="32"/>
          <w:szCs w:val="32"/>
          <w:highlight w:val="none"/>
          <w:lang w:val="en-US" w:eastAsia="zh-CN"/>
        </w:rPr>
        <w:t>228.2</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eastAsia="zh-CN"/>
        </w:rPr>
        <w:t>下降</w:t>
      </w:r>
      <w:r>
        <w:rPr>
          <w:rFonts w:hint="default" w:ascii="Times New Roman" w:hAnsi="Times New Roman" w:eastAsia="仿宋_GB2312" w:cs="Times New Roman"/>
          <w:color w:val="auto"/>
          <w:sz w:val="32"/>
          <w:szCs w:val="32"/>
          <w:highlight w:val="none"/>
          <w:lang w:val="en-US" w:eastAsia="zh-CN"/>
        </w:rPr>
        <w:t>3.7</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主要变动原因是</w:t>
      </w:r>
      <w:r>
        <w:rPr>
          <w:rFonts w:hint="default" w:ascii="Times New Roman" w:hAnsi="Times New Roman" w:eastAsia="方正仿宋_GBK" w:cs="Times New Roman"/>
          <w:bCs/>
          <w:color w:val="000000"/>
          <w:sz w:val="32"/>
          <w:szCs w:val="32"/>
          <w:highlight w:val="none"/>
          <w:lang w:eastAsia="zh-CN"/>
        </w:rPr>
        <w:t>厉行节约，勤俭办一切事业。</w:t>
      </w:r>
    </w:p>
    <w:p>
      <w:pPr>
        <w:pStyle w:val="10"/>
        <w:rPr>
          <w:rFonts w:hint="default" w:ascii="Times New Roman" w:hAnsi="Times New Roman" w:cs="Times New Roman"/>
          <w:lang w:eastAsia="zh-CN"/>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drawing>
          <wp:inline distT="0" distB="0" distL="114300" distR="114300">
            <wp:extent cx="4216400" cy="2755265"/>
            <wp:effectExtent l="4445" t="4445" r="8255" b="2159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5" w:lineRule="atLeast"/>
        <w:ind w:left="0" w:right="0"/>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（图1：收</w:t>
      </w:r>
      <w:r>
        <w:rPr>
          <w:rFonts w:hint="default" w:ascii="Times New Roman" w:hAnsi="Times New Roman" w:eastAsia="微软雅黑" w:cs="Times New Roman"/>
          <w:i w:val="0"/>
          <w:caps w:val="0"/>
          <w:color w:val="000000" w:themeColor="text1"/>
          <w:spacing w:val="0"/>
          <w:sz w:val="27"/>
          <w:szCs w:val="27"/>
          <w:lang w:eastAsia="zh-CN"/>
          <w14:textFill>
            <w14:solidFill>
              <w14:schemeClr w14:val="tx1"/>
            </w14:solidFill>
          </w14:textFill>
        </w:rPr>
        <w:t>入</w:t>
      </w: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、支</w:t>
      </w:r>
      <w:r>
        <w:rPr>
          <w:rFonts w:hint="default" w:ascii="Times New Roman" w:hAnsi="Times New Roman" w:eastAsia="微软雅黑" w:cs="Times New Roman"/>
          <w:i w:val="0"/>
          <w:caps w:val="0"/>
          <w:color w:val="000000" w:themeColor="text1"/>
          <w:spacing w:val="0"/>
          <w:sz w:val="27"/>
          <w:szCs w:val="27"/>
          <w:lang w:eastAsia="zh-CN"/>
          <w14:textFill>
            <w14:solidFill>
              <w14:schemeClr w14:val="tx1"/>
            </w14:solidFill>
          </w14:textFill>
        </w:rPr>
        <w:t>出</w:t>
      </w: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决算总计变动情况图）</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黑体" w:cs="Times New Roman"/>
          <w:color w:val="000000" w:themeColor="text1"/>
          <w:sz w:val="32"/>
          <w:szCs w:val="32"/>
          <w14:textFill>
            <w14:solidFill>
              <w14:schemeClr w14:val="tx1"/>
            </w14:solidFill>
          </w14:textFill>
        </w:rPr>
      </w:pPr>
      <w:bookmarkStart w:id="27" w:name="_Toc4375_WPSOffice_Level2"/>
      <w:bookmarkStart w:id="28" w:name="_Toc18470_WPSOffice_Level2"/>
      <w:r>
        <w:rPr>
          <w:rFonts w:hint="default" w:ascii="Times New Roman" w:hAnsi="Times New Roman" w:eastAsia="黑体" w:cs="Times New Roman"/>
          <w:i w:val="0"/>
          <w:caps w:val="0"/>
          <w:color w:val="000000" w:themeColor="text1"/>
          <w:spacing w:val="0"/>
          <w:sz w:val="32"/>
          <w:szCs w:val="32"/>
          <w14:textFill>
            <w14:solidFill>
              <w14:schemeClr w14:val="tx1"/>
            </w14:solidFill>
          </w14:textFill>
        </w:rPr>
        <w:t>二、收入决算情况说明</w:t>
      </w:r>
      <w:bookmarkEnd w:id="27"/>
      <w:bookmarkEnd w:id="28"/>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sz w:val="32"/>
          <w:szCs w:val="32"/>
        </w:rPr>
        <w:t>5899.49</w:t>
      </w:r>
      <w:r>
        <w:rPr>
          <w:rFonts w:hint="default" w:ascii="Times New Roman" w:hAnsi="Times New Roman" w:eastAsia="仿宋_GB2312" w:cs="Times New Roman"/>
          <w:color w:val="auto"/>
          <w:sz w:val="32"/>
          <w:szCs w:val="32"/>
          <w:highlight w:val="none"/>
          <w:lang w:eastAsia="zh-CN"/>
        </w:rPr>
        <w:t>万元，其中：一般公共预算财政拨款收入</w:t>
      </w:r>
      <w:r>
        <w:rPr>
          <w:rFonts w:hint="default" w:ascii="Times New Roman" w:hAnsi="Times New Roman" w:eastAsia="仿宋_GB2312" w:cs="Times New Roman"/>
          <w:sz w:val="32"/>
          <w:szCs w:val="32"/>
        </w:rPr>
        <w:t>5288.17</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89.6</w:t>
      </w:r>
      <w:r>
        <w:rPr>
          <w:rFonts w:hint="default" w:ascii="Times New Roman" w:hAnsi="Times New Roman" w:eastAsia="仿宋_GB2312" w:cs="Times New Roman"/>
          <w:color w:val="auto"/>
          <w:sz w:val="32"/>
          <w:szCs w:val="32"/>
          <w:highlight w:val="none"/>
          <w:lang w:eastAsia="zh-CN"/>
        </w:rPr>
        <w:t>%；政府性基金预算财政拨款收入</w:t>
      </w:r>
      <w:r>
        <w:rPr>
          <w:rFonts w:hint="default" w:ascii="Times New Roman" w:hAnsi="Times New Roman" w:eastAsia="仿宋_GB2312" w:cs="Times New Roman"/>
          <w:sz w:val="32"/>
          <w:szCs w:val="32"/>
        </w:rPr>
        <w:t>3.6</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color w:val="auto"/>
          <w:sz w:val="32"/>
          <w:szCs w:val="32"/>
          <w:highlight w:val="none"/>
          <w:lang w:eastAsia="zh-CN"/>
        </w:rPr>
        <w:t>%；国有资本经营预算财政拨款收入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%；上级补助收入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%；事业收入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%；附属单位上缴收入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%；其他收入</w:t>
      </w:r>
      <w:r>
        <w:rPr>
          <w:rFonts w:hint="default" w:ascii="Times New Roman" w:hAnsi="Times New Roman" w:eastAsia="仿宋_GB2312" w:cs="Times New Roman"/>
          <w:sz w:val="32"/>
          <w:szCs w:val="32"/>
        </w:rPr>
        <w:t>607.72</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10.3</w:t>
      </w:r>
      <w:r>
        <w:rPr>
          <w:rFonts w:hint="default" w:ascii="Times New Roman" w:hAnsi="Times New Roman" w:eastAsia="仿宋_GB2312" w:cs="Times New Roman"/>
          <w:color w:val="auto"/>
          <w:sz w:val="32"/>
          <w:szCs w:val="32"/>
          <w:highlight w:val="none"/>
          <w:lang w:eastAsia="zh-CN"/>
        </w:rPr>
        <w:t>%。</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eastAsia="微软雅黑" w:cs="Times New Roman"/>
          <w:i w:val="0"/>
          <w:caps w:val="0"/>
          <w:color w:val="000000" w:themeColor="text1"/>
          <w:spacing w:val="0"/>
          <w:sz w:val="27"/>
          <w:szCs w:val="27"/>
          <w:lang w:eastAsia="zh-CN"/>
          <w14:textFill>
            <w14:solidFill>
              <w14:schemeClr w14:val="tx1"/>
            </w14:solidFill>
          </w14:textFill>
        </w:rPr>
      </w:pPr>
      <w:r>
        <w:rPr>
          <w:rFonts w:hint="default" w:ascii="Times New Roman" w:hAnsi="Times New Roman" w:eastAsia="微软雅黑" w:cs="Times New Roman"/>
          <w:i w:val="0"/>
          <w:caps w:val="0"/>
          <w:color w:val="000000" w:themeColor="text1"/>
          <w:spacing w:val="0"/>
          <w:sz w:val="27"/>
          <w:szCs w:val="27"/>
          <w:lang w:eastAsia="zh-CN"/>
          <w14:textFill>
            <w14:solidFill>
              <w14:schemeClr w14:val="tx1"/>
            </w14:solidFill>
          </w14:textFill>
        </w:rPr>
        <w:drawing>
          <wp:inline distT="0" distB="0" distL="114300" distR="114300">
            <wp:extent cx="4507230" cy="2828290"/>
            <wp:effectExtent l="4445" t="5080" r="22225" b="508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5" w:lineRule="atLeast"/>
        <w:ind w:left="0" w:right="0"/>
        <w:jc w:val="center"/>
        <w:textAlignment w:val="auto"/>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pP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（图2：收入决算结构图）</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bookmarkStart w:id="29" w:name="_Toc22176_WPSOffice_Level2"/>
      <w:bookmarkStart w:id="30" w:name="_Toc21959_WPSOffice_Level2"/>
      <w:r>
        <w:rPr>
          <w:rFonts w:hint="default" w:ascii="Times New Roman" w:hAnsi="Times New Roman" w:eastAsia="黑体" w:cs="Times New Roman"/>
          <w:i w:val="0"/>
          <w:caps w:val="0"/>
          <w:color w:val="000000" w:themeColor="text1"/>
          <w:spacing w:val="0"/>
          <w:sz w:val="32"/>
          <w:szCs w:val="32"/>
          <w14:textFill>
            <w14:solidFill>
              <w14:schemeClr w14:val="tx1"/>
            </w14:solidFill>
          </w14:textFill>
        </w:rPr>
        <w:t>三、支出决算情况说明</w:t>
      </w:r>
      <w:bookmarkEnd w:id="29"/>
      <w:bookmarkEnd w:id="30"/>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2025年度本年支出合计</w:t>
      </w:r>
      <w:r>
        <w:rPr>
          <w:rFonts w:hint="default" w:ascii="Times New Roman" w:hAnsi="Times New Roman" w:eastAsia="仿宋_GB2312" w:cs="Times New Roman"/>
          <w:sz w:val="32"/>
          <w:szCs w:val="32"/>
        </w:rPr>
        <w:t>5563.73</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sz w:val="32"/>
          <w:szCs w:val="32"/>
        </w:rPr>
        <w:t>2508.87</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45.</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sz w:val="32"/>
          <w:szCs w:val="32"/>
        </w:rPr>
        <w:t>3054.86</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54.9</w:t>
      </w:r>
      <w:r>
        <w:rPr>
          <w:rFonts w:hint="default" w:ascii="Times New Roman" w:hAnsi="Times New Roman" w:eastAsia="仿宋_GB2312" w:cs="Times New Roman"/>
          <w:color w:val="auto"/>
          <w:sz w:val="32"/>
          <w:szCs w:val="32"/>
          <w:highlight w:val="none"/>
          <w:lang w:eastAsia="zh-CN"/>
        </w:rPr>
        <w:t>%；上缴上级支出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%；对附属单位补助支出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drawing>
          <wp:inline distT="0" distB="0" distL="114300" distR="114300">
            <wp:extent cx="4321810" cy="2826385"/>
            <wp:effectExtent l="4445" t="4445" r="17145" b="7620"/>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5" w:lineRule="atLeast"/>
        <w:ind w:left="0" w:right="0"/>
        <w:jc w:val="center"/>
        <w:textAlignment w:val="auto"/>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pP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　(图3：支出决算结构图)　　</w:t>
      </w:r>
      <w:bookmarkStart w:id="31" w:name="_Toc12831_WPSOffice_Level2"/>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bookmarkStart w:id="32" w:name="_Toc28593_WPSOffice_Level2"/>
      <w:r>
        <w:rPr>
          <w:rFonts w:hint="default" w:ascii="Times New Roman" w:hAnsi="Times New Roman" w:eastAsia="黑体" w:cs="Times New Roman"/>
          <w:i w:val="0"/>
          <w:caps w:val="0"/>
          <w:color w:val="000000" w:themeColor="text1"/>
          <w:spacing w:val="0"/>
          <w:sz w:val="32"/>
          <w:szCs w:val="32"/>
          <w14:textFill>
            <w14:solidFill>
              <w14:schemeClr w14:val="tx1"/>
            </w14:solidFill>
          </w14:textFill>
        </w:rPr>
        <w:t>四、财政拨款收入支出决算总体情况说明</w:t>
      </w:r>
      <w:bookmarkEnd w:id="31"/>
      <w:bookmarkEnd w:id="32"/>
    </w:p>
    <w:p>
      <w:pPr>
        <w:keepNext w:val="0"/>
        <w:keepLines w:val="0"/>
        <w:pageBreakBefore w:val="0"/>
        <w:widowControl w:val="0"/>
        <w:kinsoku/>
        <w:wordWrap/>
        <w:overflowPunct/>
        <w:topLinePunct w:val="0"/>
        <w:autoSpaceDE/>
        <w:autoSpaceDN/>
        <w:bidi w:val="0"/>
        <w:adjustRightInd/>
        <w:spacing w:line="360" w:lineRule="auto"/>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sz w:val="32"/>
          <w:szCs w:val="32"/>
        </w:rPr>
        <w:t>5291.77</w:t>
      </w:r>
      <w:r>
        <w:rPr>
          <w:rFonts w:hint="default" w:ascii="Times New Roman" w:hAnsi="Times New Roman" w:eastAsia="仿宋_GB2312" w:cs="Times New Roman"/>
          <w:color w:val="auto"/>
          <w:kern w:val="2"/>
          <w:sz w:val="32"/>
          <w:szCs w:val="32"/>
          <w:highlight w:val="none"/>
          <w:lang w:val="en-US" w:eastAsia="zh-CN" w:bidi="ar-SA"/>
        </w:rPr>
        <w:t>万元。与上年度相比，财政拨款收入、支出总计各减少621.1万元，下降10.5%。主要变动原因是</w:t>
      </w:r>
      <w:r>
        <w:rPr>
          <w:rFonts w:hint="default" w:ascii="Times New Roman" w:hAnsi="Times New Roman" w:eastAsia="方正仿宋_GBK" w:cs="Times New Roman"/>
          <w:bCs/>
          <w:color w:val="000000"/>
          <w:sz w:val="32"/>
          <w:szCs w:val="32"/>
          <w:highlight w:val="none"/>
          <w:lang w:eastAsia="zh-CN"/>
        </w:rPr>
        <w:t>厉行节约，勤俭办一切事业。</w:t>
      </w:r>
    </w:p>
    <w:p>
      <w:pPr>
        <w:pStyle w:val="10"/>
        <w:rPr>
          <w:rFonts w:hint="default" w:ascii="Times New Roman" w:hAnsi="Times New Roman" w:cs="Times New Roman"/>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drawing>
          <wp:inline distT="0" distB="0" distL="114300" distR="114300">
            <wp:extent cx="4641215" cy="3826510"/>
            <wp:effectExtent l="4445" t="4445" r="21590" b="17145"/>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　</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3" w:beforeLines="100" w:beforeAutospacing="0" w:after="313" w:afterLines="100" w:afterAutospacing="0" w:line="525" w:lineRule="atLeast"/>
        <w:ind w:left="0" w:right="0"/>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(图4：财政拨款收、支决算总计变动情况)</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bookmarkStart w:id="33" w:name="_Toc14898_WPSOffice_Level2"/>
      <w:bookmarkStart w:id="34" w:name="_Toc2505_WPSOffice_Level2"/>
      <w:r>
        <w:rPr>
          <w:rFonts w:hint="default" w:ascii="Times New Roman" w:hAnsi="Times New Roman" w:eastAsia="黑体" w:cs="Times New Roman"/>
          <w:i w:val="0"/>
          <w:caps w:val="0"/>
          <w:color w:val="000000" w:themeColor="text1"/>
          <w:spacing w:val="0"/>
          <w:sz w:val="32"/>
          <w:szCs w:val="32"/>
          <w14:textFill>
            <w14:solidFill>
              <w14:schemeClr w14:val="tx1"/>
            </w14:solidFill>
          </w14:textFill>
        </w:rPr>
        <w:t>五、一般公共预算财政拨款支出决算情况说明</w:t>
      </w:r>
      <w:bookmarkEnd w:id="33"/>
      <w:bookmarkEnd w:id="34"/>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2"/>
          <w:szCs w:val="32"/>
          <w14:textFill>
            <w14:solidFill>
              <w14:schemeClr w14:val="tx1"/>
            </w14:solidFill>
          </w14:textFill>
        </w:rPr>
        <w:t>（一）一般公共预算财政拨款支出决算总体情况</w:t>
      </w:r>
    </w:p>
    <w:p>
      <w:pPr>
        <w:keepNext w:val="0"/>
        <w:keepLines w:val="0"/>
        <w:pageBreakBefore w:val="0"/>
        <w:widowControl w:val="0"/>
        <w:kinsoku/>
        <w:wordWrap/>
        <w:overflowPunct/>
        <w:topLinePunct w:val="0"/>
        <w:autoSpaceDE/>
        <w:autoSpaceDN/>
        <w:bidi w:val="0"/>
        <w:adjustRightInd/>
        <w:spacing w:line="360" w:lineRule="auto"/>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5288.17</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95.04</w:t>
      </w:r>
      <w:r>
        <w:rPr>
          <w:rFonts w:hint="default" w:ascii="Times New Roman" w:hAnsi="Times New Roman" w:eastAsia="仿宋_GB2312" w:cs="Times New Roman"/>
          <w:color w:val="auto"/>
          <w:kern w:val="2"/>
          <w:sz w:val="32"/>
          <w:szCs w:val="32"/>
          <w:highlight w:val="none"/>
          <w:lang w:val="en-US" w:eastAsia="zh-CN" w:bidi="ar-SA"/>
        </w:rPr>
        <w:t>%。与上年度相比，一般公共预算财政拨款支出减少524.7万元，下降9%。主要变动原因是</w:t>
      </w:r>
      <w:r>
        <w:rPr>
          <w:rFonts w:hint="default" w:ascii="Times New Roman" w:hAnsi="Times New Roman" w:eastAsia="方正仿宋_GBK" w:cs="Times New Roman"/>
          <w:bCs/>
          <w:color w:val="000000"/>
          <w:sz w:val="32"/>
          <w:szCs w:val="32"/>
          <w:highlight w:val="none"/>
          <w:lang w:eastAsia="zh-CN"/>
        </w:rPr>
        <w:t>厉行节约，勤俭办一切事业。</w:t>
      </w:r>
    </w:p>
    <w:p>
      <w:pPr>
        <w:pStyle w:val="10"/>
        <w:rPr>
          <w:rFonts w:hint="default" w:ascii="Times New Roman" w:hAnsi="Times New Roman" w:cs="Times New Roman"/>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drawing>
          <wp:inline distT="0" distB="0" distL="114300" distR="114300">
            <wp:extent cx="4535805" cy="3760470"/>
            <wp:effectExtent l="4445" t="4445" r="12700" b="6985"/>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　</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line="525" w:lineRule="atLeast"/>
        <w:ind w:left="0" w:right="0"/>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（图5：一般公共预算财政拨款支出决算变动情况）</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2"/>
          <w:szCs w:val="32"/>
          <w14:textFill>
            <w14:solidFill>
              <w14:schemeClr w14:val="tx1"/>
            </w14:solidFill>
          </w14:textFill>
        </w:rPr>
        <w:t>（二）一般公共预算财政拨款支出决算结构情况</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lang w:val="en-US"/>
          <w14:textFill>
            <w14:solidFill>
              <w14:schemeClr w14:val="tx1"/>
            </w14:solidFill>
          </w14:textFill>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5288.17</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4.8万元，占0.1%；教育支出1267.58万元，占24%；社会保障和就业支出3657.07万元，占69.2%；卫生健康支出129.53万元，占2.4%；住房保障支出149.18万元，占2.8%；其他支出80万元，占1.5%。</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　</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drawing>
          <wp:inline distT="0" distB="0" distL="114300" distR="114300">
            <wp:extent cx="4924425" cy="3826510"/>
            <wp:effectExtent l="4445" t="4445" r="5080" b="17145"/>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line="525" w:lineRule="atLeast"/>
        <w:ind w:left="0" w:right="0"/>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（图6：一般公共预算财政拨款支出决算结构）</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2"/>
          <w:szCs w:val="32"/>
          <w14:textFill>
            <w14:solidFill>
              <w14:schemeClr w14:val="tx1"/>
            </w14:solidFill>
          </w14:textFill>
        </w:rPr>
        <w:t>（三）一般公共预算财政拨款支出决算具体情况</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2025年度</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一般公共预算支出决算数为</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5288.17</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万元，完成预算100%。其中：</w:t>
      </w: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1.一般公共服务支出（类）组织事务（款）其他组织事务支出（项）：支出决算为4.8万元，完成预算100%，</w:t>
      </w:r>
      <w:r>
        <w:rPr>
          <w:rFonts w:hint="default" w:ascii="Times New Roman" w:hAnsi="Times New Roman" w:eastAsia="仿宋_GB2312" w:cs="Times New Roman"/>
          <w:i w:val="0"/>
          <w:caps w:val="0"/>
          <w:color w:val="auto"/>
          <w:spacing w:val="0"/>
          <w:sz w:val="32"/>
          <w:szCs w:val="32"/>
        </w:rPr>
        <w:t>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2.教育支出（类）职业教育（款）中等职业教育（项）：支出决算为64.85万元，完成预算100%，</w:t>
      </w:r>
      <w:r>
        <w:rPr>
          <w:rFonts w:hint="default" w:ascii="Times New Roman" w:hAnsi="Times New Roman" w:eastAsia="仿宋_GB2312" w:cs="Times New Roman"/>
          <w:i w:val="0"/>
          <w:caps w:val="0"/>
          <w:color w:val="auto"/>
          <w:spacing w:val="0"/>
          <w:sz w:val="32"/>
          <w:szCs w:val="32"/>
        </w:rPr>
        <w:t>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3.教育支出（类）职业教育（款）其他职业教育支出（项）：支出决算为235.15万元，完成预算100%，</w:t>
      </w:r>
      <w:r>
        <w:rPr>
          <w:rFonts w:hint="default" w:ascii="Times New Roman" w:hAnsi="Times New Roman" w:eastAsia="仿宋_GB2312" w:cs="Times New Roman"/>
          <w:i w:val="0"/>
          <w:caps w:val="0"/>
          <w:color w:val="auto"/>
          <w:spacing w:val="0"/>
          <w:sz w:val="32"/>
          <w:szCs w:val="32"/>
        </w:rPr>
        <w:t>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4.教育支出（类）其他教育支出（款）其他教育支出（项）：支出决算为967.58万元，完成预算100%，</w:t>
      </w:r>
      <w:r>
        <w:rPr>
          <w:rFonts w:hint="default" w:ascii="Times New Roman" w:hAnsi="Times New Roman" w:eastAsia="仿宋_GB2312" w:cs="Times New Roman"/>
          <w:i w:val="0"/>
          <w:caps w:val="0"/>
          <w:color w:val="auto"/>
          <w:spacing w:val="0"/>
          <w:sz w:val="32"/>
          <w:szCs w:val="32"/>
        </w:rPr>
        <w:t>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5.</w:t>
      </w:r>
      <w:r>
        <w:rPr>
          <w:rFonts w:hint="default" w:ascii="Times New Roman" w:hAnsi="Times New Roman" w:eastAsia="仿宋_GB2312" w:cs="Times New Roman"/>
          <w:i w:val="0"/>
          <w:caps w:val="0"/>
          <w:color w:val="auto"/>
          <w:spacing w:val="0"/>
          <w:sz w:val="32"/>
          <w:szCs w:val="32"/>
        </w:rPr>
        <w:t>社会保障和就业支出（类）人力资源和社会保障管理事务（款）行政运行（项）: 支出决算为</w:t>
      </w:r>
      <w:r>
        <w:rPr>
          <w:rFonts w:hint="default" w:ascii="Times New Roman" w:hAnsi="Times New Roman" w:eastAsia="仿宋_GB2312" w:cs="Times New Roman"/>
          <w:i w:val="0"/>
          <w:caps w:val="0"/>
          <w:color w:val="auto"/>
          <w:spacing w:val="0"/>
          <w:sz w:val="32"/>
          <w:szCs w:val="32"/>
          <w:lang w:val="en-US" w:eastAsia="zh-CN"/>
        </w:rPr>
        <w:t>894.04</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6.</w:t>
      </w:r>
      <w:r>
        <w:rPr>
          <w:rFonts w:hint="default" w:ascii="Times New Roman" w:hAnsi="Times New Roman" w:eastAsia="仿宋_GB2312" w:cs="Times New Roman"/>
          <w:i w:val="0"/>
          <w:caps w:val="0"/>
          <w:color w:val="auto"/>
          <w:spacing w:val="0"/>
          <w:sz w:val="32"/>
          <w:szCs w:val="32"/>
        </w:rPr>
        <w:t>社会保障和就业支出（类）人力资源和社会保障管理事务（款）一般行政管理事务（项）: 支出决算为</w:t>
      </w:r>
      <w:r>
        <w:rPr>
          <w:rFonts w:hint="default" w:ascii="Times New Roman" w:hAnsi="Times New Roman" w:eastAsia="仿宋_GB2312" w:cs="Times New Roman"/>
          <w:i w:val="0"/>
          <w:caps w:val="0"/>
          <w:color w:val="auto"/>
          <w:spacing w:val="0"/>
          <w:sz w:val="32"/>
          <w:szCs w:val="32"/>
          <w:lang w:val="en-US" w:eastAsia="zh-CN"/>
        </w:rPr>
        <w:t>13.68</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7.</w:t>
      </w:r>
      <w:r>
        <w:rPr>
          <w:rFonts w:hint="default" w:ascii="Times New Roman" w:hAnsi="Times New Roman" w:eastAsia="仿宋_GB2312" w:cs="Times New Roman"/>
          <w:i w:val="0"/>
          <w:caps w:val="0"/>
          <w:color w:val="auto"/>
          <w:spacing w:val="0"/>
          <w:sz w:val="32"/>
          <w:szCs w:val="32"/>
        </w:rPr>
        <w:t>社会保障和就业支出（类）人力资源和社会保障管理事务（款）</w:t>
      </w:r>
      <w:r>
        <w:rPr>
          <w:rFonts w:hint="default" w:ascii="Times New Roman" w:hAnsi="Times New Roman" w:eastAsia="仿宋_GB2312" w:cs="Times New Roman"/>
          <w:i w:val="0"/>
          <w:caps w:val="0"/>
          <w:color w:val="auto"/>
          <w:spacing w:val="0"/>
          <w:sz w:val="32"/>
          <w:szCs w:val="32"/>
          <w:lang w:eastAsia="zh-CN"/>
        </w:rPr>
        <w:t>信息化建设</w:t>
      </w:r>
      <w:r>
        <w:rPr>
          <w:rFonts w:hint="default" w:ascii="Times New Roman" w:hAnsi="Times New Roman" w:eastAsia="仿宋_GB2312" w:cs="Times New Roman"/>
          <w:i w:val="0"/>
          <w:caps w:val="0"/>
          <w:color w:val="auto"/>
          <w:spacing w:val="0"/>
          <w:sz w:val="32"/>
          <w:szCs w:val="32"/>
        </w:rPr>
        <w:t>（项）: 支出决算为</w:t>
      </w:r>
      <w:r>
        <w:rPr>
          <w:rFonts w:hint="default" w:ascii="Times New Roman" w:hAnsi="Times New Roman" w:eastAsia="仿宋_GB2312" w:cs="Times New Roman"/>
          <w:i w:val="0"/>
          <w:caps w:val="0"/>
          <w:color w:val="auto"/>
          <w:spacing w:val="0"/>
          <w:sz w:val="32"/>
          <w:szCs w:val="32"/>
          <w:lang w:val="en-US" w:eastAsia="zh-CN"/>
        </w:rPr>
        <w:t>236.48</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8.</w:t>
      </w:r>
      <w:r>
        <w:rPr>
          <w:rFonts w:hint="default" w:ascii="Times New Roman" w:hAnsi="Times New Roman" w:eastAsia="仿宋_GB2312" w:cs="Times New Roman"/>
          <w:i w:val="0"/>
          <w:caps w:val="0"/>
          <w:color w:val="auto"/>
          <w:spacing w:val="0"/>
          <w:sz w:val="32"/>
          <w:szCs w:val="32"/>
        </w:rPr>
        <w:t>社会保障和就业支出（类）人力资源和社会保障管理事务（款）</w:t>
      </w:r>
      <w:r>
        <w:rPr>
          <w:rFonts w:hint="default" w:ascii="Times New Roman" w:hAnsi="Times New Roman" w:eastAsia="仿宋_GB2312" w:cs="Times New Roman"/>
          <w:i w:val="0"/>
          <w:caps w:val="0"/>
          <w:color w:val="auto"/>
          <w:spacing w:val="0"/>
          <w:sz w:val="32"/>
          <w:szCs w:val="32"/>
          <w:lang w:eastAsia="zh-CN"/>
        </w:rPr>
        <w:t>劳动人事争议调解仲裁</w:t>
      </w:r>
      <w:r>
        <w:rPr>
          <w:rFonts w:hint="default" w:ascii="Times New Roman" w:hAnsi="Times New Roman" w:eastAsia="仿宋_GB2312" w:cs="Times New Roman"/>
          <w:i w:val="0"/>
          <w:caps w:val="0"/>
          <w:color w:val="auto"/>
          <w:spacing w:val="0"/>
          <w:sz w:val="32"/>
          <w:szCs w:val="32"/>
        </w:rPr>
        <w:t>（项）: 支出决算为</w:t>
      </w:r>
      <w:r>
        <w:rPr>
          <w:rFonts w:hint="default" w:ascii="Times New Roman" w:hAnsi="Times New Roman" w:eastAsia="仿宋_GB2312" w:cs="Times New Roman"/>
          <w:i w:val="0"/>
          <w:caps w:val="0"/>
          <w:color w:val="auto"/>
          <w:spacing w:val="0"/>
          <w:sz w:val="32"/>
          <w:szCs w:val="32"/>
          <w:lang w:val="en-US" w:eastAsia="zh-CN"/>
        </w:rPr>
        <w:t>13.69</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9.</w:t>
      </w:r>
      <w:r>
        <w:rPr>
          <w:rFonts w:hint="default" w:ascii="Times New Roman" w:hAnsi="Times New Roman" w:eastAsia="仿宋_GB2312" w:cs="Times New Roman"/>
          <w:i w:val="0"/>
          <w:caps w:val="0"/>
          <w:color w:val="auto"/>
          <w:spacing w:val="0"/>
          <w:sz w:val="32"/>
          <w:szCs w:val="32"/>
        </w:rPr>
        <w:t>社会保障和就业支出（类）人力资源和社会保障管理事务（款）事业运行（项）: 支出决算为</w:t>
      </w:r>
      <w:r>
        <w:rPr>
          <w:rFonts w:hint="default" w:ascii="Times New Roman" w:hAnsi="Times New Roman" w:eastAsia="仿宋_GB2312" w:cs="Times New Roman"/>
          <w:i w:val="0"/>
          <w:caps w:val="0"/>
          <w:color w:val="auto"/>
          <w:spacing w:val="0"/>
          <w:sz w:val="32"/>
          <w:szCs w:val="32"/>
          <w:lang w:val="en-US" w:eastAsia="zh-CN"/>
        </w:rPr>
        <w:t>603.42</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10.</w:t>
      </w:r>
      <w:r>
        <w:rPr>
          <w:rFonts w:hint="default" w:ascii="Times New Roman" w:hAnsi="Times New Roman" w:eastAsia="仿宋_GB2312" w:cs="Times New Roman"/>
          <w:i w:val="0"/>
          <w:caps w:val="0"/>
          <w:color w:val="auto"/>
          <w:spacing w:val="0"/>
          <w:sz w:val="32"/>
          <w:szCs w:val="32"/>
        </w:rPr>
        <w:t>社会保障和就业支出（类）人力资源和社会保障管理事务（款）其他人力资源和社会保障管理事务支出（项）: 支出决算为</w:t>
      </w:r>
      <w:r>
        <w:rPr>
          <w:rFonts w:hint="default" w:ascii="Times New Roman" w:hAnsi="Times New Roman" w:eastAsia="仿宋_GB2312" w:cs="Times New Roman"/>
          <w:i w:val="0"/>
          <w:caps w:val="0"/>
          <w:color w:val="auto"/>
          <w:spacing w:val="0"/>
          <w:sz w:val="32"/>
          <w:szCs w:val="32"/>
          <w:lang w:val="en-US" w:eastAsia="zh-CN"/>
        </w:rPr>
        <w:t>1056.06</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11.</w:t>
      </w:r>
      <w:r>
        <w:rPr>
          <w:rFonts w:hint="default" w:ascii="Times New Roman" w:hAnsi="Times New Roman" w:eastAsia="仿宋_GB2312" w:cs="Times New Roman"/>
          <w:i w:val="0"/>
          <w:caps w:val="0"/>
          <w:color w:val="auto"/>
          <w:spacing w:val="0"/>
          <w:sz w:val="32"/>
          <w:szCs w:val="32"/>
        </w:rPr>
        <w:t>社会保障和就业支出（类）行政事业单位养老支出（款）行政单位离退休（项）: 支出决算为</w:t>
      </w:r>
      <w:r>
        <w:rPr>
          <w:rFonts w:hint="default" w:ascii="Times New Roman" w:hAnsi="Times New Roman" w:eastAsia="仿宋_GB2312" w:cs="Times New Roman"/>
          <w:i w:val="0"/>
          <w:caps w:val="0"/>
          <w:color w:val="auto"/>
          <w:spacing w:val="0"/>
          <w:sz w:val="32"/>
          <w:szCs w:val="32"/>
          <w:lang w:val="en-US" w:eastAsia="zh-CN"/>
        </w:rPr>
        <w:t>188.68</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12.</w:t>
      </w:r>
      <w:r>
        <w:rPr>
          <w:rFonts w:hint="default" w:ascii="Times New Roman" w:hAnsi="Times New Roman" w:eastAsia="仿宋_GB2312" w:cs="Times New Roman"/>
          <w:i w:val="0"/>
          <w:caps w:val="0"/>
          <w:color w:val="auto"/>
          <w:spacing w:val="0"/>
          <w:sz w:val="32"/>
          <w:szCs w:val="32"/>
        </w:rPr>
        <w:t>社会保障和就业支出（类）行政事业单位养老支出（款）</w:t>
      </w:r>
      <w:r>
        <w:rPr>
          <w:rFonts w:hint="default" w:ascii="Times New Roman" w:hAnsi="Times New Roman" w:eastAsia="仿宋_GB2312" w:cs="Times New Roman"/>
          <w:i w:val="0"/>
          <w:caps w:val="0"/>
          <w:color w:val="auto"/>
          <w:spacing w:val="0"/>
          <w:sz w:val="32"/>
          <w:szCs w:val="32"/>
          <w:lang w:eastAsia="zh-CN"/>
        </w:rPr>
        <w:t>事业</w:t>
      </w:r>
      <w:r>
        <w:rPr>
          <w:rFonts w:hint="default" w:ascii="Times New Roman" w:hAnsi="Times New Roman" w:eastAsia="仿宋_GB2312" w:cs="Times New Roman"/>
          <w:i w:val="0"/>
          <w:caps w:val="0"/>
          <w:color w:val="auto"/>
          <w:spacing w:val="0"/>
          <w:sz w:val="32"/>
          <w:szCs w:val="32"/>
        </w:rPr>
        <w:t>单位离退休（项）: 支出决算为</w:t>
      </w:r>
      <w:r>
        <w:rPr>
          <w:rFonts w:hint="default" w:ascii="Times New Roman" w:hAnsi="Times New Roman" w:eastAsia="仿宋_GB2312" w:cs="Times New Roman"/>
          <w:i w:val="0"/>
          <w:caps w:val="0"/>
          <w:color w:val="auto"/>
          <w:spacing w:val="0"/>
          <w:sz w:val="32"/>
          <w:szCs w:val="32"/>
          <w:lang w:val="en-US" w:eastAsia="zh-CN"/>
        </w:rPr>
        <w:t>37.32</w:t>
      </w:r>
      <w:r>
        <w:rPr>
          <w:rFonts w:hint="default" w:ascii="Times New Roman" w:hAnsi="Times New Roman" w:eastAsia="仿宋_GB2312" w:cs="Times New Roman"/>
          <w:i w:val="0"/>
          <w:caps w:val="0"/>
          <w:color w:val="auto"/>
          <w:spacing w:val="0"/>
          <w:sz w:val="32"/>
          <w:szCs w:val="32"/>
        </w:rPr>
        <w:t>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13.</w:t>
      </w:r>
      <w:r>
        <w:rPr>
          <w:rFonts w:hint="default" w:ascii="Times New Roman" w:hAnsi="Times New Roman" w:eastAsia="仿宋_GB2312" w:cs="Times New Roman"/>
          <w:i w:val="0"/>
          <w:caps w:val="0"/>
          <w:color w:val="auto"/>
          <w:spacing w:val="0"/>
          <w:sz w:val="32"/>
          <w:szCs w:val="32"/>
        </w:rPr>
        <w:t>社会保障和就业支出（类）行政事业单位养老支出（款）机关事业单位基本养老保险缴费支出（项）: 支出决算为</w:t>
      </w:r>
      <w:r>
        <w:rPr>
          <w:rFonts w:hint="default" w:ascii="Times New Roman" w:hAnsi="Times New Roman" w:eastAsia="仿宋_GB2312" w:cs="Times New Roman"/>
          <w:i w:val="0"/>
          <w:caps w:val="0"/>
          <w:color w:val="auto"/>
          <w:spacing w:val="0"/>
          <w:sz w:val="32"/>
          <w:szCs w:val="32"/>
          <w:lang w:val="en-US" w:eastAsia="zh-CN"/>
        </w:rPr>
        <w:t>192.05</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14.</w:t>
      </w:r>
      <w:r>
        <w:rPr>
          <w:rFonts w:hint="default" w:ascii="Times New Roman" w:hAnsi="Times New Roman" w:eastAsia="仿宋_GB2312" w:cs="Times New Roman"/>
          <w:i w:val="0"/>
          <w:caps w:val="0"/>
          <w:color w:val="auto"/>
          <w:spacing w:val="0"/>
          <w:sz w:val="32"/>
          <w:szCs w:val="32"/>
        </w:rPr>
        <w:t>社会保障和就业支出（类）行政事业单位养老支出（款）</w:t>
      </w:r>
      <w:r>
        <w:rPr>
          <w:rFonts w:hint="default" w:ascii="Times New Roman" w:hAnsi="Times New Roman" w:eastAsia="仿宋_GB2312" w:cs="Times New Roman"/>
          <w:i w:val="0"/>
          <w:caps w:val="0"/>
          <w:color w:val="auto"/>
          <w:spacing w:val="0"/>
          <w:sz w:val="32"/>
          <w:szCs w:val="32"/>
          <w:lang w:eastAsia="zh-CN"/>
        </w:rPr>
        <w:t>机关事业单位职业年金缴费支出</w:t>
      </w:r>
      <w:r>
        <w:rPr>
          <w:rFonts w:hint="default" w:ascii="Times New Roman" w:hAnsi="Times New Roman" w:eastAsia="仿宋_GB2312" w:cs="Times New Roman"/>
          <w:i w:val="0"/>
          <w:caps w:val="0"/>
          <w:color w:val="auto"/>
          <w:spacing w:val="0"/>
          <w:sz w:val="32"/>
          <w:szCs w:val="32"/>
        </w:rPr>
        <w:t>（项）: 支出决算为</w:t>
      </w:r>
      <w:r>
        <w:rPr>
          <w:rFonts w:hint="default" w:ascii="Times New Roman" w:hAnsi="Times New Roman" w:eastAsia="仿宋_GB2312" w:cs="Times New Roman"/>
          <w:i w:val="0"/>
          <w:caps w:val="0"/>
          <w:color w:val="auto"/>
          <w:spacing w:val="0"/>
          <w:sz w:val="32"/>
          <w:szCs w:val="32"/>
          <w:lang w:val="en-US" w:eastAsia="zh-CN"/>
        </w:rPr>
        <w:t>62.58</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15.</w:t>
      </w:r>
      <w:r>
        <w:rPr>
          <w:rFonts w:hint="default" w:ascii="Times New Roman" w:hAnsi="Times New Roman" w:eastAsia="仿宋_GB2312" w:cs="Times New Roman"/>
          <w:i w:val="0"/>
          <w:caps w:val="0"/>
          <w:color w:val="auto"/>
          <w:spacing w:val="0"/>
          <w:sz w:val="32"/>
          <w:szCs w:val="32"/>
        </w:rPr>
        <w:t>社会保障和就业支出（类）</w:t>
      </w:r>
      <w:r>
        <w:rPr>
          <w:rFonts w:hint="default" w:ascii="Times New Roman" w:hAnsi="Times New Roman" w:eastAsia="仿宋_GB2312" w:cs="Times New Roman"/>
          <w:i w:val="0"/>
          <w:caps w:val="0"/>
          <w:color w:val="auto"/>
          <w:spacing w:val="0"/>
          <w:sz w:val="32"/>
          <w:szCs w:val="32"/>
          <w:lang w:eastAsia="zh-CN"/>
        </w:rPr>
        <w:t>就业补助</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其他就业补助</w:t>
      </w:r>
      <w:r>
        <w:rPr>
          <w:rFonts w:hint="default" w:ascii="Times New Roman" w:hAnsi="Times New Roman" w:eastAsia="仿宋_GB2312" w:cs="Times New Roman"/>
          <w:i w:val="0"/>
          <w:caps w:val="0"/>
          <w:color w:val="auto"/>
          <w:spacing w:val="0"/>
          <w:sz w:val="32"/>
          <w:szCs w:val="32"/>
        </w:rPr>
        <w:t>（项）: 支出决算为</w:t>
      </w:r>
      <w:r>
        <w:rPr>
          <w:rFonts w:hint="default" w:ascii="Times New Roman" w:hAnsi="Times New Roman" w:eastAsia="仿宋_GB2312" w:cs="Times New Roman"/>
          <w:i w:val="0"/>
          <w:caps w:val="0"/>
          <w:color w:val="auto"/>
          <w:spacing w:val="0"/>
          <w:sz w:val="32"/>
          <w:szCs w:val="32"/>
          <w:lang w:val="en-US" w:eastAsia="zh-CN"/>
        </w:rPr>
        <w:t>21.87</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16.</w:t>
      </w:r>
      <w:r>
        <w:rPr>
          <w:rFonts w:hint="default" w:ascii="Times New Roman" w:hAnsi="Times New Roman" w:eastAsia="仿宋_GB2312" w:cs="Times New Roman"/>
          <w:i w:val="0"/>
          <w:caps w:val="0"/>
          <w:color w:val="auto"/>
          <w:spacing w:val="0"/>
          <w:sz w:val="32"/>
          <w:szCs w:val="32"/>
        </w:rPr>
        <w:t>社会保障和就业支出（类）</w:t>
      </w:r>
      <w:r>
        <w:rPr>
          <w:rFonts w:hint="default" w:ascii="Times New Roman" w:hAnsi="Times New Roman" w:eastAsia="仿宋_GB2312" w:cs="Times New Roman"/>
          <w:i w:val="0"/>
          <w:caps w:val="0"/>
          <w:color w:val="auto"/>
          <w:spacing w:val="0"/>
          <w:sz w:val="32"/>
          <w:szCs w:val="32"/>
          <w:lang w:eastAsia="zh-CN"/>
        </w:rPr>
        <w:t>抚恤</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死亡抚恤</w:t>
      </w:r>
      <w:r>
        <w:rPr>
          <w:rFonts w:hint="default" w:ascii="Times New Roman" w:hAnsi="Times New Roman" w:eastAsia="仿宋_GB2312" w:cs="Times New Roman"/>
          <w:i w:val="0"/>
          <w:caps w:val="0"/>
          <w:color w:val="auto"/>
          <w:spacing w:val="0"/>
          <w:sz w:val="32"/>
          <w:szCs w:val="32"/>
        </w:rPr>
        <w:t>（项）: 支出决算为</w:t>
      </w:r>
      <w:r>
        <w:rPr>
          <w:rFonts w:hint="default" w:ascii="Times New Roman" w:hAnsi="Times New Roman" w:eastAsia="仿宋_GB2312" w:cs="Times New Roman"/>
          <w:i w:val="0"/>
          <w:caps w:val="0"/>
          <w:color w:val="auto"/>
          <w:spacing w:val="0"/>
          <w:sz w:val="32"/>
          <w:szCs w:val="32"/>
          <w:lang w:val="en-US" w:eastAsia="zh-CN"/>
        </w:rPr>
        <w:t>35.98</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17.</w:t>
      </w:r>
      <w:r>
        <w:rPr>
          <w:rFonts w:hint="default" w:ascii="Times New Roman" w:hAnsi="Times New Roman" w:eastAsia="仿宋_GB2312" w:cs="Times New Roman"/>
          <w:i w:val="0"/>
          <w:caps w:val="0"/>
          <w:color w:val="auto"/>
          <w:spacing w:val="0"/>
          <w:sz w:val="32"/>
          <w:szCs w:val="32"/>
        </w:rPr>
        <w:t>社会保障和就业支出（类）</w:t>
      </w:r>
      <w:r>
        <w:rPr>
          <w:rFonts w:hint="default" w:ascii="Times New Roman" w:hAnsi="Times New Roman" w:eastAsia="仿宋_GB2312" w:cs="Times New Roman"/>
          <w:i w:val="0"/>
          <w:caps w:val="0"/>
          <w:color w:val="auto"/>
          <w:spacing w:val="0"/>
          <w:sz w:val="32"/>
          <w:szCs w:val="32"/>
          <w:lang w:eastAsia="zh-CN"/>
        </w:rPr>
        <w:t>社会福利</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儿童福利</w:t>
      </w:r>
      <w:r>
        <w:rPr>
          <w:rFonts w:hint="default" w:ascii="Times New Roman" w:hAnsi="Times New Roman" w:eastAsia="仿宋_GB2312" w:cs="Times New Roman"/>
          <w:i w:val="0"/>
          <w:caps w:val="0"/>
          <w:color w:val="auto"/>
          <w:spacing w:val="0"/>
          <w:sz w:val="32"/>
          <w:szCs w:val="32"/>
        </w:rPr>
        <w:t>（项）: 支出决算为</w:t>
      </w:r>
      <w:r>
        <w:rPr>
          <w:rFonts w:hint="default" w:ascii="Times New Roman" w:hAnsi="Times New Roman" w:eastAsia="仿宋_GB2312" w:cs="Times New Roman"/>
          <w:i w:val="0"/>
          <w:caps w:val="0"/>
          <w:color w:val="auto"/>
          <w:spacing w:val="0"/>
          <w:sz w:val="32"/>
          <w:szCs w:val="32"/>
          <w:lang w:val="en-US" w:eastAsia="zh-CN"/>
        </w:rPr>
        <w:t>1.22</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18.</w:t>
      </w:r>
      <w:r>
        <w:rPr>
          <w:rFonts w:hint="default" w:ascii="Times New Roman" w:hAnsi="Times New Roman" w:eastAsia="仿宋_GB2312" w:cs="Times New Roman"/>
          <w:i w:val="0"/>
          <w:caps w:val="0"/>
          <w:color w:val="auto"/>
          <w:spacing w:val="0"/>
          <w:sz w:val="32"/>
          <w:szCs w:val="32"/>
        </w:rPr>
        <w:t>社会保障和就业支出（类）</w:t>
      </w:r>
      <w:r>
        <w:rPr>
          <w:rFonts w:hint="default" w:ascii="Times New Roman" w:hAnsi="Times New Roman" w:eastAsia="仿宋_GB2312" w:cs="Times New Roman"/>
          <w:i w:val="0"/>
          <w:caps w:val="0"/>
          <w:color w:val="auto"/>
          <w:spacing w:val="0"/>
          <w:sz w:val="32"/>
          <w:szCs w:val="32"/>
          <w:lang w:eastAsia="zh-CN"/>
        </w:rPr>
        <w:t>其他社会保障和就业支出</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其他社会保障和就业支出</w:t>
      </w:r>
      <w:r>
        <w:rPr>
          <w:rFonts w:hint="default" w:ascii="Times New Roman" w:hAnsi="Times New Roman" w:eastAsia="仿宋_GB2312" w:cs="Times New Roman"/>
          <w:i w:val="0"/>
          <w:caps w:val="0"/>
          <w:color w:val="auto"/>
          <w:spacing w:val="0"/>
          <w:sz w:val="32"/>
          <w:szCs w:val="32"/>
        </w:rPr>
        <w:t>（项）: 支出决算为</w:t>
      </w:r>
      <w:r>
        <w:rPr>
          <w:rFonts w:hint="default" w:ascii="Times New Roman" w:hAnsi="Times New Roman" w:eastAsia="仿宋_GB2312" w:cs="Times New Roman"/>
          <w:i w:val="0"/>
          <w:caps w:val="0"/>
          <w:color w:val="auto"/>
          <w:spacing w:val="0"/>
          <w:sz w:val="32"/>
          <w:szCs w:val="32"/>
          <w:lang w:val="en-US" w:eastAsia="zh-CN"/>
        </w:rPr>
        <w:t>300</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19.卫生健康支出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行政单位医疗</w:t>
      </w:r>
      <w:r>
        <w:rPr>
          <w:rFonts w:hint="default" w:ascii="Times New Roman" w:hAnsi="Times New Roman" w:eastAsia="仿宋_GB2312" w:cs="Times New Roman"/>
          <w:i w:val="0"/>
          <w:caps w:val="0"/>
          <w:color w:val="auto"/>
          <w:spacing w:val="0"/>
          <w:sz w:val="32"/>
          <w:szCs w:val="32"/>
        </w:rPr>
        <w:t>（项）: 支出决算为</w:t>
      </w:r>
      <w:r>
        <w:rPr>
          <w:rFonts w:hint="default" w:ascii="Times New Roman" w:hAnsi="Times New Roman" w:eastAsia="仿宋_GB2312" w:cs="Times New Roman"/>
          <w:i w:val="0"/>
          <w:caps w:val="0"/>
          <w:color w:val="auto"/>
          <w:spacing w:val="0"/>
          <w:sz w:val="32"/>
          <w:szCs w:val="32"/>
          <w:lang w:val="en-US" w:eastAsia="zh-CN"/>
        </w:rPr>
        <w:t>54.75</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20.卫生健康支出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事业单位医疗</w:t>
      </w:r>
      <w:r>
        <w:rPr>
          <w:rFonts w:hint="default" w:ascii="Times New Roman" w:hAnsi="Times New Roman" w:eastAsia="仿宋_GB2312" w:cs="Times New Roman"/>
          <w:i w:val="0"/>
          <w:caps w:val="0"/>
          <w:color w:val="auto"/>
          <w:spacing w:val="0"/>
          <w:sz w:val="32"/>
          <w:szCs w:val="32"/>
        </w:rPr>
        <w:t>（项）: 支出决算为</w:t>
      </w:r>
      <w:r>
        <w:rPr>
          <w:rFonts w:hint="default" w:ascii="Times New Roman" w:hAnsi="Times New Roman" w:eastAsia="仿宋_GB2312" w:cs="Times New Roman"/>
          <w:i w:val="0"/>
          <w:caps w:val="0"/>
          <w:color w:val="auto"/>
          <w:spacing w:val="0"/>
          <w:sz w:val="32"/>
          <w:szCs w:val="32"/>
          <w:lang w:val="en-US" w:eastAsia="zh-CN"/>
        </w:rPr>
        <w:t>46.12</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21.卫生健康支出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公务员医疗补助</w:t>
      </w:r>
      <w:r>
        <w:rPr>
          <w:rFonts w:hint="default" w:ascii="Times New Roman" w:hAnsi="Times New Roman" w:eastAsia="仿宋_GB2312" w:cs="Times New Roman"/>
          <w:i w:val="0"/>
          <w:caps w:val="0"/>
          <w:color w:val="auto"/>
          <w:spacing w:val="0"/>
          <w:sz w:val="32"/>
          <w:szCs w:val="32"/>
        </w:rPr>
        <w:t>（项）: 支出决算为</w:t>
      </w:r>
      <w:r>
        <w:rPr>
          <w:rFonts w:hint="default" w:ascii="Times New Roman" w:hAnsi="Times New Roman" w:eastAsia="仿宋_GB2312" w:cs="Times New Roman"/>
          <w:i w:val="0"/>
          <w:caps w:val="0"/>
          <w:color w:val="auto"/>
          <w:spacing w:val="0"/>
          <w:sz w:val="32"/>
          <w:szCs w:val="32"/>
          <w:lang w:val="en-US" w:eastAsia="zh-CN"/>
        </w:rPr>
        <w:t>10.96</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22.卫生健康支出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其他行政事业单位医疗支出</w:t>
      </w:r>
      <w:r>
        <w:rPr>
          <w:rFonts w:hint="default" w:ascii="Times New Roman" w:hAnsi="Times New Roman" w:eastAsia="仿宋_GB2312" w:cs="Times New Roman"/>
          <w:i w:val="0"/>
          <w:caps w:val="0"/>
          <w:color w:val="auto"/>
          <w:spacing w:val="0"/>
          <w:sz w:val="32"/>
          <w:szCs w:val="32"/>
        </w:rPr>
        <w:t>（项）: 支出决算为</w:t>
      </w:r>
      <w:r>
        <w:rPr>
          <w:rFonts w:hint="default" w:ascii="Times New Roman" w:hAnsi="Times New Roman" w:eastAsia="仿宋_GB2312" w:cs="Times New Roman"/>
          <w:i w:val="0"/>
          <w:caps w:val="0"/>
          <w:color w:val="auto"/>
          <w:spacing w:val="0"/>
          <w:sz w:val="32"/>
          <w:szCs w:val="32"/>
          <w:lang w:val="en-US" w:eastAsia="zh-CN"/>
        </w:rPr>
        <w:t>17.36</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23.卫生健康支出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其他卫生健康支出</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其他卫生健康支出</w:t>
      </w:r>
      <w:r>
        <w:rPr>
          <w:rFonts w:hint="default" w:ascii="Times New Roman" w:hAnsi="Times New Roman" w:eastAsia="仿宋_GB2312" w:cs="Times New Roman"/>
          <w:i w:val="0"/>
          <w:caps w:val="0"/>
          <w:color w:val="auto"/>
          <w:spacing w:val="0"/>
          <w:sz w:val="32"/>
          <w:szCs w:val="32"/>
        </w:rPr>
        <w:t>（项）: 支出决算为</w:t>
      </w:r>
      <w:r>
        <w:rPr>
          <w:rFonts w:hint="default" w:ascii="Times New Roman" w:hAnsi="Times New Roman" w:eastAsia="仿宋_GB2312" w:cs="Times New Roman"/>
          <w:i w:val="0"/>
          <w:caps w:val="0"/>
          <w:color w:val="auto"/>
          <w:spacing w:val="0"/>
          <w:sz w:val="32"/>
          <w:szCs w:val="32"/>
          <w:lang w:val="en-US" w:eastAsia="zh-CN"/>
        </w:rPr>
        <w:t>0.35</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24.</w:t>
      </w:r>
      <w:r>
        <w:rPr>
          <w:rFonts w:hint="default" w:ascii="Times New Roman" w:hAnsi="Times New Roman" w:eastAsia="仿宋_GB2312" w:cs="Times New Roman"/>
          <w:i w:val="0"/>
          <w:caps w:val="0"/>
          <w:color w:val="auto"/>
          <w:spacing w:val="0"/>
          <w:sz w:val="32"/>
          <w:szCs w:val="32"/>
        </w:rPr>
        <w:t>住房保障支出（类）住房改革支出（款）住房公积金（项）:支出决算为</w:t>
      </w:r>
      <w:r>
        <w:rPr>
          <w:rFonts w:hint="default" w:ascii="Times New Roman" w:hAnsi="Times New Roman" w:eastAsia="仿宋_GB2312" w:cs="Times New Roman"/>
          <w:i w:val="0"/>
          <w:caps w:val="0"/>
          <w:color w:val="auto"/>
          <w:spacing w:val="0"/>
          <w:sz w:val="32"/>
          <w:szCs w:val="32"/>
          <w:lang w:val="en-US" w:eastAsia="zh-CN"/>
        </w:rPr>
        <w:t>149.18</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val="en-US" w:eastAsia="zh-CN"/>
        </w:rPr>
      </w:pPr>
      <w:r>
        <w:rPr>
          <w:rFonts w:hint="default" w:ascii="Times New Roman" w:hAnsi="Times New Roman" w:eastAsia="仿宋_GB2312" w:cs="Times New Roman"/>
          <w:i w:val="0"/>
          <w:caps w:val="0"/>
          <w:color w:val="auto"/>
          <w:spacing w:val="0"/>
          <w:sz w:val="32"/>
          <w:szCs w:val="32"/>
          <w:lang w:val="en-US" w:eastAsia="zh-CN"/>
        </w:rPr>
        <w:t>25.</w:t>
      </w:r>
      <w:r>
        <w:rPr>
          <w:rFonts w:hint="default" w:ascii="Times New Roman" w:hAnsi="Times New Roman" w:eastAsia="仿宋_GB2312" w:cs="Times New Roman"/>
          <w:i w:val="0"/>
          <w:caps w:val="0"/>
          <w:color w:val="auto"/>
          <w:spacing w:val="0"/>
          <w:sz w:val="32"/>
          <w:szCs w:val="32"/>
          <w:lang w:eastAsia="zh-CN"/>
        </w:rPr>
        <w:t>其他支出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其他支出</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其他支出</w:t>
      </w:r>
      <w:r>
        <w:rPr>
          <w:rFonts w:hint="default" w:ascii="Times New Roman" w:hAnsi="Times New Roman" w:eastAsia="仿宋_GB2312" w:cs="Times New Roman"/>
          <w:i w:val="0"/>
          <w:caps w:val="0"/>
          <w:color w:val="auto"/>
          <w:spacing w:val="0"/>
          <w:sz w:val="32"/>
          <w:szCs w:val="32"/>
        </w:rPr>
        <w:t>（项）:支出决算为</w:t>
      </w:r>
      <w:r>
        <w:rPr>
          <w:rFonts w:hint="default" w:ascii="Times New Roman" w:hAnsi="Times New Roman" w:eastAsia="仿宋_GB2312" w:cs="Times New Roman"/>
          <w:i w:val="0"/>
          <w:caps w:val="0"/>
          <w:color w:val="auto"/>
          <w:spacing w:val="0"/>
          <w:sz w:val="32"/>
          <w:szCs w:val="32"/>
          <w:lang w:val="en-US" w:eastAsia="zh-CN"/>
        </w:rPr>
        <w:t>80</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bookmarkStart w:id="35" w:name="_Toc12295_WPSOffice_Level2"/>
      <w:bookmarkStart w:id="36" w:name="_Toc14569_WPSOffice_Level2"/>
      <w:r>
        <w:rPr>
          <w:rFonts w:hint="default" w:ascii="Times New Roman" w:hAnsi="Times New Roman" w:eastAsia="黑体" w:cs="Times New Roman"/>
          <w:i w:val="0"/>
          <w:caps w:val="0"/>
          <w:color w:val="000000" w:themeColor="text1"/>
          <w:spacing w:val="0"/>
          <w:sz w:val="32"/>
          <w:szCs w:val="32"/>
          <w14:textFill>
            <w14:solidFill>
              <w14:schemeClr w14:val="tx1"/>
            </w14:solidFill>
          </w14:textFill>
        </w:rPr>
        <w:t>六、一般公共预算财政拨款基本支出决算情况说明</w:t>
      </w:r>
      <w:bookmarkEnd w:id="35"/>
      <w:bookmarkEnd w:id="36"/>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2025年度</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一般公共预算财政拨款基本支出</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2508.87</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万元，其中：</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人员经费</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2315.53</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万元，主要包括：基本工资、津贴补贴、奖金、绩效工资、机关事业单位基本养老保险缴费、</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职业年金缴费、</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职工基本医疗保险缴费、公务员医疗补助缴费、其他社会保障缴费、住房公积金、其他工资福利支出、抚恤金、生活补助、医疗费补助、</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奖励金</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等。</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公用经费</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193.33</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万元，主要包括：办公费、</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印刷费、</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水费、电费、邮电费、</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物业管理费、</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差旅费、维修（护）费、</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租赁费、会议费、</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培训费、公务接待费、劳务费、委托业务费、工会经费、福利费、公务用车运行维护费、其他交通费、其他商品和服务支出等。</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bookmarkStart w:id="37" w:name="_Toc21668_WPSOffice_Level2"/>
      <w:bookmarkStart w:id="38" w:name="_Toc19249_WPSOffice_Level2"/>
      <w:r>
        <w:rPr>
          <w:rFonts w:hint="default" w:ascii="Times New Roman" w:hAnsi="Times New Roman" w:eastAsia="黑体" w:cs="Times New Roman"/>
          <w:i w:val="0"/>
          <w:caps w:val="0"/>
          <w:color w:val="000000" w:themeColor="text1"/>
          <w:spacing w:val="0"/>
          <w:sz w:val="32"/>
          <w:szCs w:val="32"/>
          <w14:textFill>
            <w14:solidFill>
              <w14:schemeClr w14:val="tx1"/>
            </w14:solidFill>
          </w14:textFill>
        </w:rPr>
        <w:t>七、</w:t>
      </w:r>
      <w:r>
        <w:rPr>
          <w:rFonts w:hint="default" w:ascii="Times New Roman" w:hAnsi="Times New Roman" w:eastAsia="黑体" w:cs="Times New Roman"/>
          <w:i w:val="0"/>
          <w:caps w:val="0"/>
          <w:color w:val="000000" w:themeColor="text1"/>
          <w:spacing w:val="0"/>
          <w:sz w:val="32"/>
          <w:szCs w:val="32"/>
          <w:lang w:eastAsia="zh-CN"/>
          <w14:textFill>
            <w14:solidFill>
              <w14:schemeClr w14:val="tx1"/>
            </w14:solidFill>
          </w14:textFill>
        </w:rPr>
        <w:t>财政拨款</w:t>
      </w:r>
      <w:r>
        <w:rPr>
          <w:rFonts w:hint="default" w:ascii="Times New Roman" w:hAnsi="Times New Roman" w:eastAsia="黑体" w:cs="Times New Roman"/>
          <w:i w:val="0"/>
          <w:caps w:val="0"/>
          <w:color w:val="000000" w:themeColor="text1"/>
          <w:spacing w:val="0"/>
          <w:sz w:val="32"/>
          <w:szCs w:val="32"/>
          <w14:textFill>
            <w14:solidFill>
              <w14:schemeClr w14:val="tx1"/>
            </w14:solidFill>
          </w14:textFill>
        </w:rPr>
        <w:t>“三公”经费支出决算情况说明</w:t>
      </w:r>
      <w:bookmarkEnd w:id="37"/>
      <w:bookmarkEnd w:id="38"/>
    </w:p>
    <w:p>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39"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39"/>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w:t>
      </w:r>
      <w:r>
        <w:rPr>
          <w:rFonts w:hint="default" w:ascii="Times New Roman" w:hAnsi="Times New Roman" w:eastAsia="仿宋_GB2312" w:cs="Times New Roman"/>
          <w:sz w:val="32"/>
          <w:szCs w:val="32"/>
        </w:rPr>
        <w:t>6.3</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%，较上年度减少0.39万元，下降5.8%。</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决算数与预算数持平。</w:t>
      </w:r>
    </w:p>
    <w:p>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40" w:name="_Toc15377217"/>
      <w:r>
        <w:rPr>
          <w:rFonts w:hint="default" w:ascii="Times New Roman" w:hAnsi="Times New Roman" w:eastAsia="楷体_GB2312" w:cs="Times New Roman"/>
          <w:b/>
          <w:color w:val="auto"/>
          <w:sz w:val="32"/>
          <w:szCs w:val="32"/>
          <w:highlight w:val="none"/>
        </w:rPr>
        <w:t>（二）财政拨款“三公”经费支出决算具体情况说明</w:t>
      </w:r>
      <w:bookmarkEnd w:id="40"/>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3.15</w:t>
      </w:r>
      <w:r>
        <w:rPr>
          <w:rFonts w:hint="default" w:ascii="Times New Roman" w:hAnsi="Times New Roman" w:eastAsia="仿宋_GB2312" w:cs="Times New Roman"/>
          <w:color w:val="auto"/>
          <w:kern w:val="2"/>
          <w:sz w:val="32"/>
          <w:szCs w:val="32"/>
          <w:highlight w:val="none"/>
          <w:lang w:val="en-US" w:eastAsia="zh-CN" w:bidi="ar-SA"/>
        </w:rPr>
        <w:t>万元，占49.9%；公务接待费支出决算</w:t>
      </w:r>
      <w:r>
        <w:rPr>
          <w:rFonts w:hint="default" w:ascii="Times New Roman" w:hAnsi="Times New Roman" w:eastAsia="仿宋_GB2312" w:cs="Times New Roman"/>
          <w:sz w:val="32"/>
          <w:szCs w:val="32"/>
        </w:rPr>
        <w:t>3.16</w:t>
      </w:r>
      <w:r>
        <w:rPr>
          <w:rFonts w:hint="default" w:ascii="Times New Roman" w:hAnsi="Times New Roman" w:eastAsia="仿宋_GB2312" w:cs="Times New Roman"/>
          <w:color w:val="auto"/>
          <w:kern w:val="2"/>
          <w:sz w:val="32"/>
          <w:szCs w:val="32"/>
          <w:highlight w:val="none"/>
          <w:lang w:val="en-US" w:eastAsia="zh-CN" w:bidi="ar-SA"/>
        </w:rPr>
        <w:t>万元，占50.1%。具体情况如下：</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drawing>
          <wp:inline distT="0" distB="0" distL="114300" distR="114300">
            <wp:extent cx="4977130" cy="3143250"/>
            <wp:effectExtent l="4445" t="4445" r="9525" b="14605"/>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line="525" w:lineRule="atLeast"/>
        <w:ind w:left="0" w:right="0"/>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微软雅黑" w:cs="Times New Roman"/>
          <w:i w:val="0"/>
          <w:caps w:val="0"/>
          <w:color w:val="000000" w:themeColor="text1"/>
          <w:spacing w:val="0"/>
          <w:sz w:val="27"/>
          <w:szCs w:val="27"/>
          <w14:textFill>
            <w14:solidFill>
              <w14:schemeClr w14:val="tx1"/>
            </w14:solidFill>
          </w14:textFill>
        </w:rPr>
        <w:t>(图7：财政拨款“三公”经费支出结构)</w:t>
      </w:r>
    </w:p>
    <w:p>
      <w:pPr>
        <w:spacing w:line="576"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2"/>
          <w:szCs w:val="32"/>
          <w14:textFill>
            <w14:solidFill>
              <w14:schemeClr w14:val="tx1"/>
            </w14:solidFill>
          </w14:textFill>
        </w:rPr>
        <w:t>1.因公出国（境）经费支出0万元</w:t>
      </w:r>
      <w:r>
        <w:rPr>
          <w:rFonts w:hint="default" w:ascii="Times New Roman" w:hAnsi="Times New Roman" w:eastAsia="仿宋_GB2312" w:cs="Times New Roman"/>
          <w:b/>
          <w:bCs/>
          <w:i w:val="0"/>
          <w:caps w:val="0"/>
          <w:color w:val="000000" w:themeColor="text1"/>
          <w:spacing w:val="0"/>
          <w:sz w:val="32"/>
          <w:szCs w:val="32"/>
          <w:lang w:eastAsia="zh-CN"/>
          <w14:textFill>
            <w14:solidFill>
              <w14:schemeClr w14:val="tx1"/>
            </w14:solidFill>
          </w14:textFill>
        </w:rPr>
        <w:t>，</w:t>
      </w:r>
      <w:r>
        <w:rPr>
          <w:rStyle w:val="14"/>
          <w:rFonts w:hint="default" w:ascii="Times New Roman" w:hAnsi="Times New Roman" w:eastAsia="仿宋_GB2312" w:cs="Times New Roman"/>
          <w:b/>
          <w:bCs/>
          <w:sz w:val="32"/>
          <w:szCs w:val="32"/>
        </w:rPr>
        <w:t>完成预算0%。</w:t>
      </w:r>
      <w:r>
        <w:rPr>
          <w:rFonts w:hint="default" w:ascii="Times New Roman" w:hAnsi="Times New Roman" w:eastAsia="仿宋_GB2312" w:cs="Times New Roman"/>
          <w:sz w:val="32"/>
          <w:szCs w:val="32"/>
        </w:rPr>
        <w:t>全年安排因公出国（境）团组0次，出国（境）0人。因公出国（境）支出决算与</w:t>
      </w:r>
      <w:r>
        <w:rPr>
          <w:rFonts w:hint="default" w:ascii="Times New Roman" w:hAnsi="Times New Roman" w:eastAsia="仿宋_GB2312" w:cs="Times New Roman"/>
          <w:sz w:val="32"/>
          <w:szCs w:val="32"/>
          <w:lang w:eastAsia="zh-CN"/>
        </w:rPr>
        <w:t>上年度</w:t>
      </w:r>
      <w:r>
        <w:rPr>
          <w:rFonts w:hint="default" w:ascii="Times New Roman" w:hAnsi="Times New Roman" w:eastAsia="仿宋_GB2312" w:cs="Times New Roman"/>
          <w:sz w:val="32"/>
          <w:szCs w:val="32"/>
        </w:rPr>
        <w:t>持平。</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2"/>
          <w:szCs w:val="32"/>
          <w14:textFill>
            <w14:solidFill>
              <w14:schemeClr w14:val="tx1"/>
            </w14:solidFill>
          </w14:textFill>
        </w:rPr>
        <w:t>2.公务用车购置及运行维护费支出</w:t>
      </w:r>
      <w:r>
        <w:rPr>
          <w:rFonts w:hint="default" w:ascii="Times New Roman" w:hAnsi="Times New Roman" w:eastAsia="仿宋_GB2312" w:cs="Times New Roman"/>
          <w:b/>
          <w:bCs/>
          <w:i w:val="0"/>
          <w:caps w:val="0"/>
          <w:color w:val="000000" w:themeColor="text1"/>
          <w:spacing w:val="0"/>
          <w:sz w:val="32"/>
          <w:szCs w:val="32"/>
          <w:lang w:val="en-US" w:eastAsia="zh-CN"/>
          <w14:textFill>
            <w14:solidFill>
              <w14:schemeClr w14:val="tx1"/>
            </w14:solidFill>
          </w14:textFill>
        </w:rPr>
        <w:t>3.15</w:t>
      </w:r>
      <w:r>
        <w:rPr>
          <w:rFonts w:hint="default" w:ascii="Times New Roman" w:hAnsi="Times New Roman" w:eastAsia="仿宋_GB2312" w:cs="Times New Roman"/>
          <w:b/>
          <w:bCs/>
          <w:i w:val="0"/>
          <w:caps w:val="0"/>
          <w:color w:val="000000" w:themeColor="text1"/>
          <w:spacing w:val="0"/>
          <w:sz w:val="32"/>
          <w:szCs w:val="32"/>
          <w14:textFill>
            <w14:solidFill>
              <w14:schemeClr w14:val="tx1"/>
            </w14:solidFill>
          </w14:textFill>
        </w:rPr>
        <w:t>万元,完成预算100%。</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公务用车购置及运行维护费支出决算比</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上年度</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减少</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0.36</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万元，下降</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10.3</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%。主要原因是坚持过紧日子，勤俭办一切事业。</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val="0"/>
          <w:bCs w:val="0"/>
          <w:i w:val="0"/>
          <w:caps w:val="0"/>
          <w:color w:val="000000" w:themeColor="text1"/>
          <w:spacing w:val="0"/>
          <w:sz w:val="32"/>
          <w:szCs w:val="32"/>
          <w14:textFill>
            <w14:solidFill>
              <w14:schemeClr w14:val="tx1"/>
            </w14:solidFill>
          </w14:textFill>
        </w:rPr>
        <w:t>其中：公务用车购置支出0万元。</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全年按规定更新购置公务用车0辆。截至202</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5</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年12月</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31日</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，单位共有公务用车</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2</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辆，其中：轿车</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辆、越野车1辆、载客汽车0辆。</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val="0"/>
          <w:bCs w:val="0"/>
          <w:i w:val="0"/>
          <w:caps w:val="0"/>
          <w:color w:val="000000" w:themeColor="text1"/>
          <w:spacing w:val="0"/>
          <w:sz w:val="32"/>
          <w:szCs w:val="32"/>
          <w14:textFill>
            <w14:solidFill>
              <w14:schemeClr w14:val="tx1"/>
            </w14:solidFill>
          </w14:textFill>
        </w:rPr>
        <w:t>公务用车运行维护费支出</w:t>
      </w:r>
      <w:r>
        <w:rPr>
          <w:rFonts w:hint="default" w:ascii="Times New Roman" w:hAnsi="Times New Roman" w:eastAsia="仿宋_GB2312" w:cs="Times New Roman"/>
          <w:b w:val="0"/>
          <w:bCs w:val="0"/>
          <w:i w:val="0"/>
          <w:caps w:val="0"/>
          <w:color w:val="000000" w:themeColor="text1"/>
          <w:spacing w:val="0"/>
          <w:sz w:val="32"/>
          <w:szCs w:val="32"/>
          <w:lang w:val="en-US" w:eastAsia="zh-CN"/>
          <w14:textFill>
            <w14:solidFill>
              <w14:schemeClr w14:val="tx1"/>
            </w14:solidFill>
          </w14:textFill>
        </w:rPr>
        <w:t>3.15</w:t>
      </w:r>
      <w:r>
        <w:rPr>
          <w:rFonts w:hint="default" w:ascii="Times New Roman" w:hAnsi="Times New Roman" w:eastAsia="仿宋_GB2312" w:cs="Times New Roman"/>
          <w:b w:val="0"/>
          <w:bCs w:val="0"/>
          <w:i w:val="0"/>
          <w:caps w:val="0"/>
          <w:color w:val="000000" w:themeColor="text1"/>
          <w:spacing w:val="0"/>
          <w:sz w:val="32"/>
          <w:szCs w:val="32"/>
          <w14:textFill>
            <w14:solidFill>
              <w14:schemeClr w14:val="tx1"/>
            </w14:solidFill>
          </w14:textFill>
        </w:rPr>
        <w:t>万元。</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主要用于开展人力资源社会保障工作所需的公务用车燃料费、维修费、过路过桥费、保险费等支出。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2"/>
          <w:szCs w:val="32"/>
          <w14:textFill>
            <w14:solidFill>
              <w14:schemeClr w14:val="tx1"/>
            </w14:solidFill>
          </w14:textFill>
        </w:rPr>
        <w:t>3.公务接待费支出</w:t>
      </w:r>
      <w:r>
        <w:rPr>
          <w:rFonts w:hint="default" w:ascii="Times New Roman" w:hAnsi="Times New Roman" w:eastAsia="仿宋_GB2312" w:cs="Times New Roman"/>
          <w:b/>
          <w:bCs/>
          <w:i w:val="0"/>
          <w:caps w:val="0"/>
          <w:color w:val="000000" w:themeColor="text1"/>
          <w:spacing w:val="0"/>
          <w:sz w:val="32"/>
          <w:szCs w:val="32"/>
          <w:lang w:val="en-US" w:eastAsia="zh-CN"/>
          <w14:textFill>
            <w14:solidFill>
              <w14:schemeClr w14:val="tx1"/>
            </w14:solidFill>
          </w14:textFill>
        </w:rPr>
        <w:t>3.16</w:t>
      </w:r>
      <w:r>
        <w:rPr>
          <w:rFonts w:hint="default" w:ascii="Times New Roman" w:hAnsi="Times New Roman" w:eastAsia="仿宋_GB2312" w:cs="Times New Roman"/>
          <w:b/>
          <w:bCs/>
          <w:i w:val="0"/>
          <w:caps w:val="0"/>
          <w:color w:val="000000" w:themeColor="text1"/>
          <w:spacing w:val="0"/>
          <w:sz w:val="32"/>
          <w:szCs w:val="32"/>
          <w14:textFill>
            <w14:solidFill>
              <w14:schemeClr w14:val="tx1"/>
            </w14:solidFill>
          </w14:textFill>
        </w:rPr>
        <w:t>万元，完成预算100%。</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公务接待费支出决算比</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上年度减少</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0.02</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万元，</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下降</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0.6</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%。主要原因是坚持过紧日子，勤俭办一切事业。其中：</w:t>
      </w: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bCs w:val="0"/>
          <w:i w:val="0"/>
          <w:caps w:val="0"/>
          <w:color w:val="000000" w:themeColor="text1"/>
          <w:spacing w:val="0"/>
          <w:sz w:val="32"/>
          <w:szCs w:val="32"/>
          <w14:textFill>
            <w14:solidFill>
              <w14:schemeClr w14:val="tx1"/>
            </w14:solidFill>
          </w14:textFill>
        </w:rPr>
        <w:t>国内公务接待支出</w:t>
      </w:r>
      <w:r>
        <w:rPr>
          <w:rFonts w:hint="default" w:ascii="Times New Roman" w:hAnsi="Times New Roman" w:eastAsia="仿宋_GB2312" w:cs="Times New Roman"/>
          <w:b w:val="0"/>
          <w:bCs w:val="0"/>
          <w:i w:val="0"/>
          <w:caps w:val="0"/>
          <w:color w:val="000000" w:themeColor="text1"/>
          <w:spacing w:val="0"/>
          <w:sz w:val="32"/>
          <w:szCs w:val="32"/>
          <w:lang w:val="en-US" w:eastAsia="zh-CN"/>
          <w14:textFill>
            <w14:solidFill>
              <w14:schemeClr w14:val="tx1"/>
            </w14:solidFill>
          </w14:textFill>
        </w:rPr>
        <w:t>3.16</w:t>
      </w:r>
      <w:r>
        <w:rPr>
          <w:rFonts w:hint="default" w:ascii="Times New Roman" w:hAnsi="Times New Roman" w:eastAsia="仿宋_GB2312" w:cs="Times New Roman"/>
          <w:b w:val="0"/>
          <w:bCs w:val="0"/>
          <w:i w:val="0"/>
          <w:caps w:val="0"/>
          <w:color w:val="000000" w:themeColor="text1"/>
          <w:spacing w:val="0"/>
          <w:sz w:val="32"/>
          <w:szCs w:val="32"/>
          <w14:textFill>
            <w14:solidFill>
              <w14:schemeClr w14:val="tx1"/>
            </w14:solidFill>
          </w14:textFill>
        </w:rPr>
        <w:t>万元，</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主要用于</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国内相关单位来我局</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执行公务、开展业务活动</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，按规定安排的工作</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餐费等。国内公务接待</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23</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批次，</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215人次</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（不包括陪同人员），共计支出</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3.16</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万元。具体内容包括：</w:t>
      </w:r>
      <w:r>
        <w:rPr>
          <w:rFonts w:hint="default" w:ascii="Times New Roman" w:hAnsi="Times New Roman" w:eastAsia="仿宋_GB2312" w:cs="Times New Roman"/>
          <w:i w:val="0"/>
          <w:caps w:val="0"/>
          <w:color w:val="auto"/>
          <w:spacing w:val="0"/>
          <w:sz w:val="32"/>
          <w:szCs w:val="32"/>
        </w:rPr>
        <w:t>公务接待上级部门来攀调研、巡查，以及省内外单位来攀交流学习考察等支出</w:t>
      </w:r>
      <w:r>
        <w:rPr>
          <w:rFonts w:hint="default" w:ascii="Times New Roman" w:hAnsi="Times New Roman" w:eastAsia="仿宋_GB2312" w:cs="Times New Roman"/>
          <w:i w:val="0"/>
          <w:caps w:val="0"/>
          <w:color w:val="auto"/>
          <w:spacing w:val="0"/>
          <w:sz w:val="32"/>
          <w:szCs w:val="32"/>
          <w:lang w:val="en-US" w:eastAsia="zh-CN"/>
        </w:rPr>
        <w:t>3.16</w:t>
      </w:r>
      <w:r>
        <w:rPr>
          <w:rFonts w:hint="default" w:ascii="Times New Roman" w:hAnsi="Times New Roman" w:eastAsia="仿宋_GB2312" w:cs="Times New Roman"/>
          <w:i w:val="0"/>
          <w:caps w:val="0"/>
          <w:color w:val="auto"/>
          <w:spacing w:val="0"/>
          <w:sz w:val="32"/>
          <w:szCs w:val="32"/>
        </w:rPr>
        <w:t>万元。</w:t>
      </w:r>
    </w:p>
    <w:p>
      <w:pPr>
        <w:spacing w:line="576" w:lineRule="exact"/>
        <w:ind w:firstLine="640" w:firstLineChars="200"/>
        <w:rPr>
          <w:rFonts w:hint="default" w:ascii="Times New Roman" w:hAnsi="Times New Roman" w:eastAsia="仿宋_GB2312" w:cs="Times New Roman"/>
          <w:sz w:val="32"/>
          <w:szCs w:val="32"/>
        </w:rPr>
      </w:pPr>
      <w:bookmarkStart w:id="41" w:name="_Toc25553_WPSOffice_Level2"/>
      <w:bookmarkStart w:id="42" w:name="_Toc19878_WPSOffice_Level2"/>
      <w:r>
        <w:rPr>
          <w:rFonts w:hint="default" w:ascii="Times New Roman" w:hAnsi="Times New Roman" w:eastAsia="仿宋_GB2312" w:cs="Times New Roman"/>
          <w:b w:val="0"/>
          <w:bCs w:val="0"/>
          <w:sz w:val="32"/>
          <w:szCs w:val="32"/>
        </w:rPr>
        <w:t>外事接待支出0万元</w:t>
      </w:r>
      <w:r>
        <w:rPr>
          <w:rFonts w:hint="default" w:ascii="Times New Roman" w:hAnsi="Times New Roman" w:eastAsia="仿宋_GB2312" w:cs="Times New Roman"/>
          <w:sz w:val="32"/>
          <w:szCs w:val="32"/>
        </w:rPr>
        <w:t>，外事接待0批次，0人次，共计支出0万元。</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i w:val="0"/>
          <w:caps w:val="0"/>
          <w:color w:val="000000" w:themeColor="text1"/>
          <w:spacing w:val="0"/>
          <w:sz w:val="32"/>
          <w:szCs w:val="32"/>
          <w14:textFill>
            <w14:solidFill>
              <w14:schemeClr w14:val="tx1"/>
            </w14:solidFill>
          </w14:textFill>
        </w:rPr>
        <w:t>八、政府性基金预算支出决算情况说明</w:t>
      </w:r>
      <w:bookmarkEnd w:id="41"/>
      <w:bookmarkEnd w:id="42"/>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w:t>
      </w:r>
      <w:r>
        <w:rPr>
          <w:rFonts w:hint="default" w:ascii="Times New Roman" w:hAnsi="Times New Roman" w:eastAsia="仿宋_GB2312" w:cs="Times New Roman"/>
          <w:sz w:val="32"/>
          <w:szCs w:val="32"/>
        </w:rPr>
        <w:t>3.6</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color w:val="auto"/>
          <w:kern w:val="2"/>
          <w:sz w:val="32"/>
          <w:szCs w:val="32"/>
          <w:highlight w:val="none"/>
          <w:lang w:val="en-US" w:eastAsia="zh-CN" w:bidi="ar-SA"/>
        </w:rPr>
        <w:t>%。与上年度相比，政府性基金预算财政拨款支出减少96.4万元，下降96.4%。主要变动原因是预算安排支出结构性调整。</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bookmarkStart w:id="43" w:name="_Toc11422_WPSOffice_Level2"/>
      <w:bookmarkStart w:id="44" w:name="_Toc13858_WPSOffice_Level2"/>
      <w:r>
        <w:rPr>
          <w:rFonts w:hint="default" w:ascii="Times New Roman" w:hAnsi="Times New Roman" w:eastAsia="黑体" w:cs="Times New Roman"/>
          <w:i w:val="0"/>
          <w:caps w:val="0"/>
          <w:color w:val="000000" w:themeColor="text1"/>
          <w:spacing w:val="0"/>
          <w:sz w:val="32"/>
          <w:szCs w:val="32"/>
          <w14:textFill>
            <w14:solidFill>
              <w14:schemeClr w14:val="tx1"/>
            </w14:solidFill>
          </w14:textFill>
        </w:rPr>
        <w:t>九、国有资本经营预算支出决算情况说明</w:t>
      </w:r>
      <w:bookmarkEnd w:id="43"/>
      <w:bookmarkEnd w:id="44"/>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2025年度</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国有资本经营预算拨款支出0万元。</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bookmarkStart w:id="45" w:name="_Toc30285_WPSOffice_Level2"/>
      <w:bookmarkStart w:id="46" w:name="_Toc2771_WPSOffice_Level2"/>
      <w:r>
        <w:rPr>
          <w:rFonts w:hint="default" w:ascii="Times New Roman" w:hAnsi="Times New Roman" w:eastAsia="黑体" w:cs="Times New Roman"/>
          <w:i w:val="0"/>
          <w:caps w:val="0"/>
          <w:color w:val="000000" w:themeColor="text1"/>
          <w:spacing w:val="0"/>
          <w:sz w:val="32"/>
          <w:szCs w:val="32"/>
          <w14:textFill>
            <w14:solidFill>
              <w14:schemeClr w14:val="tx1"/>
            </w14:solidFill>
          </w14:textFill>
        </w:rPr>
        <w:t>十、其他重要事项的情况说明</w:t>
      </w:r>
      <w:bookmarkEnd w:id="45"/>
      <w:bookmarkEnd w:id="46"/>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2"/>
          <w:szCs w:val="32"/>
          <w14:textFill>
            <w14:solidFill>
              <w14:schemeClr w14:val="tx1"/>
            </w14:solidFill>
          </w14:textFill>
        </w:rPr>
        <w:t>（一）机关运行经费支出情况</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攀枝花市人力资源和社会保障局</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sz w:val="32"/>
          <w:szCs w:val="32"/>
        </w:rPr>
        <w:t>135.06</w:t>
      </w:r>
      <w:r>
        <w:rPr>
          <w:rFonts w:hint="default" w:ascii="Times New Roman" w:hAnsi="Times New Roman" w:eastAsia="仿宋_GB2312" w:cs="Times New Roman"/>
          <w:color w:val="auto"/>
          <w:kern w:val="2"/>
          <w:sz w:val="32"/>
          <w:szCs w:val="32"/>
          <w:highlight w:val="none"/>
          <w:lang w:val="en-US" w:eastAsia="zh-CN" w:bidi="ar-SA"/>
        </w:rPr>
        <w:t>万元，比上年度减少26.59万元，下降16.4%。主要原因是</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坚持过紧日子，勤俭办一切事业</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2"/>
          <w:szCs w:val="32"/>
          <w14:textFill>
            <w14:solidFill>
              <w14:schemeClr w14:val="tx1"/>
            </w14:solidFill>
          </w14:textFill>
        </w:rPr>
        <w:t>（二）政府采购支出情况</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highlight w:val="none"/>
        </w:rPr>
        <w:t>攀枝花市人力资源和社会保障局</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highlight w:val="none"/>
        </w:rPr>
        <w:t>711.13</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default" w:ascii="Times New Roman" w:hAnsi="Times New Roman" w:eastAsia="仿宋_GB2312" w:cs="Times New Roman"/>
          <w:sz w:val="32"/>
          <w:szCs w:val="32"/>
          <w:highlight w:val="none"/>
        </w:rPr>
        <w:t>675.62</w:t>
      </w:r>
      <w:r>
        <w:rPr>
          <w:rFonts w:hint="default" w:ascii="Times New Roman" w:hAnsi="Times New Roman" w:eastAsia="仿宋_GB2312" w:cs="Times New Roman"/>
          <w:color w:val="auto"/>
          <w:kern w:val="2"/>
          <w:sz w:val="32"/>
          <w:szCs w:val="32"/>
          <w:highlight w:val="none"/>
          <w:lang w:val="en-US" w:eastAsia="zh-CN" w:bidi="ar-SA"/>
        </w:rPr>
        <w:t>万元、政府采购工程支出</w:t>
      </w:r>
      <w:r>
        <w:rPr>
          <w:rFonts w:hint="default" w:ascii="Times New Roman" w:hAnsi="Times New Roman" w:eastAsia="仿宋_GB2312" w:cs="Times New Roman"/>
          <w:sz w:val="32"/>
          <w:szCs w:val="32"/>
          <w:highlight w:val="none"/>
        </w:rPr>
        <w:t>0</w:t>
      </w:r>
      <w:r>
        <w:rPr>
          <w:rFonts w:hint="default" w:ascii="Times New Roman" w:hAnsi="Times New Roman" w:eastAsia="仿宋_GB2312" w:cs="Times New Roman"/>
          <w:color w:val="auto"/>
          <w:kern w:val="2"/>
          <w:sz w:val="32"/>
          <w:szCs w:val="32"/>
          <w:highlight w:val="none"/>
          <w:lang w:val="en-US" w:eastAsia="zh-CN" w:bidi="ar-SA"/>
        </w:rPr>
        <w:t>万元、政府采购服务支出</w:t>
      </w:r>
      <w:r>
        <w:rPr>
          <w:rFonts w:hint="default" w:ascii="Times New Roman" w:hAnsi="Times New Roman" w:eastAsia="仿宋_GB2312" w:cs="Times New Roman"/>
          <w:sz w:val="32"/>
          <w:szCs w:val="32"/>
          <w:highlight w:val="none"/>
        </w:rPr>
        <w:t>35.51</w:t>
      </w:r>
      <w:r>
        <w:rPr>
          <w:rFonts w:hint="default" w:ascii="Times New Roman" w:hAnsi="Times New Roman" w:eastAsia="仿宋_GB2312" w:cs="Times New Roman"/>
          <w:color w:val="auto"/>
          <w:kern w:val="2"/>
          <w:sz w:val="32"/>
          <w:szCs w:val="32"/>
          <w:highlight w:val="none"/>
          <w:lang w:val="en-US" w:eastAsia="zh-CN" w:bidi="ar-SA"/>
        </w:rPr>
        <w:t>万元。主要用于公务用车运行维护、攀枝花市公共实训基地设施设备采购等。授予中小企业合同金额</w:t>
      </w:r>
      <w:r>
        <w:rPr>
          <w:rFonts w:hint="default" w:ascii="Times New Roman" w:hAnsi="Times New Roman" w:eastAsia="仿宋_GB2312" w:cs="Times New Roman"/>
          <w:sz w:val="32"/>
          <w:szCs w:val="32"/>
        </w:rPr>
        <w:t>696.55</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97.9</w:t>
      </w:r>
      <w:r>
        <w:rPr>
          <w:rFonts w:hint="default" w:ascii="Times New Roman" w:hAnsi="Times New Roman" w:eastAsia="仿宋_GB2312" w:cs="Times New Roman"/>
          <w:color w:val="auto"/>
          <w:kern w:val="2"/>
          <w:sz w:val="32"/>
          <w:szCs w:val="32"/>
          <w:highlight w:val="none"/>
          <w:lang w:val="en-US" w:eastAsia="zh-CN" w:bidi="ar-SA"/>
        </w:rPr>
        <w:t>%，其中：授予小微企业合同金额</w:t>
      </w:r>
      <w:r>
        <w:rPr>
          <w:rFonts w:hint="default" w:ascii="Times New Roman" w:hAnsi="Times New Roman" w:eastAsia="仿宋_GB2312" w:cs="Times New Roman"/>
          <w:sz w:val="32"/>
          <w:szCs w:val="32"/>
        </w:rPr>
        <w:t>684.52</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96.</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color w:val="auto"/>
          <w:kern w:val="2"/>
          <w:sz w:val="32"/>
          <w:szCs w:val="32"/>
          <w:highlight w:val="none"/>
          <w:lang w:val="en-US" w:eastAsia="zh-CN" w:bidi="ar-SA"/>
        </w:rPr>
        <w:t>%。</w:t>
      </w:r>
    </w:p>
    <w:p>
      <w:pPr>
        <w:pStyle w:val="10"/>
        <w:rPr>
          <w:rFonts w:hint="default" w:ascii="Times New Roman" w:hAnsi="Times New Roman" w:cs="Times New Roman"/>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2"/>
          <w:szCs w:val="32"/>
          <w14:textFill>
            <w14:solidFill>
              <w14:schemeClr w14:val="tx1"/>
            </w14:solidFill>
          </w14:textFill>
        </w:rPr>
        <w:t>（三）国有资产占有使用情况</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攀枝花市人力资源和社会保障局</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2</w:t>
      </w:r>
      <w:r>
        <w:rPr>
          <w:rFonts w:hint="default" w:ascii="Times New Roman" w:hAnsi="Times New Roman" w:eastAsia="仿宋_GB2312" w:cs="Times New Roman"/>
          <w:color w:val="auto"/>
          <w:kern w:val="2"/>
          <w:sz w:val="32"/>
          <w:szCs w:val="32"/>
          <w:highlight w:val="none"/>
          <w:lang w:val="en-US" w:eastAsia="zh-CN" w:bidi="ar-SA"/>
        </w:rPr>
        <w:t>辆，其中：副部（省）级及以上领导用车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辆、主要负责人用车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辆、机要通信用车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辆、应急保障用车</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辆、执法执勤用车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辆、特种专业技术用车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辆、离退休干部服务用车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辆、其他用车</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辆，其他用车主要是用于</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市劳动人事争议仲裁院</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开展工作所需的一般公务用车</w:t>
      </w:r>
      <w:r>
        <w:rPr>
          <w:rFonts w:hint="default" w:ascii="Times New Roman" w:hAnsi="Times New Roman" w:eastAsia="仿宋_GB2312" w:cs="Times New Roman"/>
          <w:color w:val="auto"/>
          <w:kern w:val="2"/>
          <w:sz w:val="32"/>
          <w:szCs w:val="32"/>
          <w:highlight w:val="none"/>
          <w:lang w:val="en-US" w:eastAsia="zh-CN" w:bidi="ar-SA"/>
        </w:rPr>
        <w:t>。单价100万元（含）以上设备（不含车辆）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p>
      <w:pPr>
        <w:pStyle w:val="10"/>
        <w:rPr>
          <w:rFonts w:hint="default" w:ascii="Times New Roman" w:hAnsi="Times New Roman" w:cs="Times New Roman"/>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2"/>
          <w:szCs w:val="32"/>
          <w14:textFill>
            <w14:solidFill>
              <w14:schemeClr w14:val="tx1"/>
            </w14:solidFill>
          </w14:textFill>
        </w:rPr>
        <w:t>（四）预算绩效管理情况</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攀枝花市人力资源和社会保障局在2025年度，组织对中职教育补助资金、一卡通及电子社保卡专项经费、一卡通项目、档案管理费、就业创业补助、人才专项经费（全市）、公招考试工作经费等7个项目涉及金额650.67万元开展了事前绩效评估，对21个项目编制了绩效目标，预算执行过程中，选取21个项目开展绩效监控。</w:t>
      </w:r>
    </w:p>
    <w:p>
      <w:pPr>
        <w:adjustRightInd w:val="0"/>
        <w:snapToGrid w:val="0"/>
        <w:spacing w:line="600" w:lineRule="exact"/>
        <w:ind w:firstLine="640" w:firstLineChars="200"/>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组织对2025年度一般公共预算、政府性基金预算、国有资本经营预算、社会保险基金预算以及资本资产、债券资金等全面开展绩效自评，形成攀枝花市人力资源和社会保障局2025年度部门预算</w:t>
      </w:r>
      <w:r>
        <w:rPr>
          <w:rFonts w:hint="default" w:ascii="Times New Roman" w:hAnsi="Times New Roman" w:eastAsia="仿宋_GB2312" w:cs="Times New Roman"/>
          <w:color w:val="auto"/>
          <w:sz w:val="32"/>
          <w:szCs w:val="32"/>
        </w:rPr>
        <w:t>（含部门预算项目）</w:t>
      </w:r>
      <w:r>
        <w:rPr>
          <w:rFonts w:hint="default" w:ascii="Times New Roman" w:hAnsi="Times New Roman" w:eastAsia="仿宋_GB2312" w:cs="Times New Roman"/>
          <w:color w:val="auto"/>
          <w:kern w:val="2"/>
          <w:sz w:val="32"/>
          <w:szCs w:val="32"/>
          <w:highlight w:val="none"/>
          <w:lang w:val="en-US" w:eastAsia="zh-CN" w:bidi="ar-SA"/>
        </w:rPr>
        <w:t>绩效自评报告</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2"/>
          <w:sz w:val="32"/>
          <w:szCs w:val="32"/>
        </w:rPr>
        <w:t>就业创业补助资金</w:t>
      </w:r>
      <w:r>
        <w:rPr>
          <w:rFonts w:hint="default" w:ascii="Times New Roman" w:hAnsi="Times New Roman" w:eastAsia="仿宋_GB2312" w:cs="Times New Roman"/>
          <w:color w:val="auto"/>
          <w:sz w:val="32"/>
          <w:szCs w:val="32"/>
        </w:rPr>
        <w:t>等专项预算项目绩效自评报告，其中，</w:t>
      </w:r>
      <w:r>
        <w:rPr>
          <w:rFonts w:hint="default" w:ascii="Times New Roman" w:hAnsi="Times New Roman" w:eastAsia="仿宋_GB2312" w:cs="Times New Roman"/>
          <w:color w:val="auto"/>
          <w:kern w:val="2"/>
          <w:sz w:val="32"/>
          <w:szCs w:val="32"/>
          <w:highlight w:val="none"/>
          <w:lang w:val="en-US" w:eastAsia="zh-CN" w:bidi="ar-SA"/>
        </w:rPr>
        <w:t>攀枝花市人力资源和社会保障局2025年度部门预算</w:t>
      </w:r>
      <w:r>
        <w:rPr>
          <w:rFonts w:hint="default" w:ascii="Times New Roman" w:hAnsi="Times New Roman" w:eastAsia="仿宋_GB2312" w:cs="Times New Roman"/>
          <w:color w:val="auto"/>
          <w:sz w:val="32"/>
          <w:szCs w:val="32"/>
        </w:rPr>
        <w:t>（含部门预算项目）</w:t>
      </w:r>
      <w:r>
        <w:rPr>
          <w:rFonts w:hint="default" w:ascii="Times New Roman" w:hAnsi="Times New Roman" w:eastAsia="仿宋_GB2312" w:cs="Times New Roman"/>
          <w:color w:val="auto"/>
          <w:kern w:val="2"/>
          <w:sz w:val="32"/>
          <w:szCs w:val="32"/>
          <w:highlight w:val="none"/>
          <w:lang w:val="en-US" w:eastAsia="zh-CN" w:bidi="ar-SA"/>
        </w:rPr>
        <w:t>绩效</w:t>
      </w:r>
      <w:r>
        <w:rPr>
          <w:rFonts w:hint="default" w:ascii="Times New Roman" w:hAnsi="Times New Roman" w:eastAsia="仿宋_GB2312" w:cs="Times New Roman"/>
          <w:color w:val="auto"/>
          <w:sz w:val="32"/>
          <w:szCs w:val="32"/>
        </w:rPr>
        <w:t>自评得分为</w:t>
      </w:r>
      <w:r>
        <w:rPr>
          <w:rFonts w:hint="default" w:ascii="Times New Roman" w:hAnsi="Times New Roman" w:eastAsia="仿宋_GB2312" w:cs="Times New Roman"/>
          <w:color w:val="auto"/>
          <w:sz w:val="32"/>
          <w:szCs w:val="32"/>
          <w:lang w:val="en-US" w:eastAsia="zh-CN"/>
        </w:rPr>
        <w:t>85.87</w:t>
      </w:r>
      <w:r>
        <w:rPr>
          <w:rFonts w:hint="default" w:ascii="Times New Roman" w:hAnsi="Times New Roman" w:eastAsia="仿宋_GB2312" w:cs="Times New Roman"/>
          <w:color w:val="auto"/>
          <w:sz w:val="32"/>
          <w:szCs w:val="32"/>
        </w:rPr>
        <w:t>分，绩效自评综述：</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本部门履职效果和预算管理效果较好，财务管理、资产管理、采购管理规范，项目决策程序严格，项目执行进度和绩效目标实现程度良好，严格按照</w:t>
      </w:r>
      <w:r>
        <w:rPr>
          <w:rFonts w:hint="default" w:ascii="Times New Roman" w:hAnsi="Times New Roman" w:eastAsia="仿宋_GB2312" w:cs="Times New Roman"/>
          <w:sz w:val="32"/>
          <w:szCs w:val="32"/>
        </w:rPr>
        <w:t>《攀枝花市财政局关于开展</w:t>
      </w:r>
      <w:r>
        <w:rPr>
          <w:rFonts w:hint="default" w:ascii="Times New Roman" w:hAnsi="Times New Roman" w:eastAsia="仿宋_GB2312" w:cs="Times New Roman"/>
          <w:sz w:val="32"/>
          <w:szCs w:val="32"/>
          <w:lang w:eastAsia="zh-CN"/>
        </w:rPr>
        <w:t>市本级</w:t>
      </w:r>
      <w:r>
        <w:rPr>
          <w:rFonts w:hint="default" w:ascii="Times New Roman" w:hAnsi="Times New Roman" w:eastAsia="仿宋_GB2312" w:cs="Times New Roman"/>
          <w:sz w:val="32"/>
          <w:szCs w:val="32"/>
        </w:rPr>
        <w:t>预算绩效自评工作的通知》（攀财绩〔202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号）</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要求，完成项目绩效目标自评表的填报，完成专项预算项目自评工作，实现部门预算项目自评全覆盖；</w:t>
      </w:r>
      <w:r>
        <w:rPr>
          <w:rFonts w:hint="default" w:ascii="Times New Roman" w:hAnsi="Times New Roman" w:eastAsia="仿宋_GB2312" w:cs="Times New Roman"/>
          <w:color w:val="auto"/>
          <w:kern w:val="2"/>
          <w:sz w:val="32"/>
          <w:szCs w:val="32"/>
        </w:rPr>
        <w:t>就业创业补助资金</w:t>
      </w:r>
      <w:r>
        <w:rPr>
          <w:rFonts w:hint="default" w:ascii="Times New Roman" w:hAnsi="Times New Roman" w:eastAsia="仿宋_GB2312" w:cs="Times New Roman"/>
          <w:color w:val="auto"/>
          <w:kern w:val="2"/>
          <w:sz w:val="32"/>
          <w:szCs w:val="32"/>
          <w:lang w:val="en-US" w:eastAsia="zh-CN"/>
        </w:rPr>
        <w:t>绩效自评综述：</w:t>
      </w:r>
      <w:r>
        <w:rPr>
          <w:rFonts w:hint="default" w:ascii="Times New Roman" w:hAnsi="Times New Roman" w:eastAsia="仿宋_GB2312" w:cs="Times New Roman"/>
          <w:color w:val="auto"/>
          <w:kern w:val="0"/>
          <w:sz w:val="32"/>
          <w:szCs w:val="32"/>
          <w:lang w:val="zh-CN"/>
        </w:rPr>
        <w:t>2025年度攀枝花市就业创业补助资金绩效总体良好。资金总额8542.49万元，执行7830.39万元，预算执行率91.66%，其中中央财政资金执行率达99.24%，拨付及时合规。绩效指标完成度较高，职业培训补贴覆盖1.17万人次，超目标完成46.25%、城镇新增就业1.8万人超目标完成28.57%、高校毕业生就业帮扶率95.34%，就业政策满意度超95%。资金管理规范，按川财规﹝2025﹞2号文件执行，有效保障重点群体就业稳定，提升劳动者技能水平。</w:t>
      </w:r>
      <w:r>
        <w:rPr>
          <w:rFonts w:hint="default" w:ascii="Times New Roman" w:hAnsi="Times New Roman" w:eastAsia="仿宋_GB2312" w:cs="Times New Roman"/>
          <w:color w:val="auto"/>
          <w:kern w:val="0"/>
          <w:sz w:val="32"/>
          <w:szCs w:val="32"/>
        </w:rPr>
        <w:t>项目</w:t>
      </w:r>
      <w:r>
        <w:rPr>
          <w:rFonts w:hint="default" w:ascii="Times New Roman" w:hAnsi="Times New Roman" w:eastAsia="仿宋_GB2312" w:cs="Times New Roman"/>
          <w:color w:val="auto"/>
          <w:sz w:val="32"/>
          <w:szCs w:val="32"/>
        </w:rPr>
        <w:t>绩效自评报告详见附件。</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rPr>
          <w:rFonts w:hint="default" w:ascii="Times New Roman" w:hAnsi="Times New Roman" w:eastAsia="黑体" w:cs="Times New Roman"/>
          <w:color w:val="000000" w:themeColor="text1"/>
          <w:sz w:val="44"/>
          <w:szCs w:val="44"/>
          <w14:textFill>
            <w14:solidFill>
              <w14:schemeClr w14:val="tx1"/>
            </w14:solidFill>
          </w14:textFill>
        </w:rPr>
      </w:pPr>
      <w:bookmarkStart w:id="47" w:name="_Toc4437_WPSOffice_Level1"/>
      <w:bookmarkStart w:id="48" w:name="_Toc30285_WPSOffice_Level1"/>
      <w:r>
        <w:rPr>
          <w:rFonts w:hint="default" w:ascii="Times New Roman" w:hAnsi="Times New Roman" w:eastAsia="黑体" w:cs="Times New Roman"/>
          <w:i w:val="0"/>
          <w:caps w:val="0"/>
          <w:color w:val="000000" w:themeColor="text1"/>
          <w:spacing w:val="0"/>
          <w:sz w:val="44"/>
          <w:szCs w:val="44"/>
          <w14:textFill>
            <w14:solidFill>
              <w14:schemeClr w14:val="tx1"/>
            </w14:solidFill>
          </w14:textFill>
        </w:rPr>
        <w:t>第三部分 名词解释</w:t>
      </w:r>
      <w:bookmarkEnd w:id="47"/>
      <w:bookmarkEnd w:id="48"/>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1.财政拨款收入：指单位从同级财政部门取得的财政预算资金。</w:t>
      </w:r>
    </w:p>
    <w:p>
      <w:pPr>
        <w:keepNext w:val="0"/>
        <w:keepLines w:val="0"/>
        <w:pageBreakBefore w:val="0"/>
        <w:kinsoku/>
        <w:wordWrap/>
        <w:overflowPunct/>
        <w:topLinePunct w:val="0"/>
        <w:autoSpaceDE/>
        <w:autoSpaceDN/>
        <w:bidi w:val="0"/>
        <w:adjustRightInd/>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2.其他收入：指单位取得的除上述收入以外的各项收入。主要是银行存款利息收入</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省考试中心拨付的考点工作经费</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等</w:t>
      </w:r>
      <w:r>
        <w:rPr>
          <w:rFonts w:hint="default" w:ascii="Times New Roman" w:hAnsi="Times New Roman" w:eastAsia="仿宋_GB2312" w:cs="Times New Roman"/>
          <w:color w:val="000000" w:themeColor="text1"/>
          <w:sz w:val="32"/>
          <w:szCs w:val="32"/>
          <w14:textFill>
            <w14:solidFill>
              <w14:schemeClr w14:val="tx1"/>
            </w14:solidFill>
          </w14:textFill>
        </w:rPr>
        <w:t>。</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3.年初结转和结余：指以前年度尚未完成、结转到本年按有关规定继续使用的资金。</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4</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年末结转和结余：指单位按有关规定结转到下年或以后年度继续使用的资金。</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val="en-US" w:eastAsia="zh-CN"/>
        </w:rPr>
      </w:pPr>
      <w:r>
        <w:rPr>
          <w:rFonts w:hint="default" w:ascii="Times New Roman" w:hAnsi="Times New Roman" w:eastAsia="仿宋_GB2312" w:cs="Times New Roman"/>
          <w:i w:val="0"/>
          <w:caps w:val="0"/>
          <w:color w:val="auto"/>
          <w:spacing w:val="0"/>
          <w:sz w:val="32"/>
          <w:szCs w:val="32"/>
          <w:lang w:val="en-US" w:eastAsia="zh-CN"/>
        </w:rPr>
        <w:t>5.一般公共服务支出（类）组织事务（款）其他组织事务支出（项）：指反映除上述项目以外其他用于中国共产党组织部门的事务支出。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val="en-US" w:eastAsia="zh-CN"/>
        </w:rPr>
      </w:pPr>
      <w:r>
        <w:rPr>
          <w:rFonts w:hint="default" w:ascii="Times New Roman" w:hAnsi="Times New Roman" w:eastAsia="仿宋_GB2312" w:cs="Times New Roman"/>
          <w:i w:val="0"/>
          <w:caps w:val="0"/>
          <w:color w:val="auto"/>
          <w:spacing w:val="0"/>
          <w:sz w:val="32"/>
          <w:szCs w:val="32"/>
          <w:lang w:val="en-US" w:eastAsia="zh-CN"/>
        </w:rPr>
        <w:t>6.教育支出（类）职业教育（款）中等职业教育（项）：指反映各部门（不含人力资源社会保障部门）举办的中等职业教育支出。政府各部门对社会组织等举办的中等职业学校的资助，如捐赠、补贴等，也在本科目中反映。</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val="en-US" w:eastAsia="zh-CN"/>
        </w:rPr>
      </w:pPr>
      <w:r>
        <w:rPr>
          <w:rFonts w:hint="default" w:ascii="Times New Roman" w:hAnsi="Times New Roman" w:eastAsia="仿宋_GB2312" w:cs="Times New Roman"/>
          <w:i w:val="0"/>
          <w:caps w:val="0"/>
          <w:color w:val="auto"/>
          <w:spacing w:val="0"/>
          <w:sz w:val="32"/>
          <w:szCs w:val="32"/>
          <w:lang w:val="en-US" w:eastAsia="zh-CN"/>
        </w:rPr>
        <w:t>7.教育支出（类）职业教育（款）其他职业教育支出（项）：指反映除上述项目以外其他用于职业教育方面的支出。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val="en-US" w:eastAsia="zh-CN"/>
        </w:rPr>
      </w:pPr>
      <w:r>
        <w:rPr>
          <w:rFonts w:hint="default" w:ascii="Times New Roman" w:hAnsi="Times New Roman" w:eastAsia="仿宋_GB2312" w:cs="Times New Roman"/>
          <w:i w:val="0"/>
          <w:caps w:val="0"/>
          <w:color w:val="auto"/>
          <w:spacing w:val="0"/>
          <w:sz w:val="32"/>
          <w:szCs w:val="32"/>
          <w:lang w:val="en-US" w:eastAsia="zh-CN"/>
        </w:rPr>
        <w:t>8.教育支出（类）其他教育支出（款）其他教育支出（（项）：指反映除上述项目以外其他用于教育方面的支出。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9</w:t>
      </w:r>
      <w:r>
        <w:rPr>
          <w:rFonts w:hint="default" w:ascii="Times New Roman" w:hAnsi="Times New Roman" w:eastAsia="仿宋_GB2312" w:cs="Times New Roman"/>
          <w:i w:val="0"/>
          <w:caps w:val="0"/>
          <w:color w:val="auto"/>
          <w:spacing w:val="0"/>
          <w:sz w:val="32"/>
          <w:szCs w:val="32"/>
        </w:rPr>
        <w:t>.社会保障和就业支出（类）人力资源和社会保障管理事务（款）行政运行（项）：指反映行政单位（包括实行公务员管理的事业单位）的基本支出。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10.</w:t>
      </w:r>
      <w:r>
        <w:rPr>
          <w:rFonts w:hint="default" w:ascii="Times New Roman" w:hAnsi="Times New Roman" w:eastAsia="仿宋_GB2312" w:cs="Times New Roman"/>
          <w:i w:val="0"/>
          <w:caps w:val="0"/>
          <w:color w:val="auto"/>
          <w:spacing w:val="0"/>
          <w:sz w:val="32"/>
          <w:szCs w:val="32"/>
        </w:rPr>
        <w:t>社会保障和就业支出（类）人力资源和社会保障管理事务（款）一般行政管理事务（项）：指反映行政单位(包括实行公务员管理的事业单位)未单独设置项级科目的其他项目支出。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11.</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社会保障和就业支出（类）人力资源和社会保障管理事务（款）信息化建设（项）:指反映人力资源和社会保障部门用于信息化建设、运行维护和数据分析等方面的支出，如金保工程、社会保障卡建设和运行维护、人力资源市场信息化等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12.</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社会保障和就业支出（类）人力资源和社会保障管理事务（款）劳动人事争议调解仲裁（项）：指反映仲裁机构实体化建设、办案经费、调解仲裁能力建设等支出。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13.</w:t>
      </w:r>
      <w:r>
        <w:rPr>
          <w:rFonts w:hint="default" w:ascii="Times New Roman" w:hAnsi="Times New Roman" w:eastAsia="仿宋_GB2312" w:cs="Times New Roman"/>
          <w:i w:val="0"/>
          <w:caps w:val="0"/>
          <w:color w:val="auto"/>
          <w:spacing w:val="0"/>
          <w:sz w:val="32"/>
          <w:szCs w:val="32"/>
        </w:rPr>
        <w:t>社会保障和就业</w:t>
      </w:r>
      <w:r>
        <w:rPr>
          <w:rFonts w:hint="default" w:ascii="Times New Roman" w:hAnsi="Times New Roman" w:eastAsia="仿宋_GB2312" w:cs="Times New Roman"/>
          <w:i w:val="0"/>
          <w:caps w:val="0"/>
          <w:color w:val="auto"/>
          <w:spacing w:val="0"/>
          <w:sz w:val="32"/>
          <w:szCs w:val="32"/>
          <w:lang w:eastAsia="zh-CN"/>
        </w:rPr>
        <w:t>支出</w:t>
      </w:r>
      <w:r>
        <w:rPr>
          <w:rFonts w:hint="default" w:ascii="Times New Roman" w:hAnsi="Times New Roman" w:eastAsia="仿宋_GB2312" w:cs="Times New Roman"/>
          <w:i w:val="0"/>
          <w:caps w:val="0"/>
          <w:color w:val="auto"/>
          <w:spacing w:val="0"/>
          <w:sz w:val="32"/>
          <w:szCs w:val="32"/>
        </w:rPr>
        <w:t>（类）人力资源和社会保障管理事务（款）事业运行（项）:指反映事业单位的基本支出，不包括行政单位(包括实行公务员管理的事业单位)后勤服务中心、医务室等附属事业单位。</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14.</w:t>
      </w:r>
      <w:r>
        <w:rPr>
          <w:rFonts w:hint="default" w:ascii="Times New Roman" w:hAnsi="Times New Roman" w:eastAsia="仿宋_GB2312" w:cs="Times New Roman"/>
          <w:i w:val="0"/>
          <w:caps w:val="0"/>
          <w:color w:val="auto"/>
          <w:spacing w:val="0"/>
          <w:sz w:val="32"/>
          <w:szCs w:val="32"/>
        </w:rPr>
        <w:t>社会保障和就业</w:t>
      </w:r>
      <w:r>
        <w:rPr>
          <w:rFonts w:hint="default" w:ascii="Times New Roman" w:hAnsi="Times New Roman" w:eastAsia="仿宋_GB2312" w:cs="Times New Roman"/>
          <w:i w:val="0"/>
          <w:caps w:val="0"/>
          <w:color w:val="auto"/>
          <w:spacing w:val="0"/>
          <w:sz w:val="32"/>
          <w:szCs w:val="32"/>
          <w:lang w:eastAsia="zh-CN"/>
        </w:rPr>
        <w:t>支出</w:t>
      </w:r>
      <w:r>
        <w:rPr>
          <w:rFonts w:hint="default" w:ascii="Times New Roman" w:hAnsi="Times New Roman" w:eastAsia="仿宋_GB2312" w:cs="Times New Roman"/>
          <w:i w:val="0"/>
          <w:caps w:val="0"/>
          <w:color w:val="auto"/>
          <w:spacing w:val="0"/>
          <w:sz w:val="32"/>
          <w:szCs w:val="32"/>
        </w:rPr>
        <w:t>（类）人力资源和社会保障管理事务（款）其他人力资源和社会保障管理事务支出（项）:指反映除上述项目以外其他人力资源事务方面的支出。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15.</w:t>
      </w:r>
      <w:r>
        <w:rPr>
          <w:rFonts w:hint="default" w:ascii="Times New Roman" w:hAnsi="Times New Roman" w:eastAsia="仿宋_GB2312" w:cs="Times New Roman"/>
          <w:i w:val="0"/>
          <w:caps w:val="0"/>
          <w:color w:val="auto"/>
          <w:spacing w:val="0"/>
          <w:sz w:val="32"/>
          <w:szCs w:val="32"/>
        </w:rPr>
        <w:t>社会保障和就业支出（类）行政事业单位养老支出（款）行政单位离退休（项）：指反映行政单位(包括实行公务员管理的事业单位)开支的离退休经费。</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auto"/>
          <w:spacing w:val="0"/>
          <w:sz w:val="32"/>
          <w:szCs w:val="32"/>
          <w:lang w:val="en-US" w:eastAsia="zh-CN"/>
        </w:rPr>
        <w:t>16.</w:t>
      </w:r>
      <w:r>
        <w:rPr>
          <w:rFonts w:hint="default" w:ascii="Times New Roman" w:hAnsi="Times New Roman" w:eastAsia="仿宋_GB2312" w:cs="Times New Roman"/>
          <w:i w:val="0"/>
          <w:caps w:val="0"/>
          <w:color w:val="auto"/>
          <w:spacing w:val="0"/>
          <w:sz w:val="32"/>
          <w:szCs w:val="32"/>
        </w:rPr>
        <w:t>社会保障和就业</w:t>
      </w:r>
      <w:r>
        <w:rPr>
          <w:rFonts w:hint="default" w:ascii="Times New Roman" w:hAnsi="Times New Roman" w:eastAsia="仿宋_GB2312" w:cs="Times New Roman"/>
          <w:i w:val="0"/>
          <w:caps w:val="0"/>
          <w:color w:val="auto"/>
          <w:spacing w:val="0"/>
          <w:sz w:val="32"/>
          <w:szCs w:val="32"/>
          <w:lang w:eastAsia="zh-CN"/>
        </w:rPr>
        <w:t>支出</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（类）行政事业单位养老支出（款）事业单位离退休（项）:指反映事业单位开支的离退休经费。</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17.</w:t>
      </w:r>
      <w:r>
        <w:rPr>
          <w:rFonts w:hint="default" w:ascii="Times New Roman" w:hAnsi="Times New Roman" w:eastAsia="仿宋_GB2312" w:cs="Times New Roman"/>
          <w:i w:val="0"/>
          <w:caps w:val="0"/>
          <w:color w:val="auto"/>
          <w:spacing w:val="0"/>
          <w:sz w:val="32"/>
          <w:szCs w:val="32"/>
        </w:rPr>
        <w:t>社会保障和就业支出（类）行政事业单位养老支出（款）机关事业单位基本养老保险缴费支出（项）：指反映机关事业单位实施养老保险制度由单位缴纳的基本养老保险费支出。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val="en-US" w:eastAsia="zh-CN"/>
        </w:rPr>
      </w:pPr>
      <w:r>
        <w:rPr>
          <w:rFonts w:hint="default" w:ascii="Times New Roman" w:hAnsi="Times New Roman" w:eastAsia="仿宋_GB2312" w:cs="Times New Roman"/>
          <w:i w:val="0"/>
          <w:caps w:val="0"/>
          <w:color w:val="auto"/>
          <w:spacing w:val="0"/>
          <w:sz w:val="32"/>
          <w:szCs w:val="32"/>
          <w:lang w:val="en-US" w:eastAsia="zh-CN"/>
        </w:rPr>
        <w:t>18.</w:t>
      </w:r>
      <w:r>
        <w:rPr>
          <w:rFonts w:hint="default" w:ascii="Times New Roman" w:hAnsi="Times New Roman" w:eastAsia="仿宋_GB2312" w:cs="Times New Roman"/>
          <w:i w:val="0"/>
          <w:caps w:val="0"/>
          <w:color w:val="auto"/>
          <w:spacing w:val="0"/>
          <w:sz w:val="32"/>
          <w:szCs w:val="32"/>
        </w:rPr>
        <w:t>社会保障和就业支出（类）行政事业单位养老支出（款）机关事业单位</w:t>
      </w:r>
      <w:r>
        <w:rPr>
          <w:rFonts w:hint="default" w:ascii="Times New Roman" w:hAnsi="Times New Roman" w:eastAsia="仿宋_GB2312" w:cs="Times New Roman"/>
          <w:i w:val="0"/>
          <w:caps w:val="0"/>
          <w:color w:val="auto"/>
          <w:spacing w:val="0"/>
          <w:sz w:val="32"/>
          <w:szCs w:val="32"/>
          <w:lang w:eastAsia="zh-CN"/>
        </w:rPr>
        <w:t>职业年金</w:t>
      </w:r>
      <w:r>
        <w:rPr>
          <w:rFonts w:hint="default" w:ascii="Times New Roman" w:hAnsi="Times New Roman" w:eastAsia="仿宋_GB2312" w:cs="Times New Roman"/>
          <w:i w:val="0"/>
          <w:caps w:val="0"/>
          <w:color w:val="auto"/>
          <w:spacing w:val="0"/>
          <w:sz w:val="32"/>
          <w:szCs w:val="32"/>
        </w:rPr>
        <w:t>缴费支出（项）：指反映机关事业单位实施养老保险制度由单位</w:t>
      </w:r>
      <w:r>
        <w:rPr>
          <w:rFonts w:hint="default" w:ascii="Times New Roman" w:hAnsi="Times New Roman" w:eastAsia="仿宋_GB2312" w:cs="Times New Roman"/>
          <w:i w:val="0"/>
          <w:caps w:val="0"/>
          <w:color w:val="auto"/>
          <w:spacing w:val="0"/>
          <w:sz w:val="32"/>
          <w:szCs w:val="32"/>
          <w:lang w:eastAsia="zh-CN"/>
        </w:rPr>
        <w:t>实际</w:t>
      </w:r>
      <w:r>
        <w:rPr>
          <w:rFonts w:hint="default" w:ascii="Times New Roman" w:hAnsi="Times New Roman" w:eastAsia="仿宋_GB2312" w:cs="Times New Roman"/>
          <w:i w:val="0"/>
          <w:caps w:val="0"/>
          <w:color w:val="auto"/>
          <w:spacing w:val="0"/>
          <w:sz w:val="32"/>
          <w:szCs w:val="32"/>
        </w:rPr>
        <w:t>缴纳的</w:t>
      </w:r>
      <w:r>
        <w:rPr>
          <w:rFonts w:hint="default" w:ascii="Times New Roman" w:hAnsi="Times New Roman" w:eastAsia="仿宋_GB2312" w:cs="Times New Roman"/>
          <w:i w:val="0"/>
          <w:caps w:val="0"/>
          <w:color w:val="auto"/>
          <w:spacing w:val="0"/>
          <w:sz w:val="32"/>
          <w:szCs w:val="32"/>
          <w:lang w:eastAsia="zh-CN"/>
        </w:rPr>
        <w:t>职业年金</w:t>
      </w:r>
      <w:r>
        <w:rPr>
          <w:rFonts w:hint="default" w:ascii="Times New Roman" w:hAnsi="Times New Roman" w:eastAsia="仿宋_GB2312" w:cs="Times New Roman"/>
          <w:i w:val="0"/>
          <w:caps w:val="0"/>
          <w:color w:val="auto"/>
          <w:spacing w:val="0"/>
          <w:sz w:val="32"/>
          <w:szCs w:val="32"/>
        </w:rPr>
        <w:t>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eastAsia="zh-CN"/>
        </w:rPr>
      </w:pPr>
      <w:r>
        <w:rPr>
          <w:rFonts w:hint="default" w:ascii="Times New Roman" w:hAnsi="Times New Roman" w:eastAsia="仿宋_GB2312" w:cs="Times New Roman"/>
          <w:i w:val="0"/>
          <w:caps w:val="0"/>
          <w:color w:val="auto"/>
          <w:spacing w:val="0"/>
          <w:sz w:val="32"/>
          <w:szCs w:val="32"/>
          <w:lang w:val="en-US" w:eastAsia="zh-CN"/>
        </w:rPr>
        <w:t>19.</w:t>
      </w:r>
      <w:r>
        <w:rPr>
          <w:rFonts w:hint="default" w:ascii="Times New Roman" w:hAnsi="Times New Roman" w:eastAsia="仿宋_GB2312" w:cs="Times New Roman"/>
          <w:i w:val="0"/>
          <w:caps w:val="0"/>
          <w:color w:val="auto"/>
          <w:spacing w:val="0"/>
          <w:sz w:val="32"/>
          <w:szCs w:val="32"/>
        </w:rPr>
        <w:t>社会保障和就业支出（类）</w:t>
      </w:r>
      <w:r>
        <w:rPr>
          <w:rFonts w:hint="default" w:ascii="Times New Roman" w:hAnsi="Times New Roman" w:eastAsia="仿宋_GB2312" w:cs="Times New Roman"/>
          <w:i w:val="0"/>
          <w:caps w:val="0"/>
          <w:color w:val="auto"/>
          <w:spacing w:val="0"/>
          <w:sz w:val="32"/>
          <w:szCs w:val="32"/>
          <w:lang w:eastAsia="zh-CN"/>
        </w:rPr>
        <w:t>就业补助</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其他就业补助支出</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指反映除上述项目以外按规定确定的其他用于促进就业的补助支出。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eastAsia="zh-CN"/>
        </w:rPr>
      </w:pPr>
      <w:r>
        <w:rPr>
          <w:rFonts w:hint="default" w:ascii="Times New Roman" w:hAnsi="Times New Roman" w:eastAsia="仿宋_GB2312" w:cs="Times New Roman"/>
          <w:i w:val="0"/>
          <w:caps w:val="0"/>
          <w:color w:val="auto"/>
          <w:spacing w:val="0"/>
          <w:sz w:val="32"/>
          <w:szCs w:val="32"/>
          <w:lang w:val="en-US" w:eastAsia="zh-CN"/>
        </w:rPr>
        <w:t>20.</w:t>
      </w:r>
      <w:r>
        <w:rPr>
          <w:rFonts w:hint="default" w:ascii="Times New Roman" w:hAnsi="Times New Roman" w:eastAsia="仿宋_GB2312" w:cs="Times New Roman"/>
          <w:i w:val="0"/>
          <w:caps w:val="0"/>
          <w:color w:val="auto"/>
          <w:spacing w:val="0"/>
          <w:sz w:val="32"/>
          <w:szCs w:val="32"/>
        </w:rPr>
        <w:t>社会保障和就业支出（类）</w:t>
      </w:r>
      <w:r>
        <w:rPr>
          <w:rFonts w:hint="default" w:ascii="Times New Roman" w:hAnsi="Times New Roman" w:eastAsia="仿宋_GB2312" w:cs="Times New Roman"/>
          <w:i w:val="0"/>
          <w:caps w:val="0"/>
          <w:color w:val="auto"/>
          <w:spacing w:val="0"/>
          <w:sz w:val="32"/>
          <w:szCs w:val="32"/>
          <w:lang w:eastAsia="zh-CN"/>
        </w:rPr>
        <w:t>抚恤</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死亡抚恤</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指反映按规定用于烈士和牺牲、病故人员家属的一次性和定期抚恤金、丧葬补助费以及烈士褒扬金。</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eastAsia="zh-CN"/>
        </w:rPr>
      </w:pPr>
      <w:r>
        <w:rPr>
          <w:rFonts w:hint="default" w:ascii="Times New Roman" w:hAnsi="Times New Roman" w:eastAsia="仿宋_GB2312" w:cs="Times New Roman"/>
          <w:i w:val="0"/>
          <w:caps w:val="0"/>
          <w:color w:val="auto"/>
          <w:spacing w:val="0"/>
          <w:sz w:val="32"/>
          <w:szCs w:val="32"/>
          <w:lang w:val="en-US" w:eastAsia="zh-CN"/>
        </w:rPr>
        <w:t>21.</w:t>
      </w:r>
      <w:r>
        <w:rPr>
          <w:rFonts w:hint="default" w:ascii="Times New Roman" w:hAnsi="Times New Roman" w:eastAsia="仿宋_GB2312" w:cs="Times New Roman"/>
          <w:i w:val="0"/>
          <w:caps w:val="0"/>
          <w:color w:val="auto"/>
          <w:spacing w:val="0"/>
          <w:sz w:val="32"/>
          <w:szCs w:val="32"/>
        </w:rPr>
        <w:t>社会保障和就业支出（类）</w:t>
      </w:r>
      <w:r>
        <w:rPr>
          <w:rFonts w:hint="default" w:ascii="Times New Roman" w:hAnsi="Times New Roman" w:eastAsia="仿宋_GB2312" w:cs="Times New Roman"/>
          <w:i w:val="0"/>
          <w:caps w:val="0"/>
          <w:color w:val="auto"/>
          <w:spacing w:val="0"/>
          <w:sz w:val="32"/>
          <w:szCs w:val="32"/>
          <w:lang w:eastAsia="zh-CN"/>
        </w:rPr>
        <w:t>社会福利</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儿童福利</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指反映对儿童提供福利服务方面的支出。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val="en-US" w:eastAsia="zh-CN"/>
        </w:rPr>
      </w:pPr>
      <w:r>
        <w:rPr>
          <w:rFonts w:hint="default" w:ascii="Times New Roman" w:hAnsi="Times New Roman" w:eastAsia="仿宋_GB2312" w:cs="Times New Roman"/>
          <w:i w:val="0"/>
          <w:caps w:val="0"/>
          <w:color w:val="auto"/>
          <w:spacing w:val="0"/>
          <w:sz w:val="32"/>
          <w:szCs w:val="32"/>
          <w:lang w:val="en-US" w:eastAsia="zh-CN"/>
        </w:rPr>
        <w:t>22.卫生健康支出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行政单位医疗</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指反映财政部门安排的行政单位（包括公务员管理的事业单位，下同）基本医疗保险缴费经费，未</w:t>
      </w:r>
      <w:r>
        <w:rPr>
          <w:rFonts w:hint="default" w:ascii="Times New Roman" w:hAnsi="Times New Roman" w:eastAsia="仿宋_GB2312" w:cs="Times New Roman"/>
          <w:i w:val="0"/>
          <w:caps w:val="0"/>
          <w:color w:val="auto"/>
          <w:spacing w:val="0"/>
          <w:sz w:val="32"/>
          <w:szCs w:val="32"/>
          <w:lang w:val="en-US" w:eastAsia="zh-CN"/>
        </w:rPr>
        <w:t>参加医疗保险的行政单位的公费医疗经费，按国家规定享受离休人员、红军老战士待遇人员的医疗经费。</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eastAsia="zh-CN"/>
        </w:rPr>
      </w:pPr>
      <w:r>
        <w:rPr>
          <w:rFonts w:hint="default" w:ascii="Times New Roman" w:hAnsi="Times New Roman" w:eastAsia="仿宋_GB2312" w:cs="Times New Roman"/>
          <w:i w:val="0"/>
          <w:caps w:val="0"/>
          <w:color w:val="auto"/>
          <w:spacing w:val="0"/>
          <w:sz w:val="32"/>
          <w:szCs w:val="32"/>
          <w:lang w:val="en-US" w:eastAsia="zh-CN"/>
        </w:rPr>
        <w:t>23.卫生健康支出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事业单位医疗</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指反映财政部门安排的事业单位基本医疗保险缴费经费，未参加医疗保险的事业单位的公费医疗经费，按国家规定享受离休人员待遇的医疗经费。</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eastAsia="zh-CN"/>
        </w:rPr>
      </w:pPr>
      <w:r>
        <w:rPr>
          <w:rFonts w:hint="default" w:ascii="Times New Roman" w:hAnsi="Times New Roman" w:eastAsia="仿宋_GB2312" w:cs="Times New Roman"/>
          <w:i w:val="0"/>
          <w:caps w:val="0"/>
          <w:color w:val="auto"/>
          <w:spacing w:val="0"/>
          <w:sz w:val="32"/>
          <w:szCs w:val="32"/>
          <w:lang w:val="en-US" w:eastAsia="zh-CN"/>
        </w:rPr>
        <w:t>24.卫生健康支出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公务员医疗补助</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指反映财政部门安排的公务员医疗补助经费。</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eastAsia="zh-CN"/>
        </w:rPr>
      </w:pPr>
      <w:r>
        <w:rPr>
          <w:rFonts w:hint="default" w:ascii="Times New Roman" w:hAnsi="Times New Roman" w:eastAsia="仿宋_GB2312" w:cs="Times New Roman"/>
          <w:i w:val="0"/>
          <w:caps w:val="0"/>
          <w:color w:val="auto"/>
          <w:spacing w:val="0"/>
          <w:sz w:val="32"/>
          <w:szCs w:val="32"/>
          <w:lang w:val="en-US" w:eastAsia="zh-CN"/>
        </w:rPr>
        <w:t>25.卫生健康支出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其他卫生健康支出</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其他卫生健康支出</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指反映除上述项目以外其他用于卫生健康方面的支出。</w:t>
      </w: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26</w:t>
      </w:r>
      <w:r>
        <w:rPr>
          <w:rFonts w:hint="default" w:ascii="Times New Roman" w:hAnsi="Times New Roman" w:eastAsia="仿宋_GB2312" w:cs="Times New Roman"/>
          <w:i w:val="0"/>
          <w:caps w:val="0"/>
          <w:color w:val="auto"/>
          <w:spacing w:val="0"/>
          <w:sz w:val="32"/>
          <w:szCs w:val="32"/>
        </w:rPr>
        <w:t>.住房保障（类）住房改革支出（款）住房公积金（项）：指反映行政事业单位按人力资源和社会保障部、财政部规定的基本工资和津贴补贴以及规定比例为职工缴纳的住房公积金。</w:t>
      </w: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27.</w:t>
      </w:r>
      <w:r>
        <w:rPr>
          <w:rFonts w:hint="default" w:ascii="Times New Roman" w:hAnsi="Times New Roman" w:eastAsia="仿宋_GB2312" w:cs="Times New Roman"/>
          <w:i w:val="0"/>
          <w:caps w:val="0"/>
          <w:color w:val="auto"/>
          <w:spacing w:val="0"/>
          <w:sz w:val="32"/>
          <w:szCs w:val="32"/>
          <w:lang w:eastAsia="zh-CN"/>
        </w:rPr>
        <w:t>其他支出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其他支出</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其他支出</w:t>
      </w:r>
      <w:r>
        <w:rPr>
          <w:rFonts w:hint="default" w:ascii="Times New Roman" w:hAnsi="Times New Roman" w:eastAsia="仿宋_GB2312" w:cs="Times New Roman"/>
          <w:i w:val="0"/>
          <w:caps w:val="0"/>
          <w:color w:val="auto"/>
          <w:spacing w:val="0"/>
          <w:sz w:val="32"/>
          <w:szCs w:val="32"/>
        </w:rPr>
        <w:t>（项）：指反映</w:t>
      </w:r>
      <w:r>
        <w:rPr>
          <w:rFonts w:hint="default" w:ascii="Times New Roman" w:hAnsi="Times New Roman" w:eastAsia="仿宋_GB2312" w:cs="Times New Roman"/>
          <w:i w:val="0"/>
          <w:caps w:val="0"/>
          <w:color w:val="auto"/>
          <w:spacing w:val="0"/>
          <w:sz w:val="32"/>
          <w:szCs w:val="32"/>
          <w:lang w:eastAsia="zh-CN"/>
        </w:rPr>
        <w:t>除上述项目以外其他不能划分到具体功能科目中的支出项目。</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28</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.基本支出：指为保障机构正常运转、完成日常工作任务而发生的人员支出和公用支出。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29</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.项目支出：指在基本支出之外为完成特定行政任务和事业发展目标所发生的支出。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30</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31</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rPr>
          <w:rFonts w:hint="default" w:ascii="Times New Roman" w:hAnsi="Times New Roman" w:eastAsia="黑体" w:cs="Times New Roman"/>
          <w:i w:val="0"/>
          <w:caps w:val="0"/>
          <w:color w:val="000000" w:themeColor="text1"/>
          <w:spacing w:val="0"/>
          <w:sz w:val="44"/>
          <w:szCs w:val="44"/>
          <w14:textFill>
            <w14:solidFill>
              <w14:schemeClr w14:val="tx1"/>
            </w14:solidFill>
          </w14:textFill>
        </w:rPr>
      </w:pPr>
      <w:bookmarkStart w:id="49" w:name="_Toc23996_WPSOffice_Level1"/>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rPr>
          <w:rFonts w:hint="default" w:ascii="Times New Roman" w:hAnsi="Times New Roman" w:eastAsia="黑体" w:cs="Times New Roman"/>
          <w:color w:val="000000" w:themeColor="text1"/>
          <w:sz w:val="44"/>
          <w:szCs w:val="44"/>
          <w14:textFill>
            <w14:solidFill>
              <w14:schemeClr w14:val="tx1"/>
            </w14:solidFill>
          </w14:textFill>
        </w:rPr>
      </w:pPr>
      <w:bookmarkStart w:id="50" w:name="_Toc3219_WPSOffice_Level1"/>
      <w:r>
        <w:rPr>
          <w:rFonts w:hint="default" w:ascii="Times New Roman" w:hAnsi="Times New Roman" w:eastAsia="黑体" w:cs="Times New Roman"/>
          <w:i w:val="0"/>
          <w:caps w:val="0"/>
          <w:color w:val="000000" w:themeColor="text1"/>
          <w:spacing w:val="0"/>
          <w:sz w:val="44"/>
          <w:szCs w:val="44"/>
          <w14:textFill>
            <w14:solidFill>
              <w14:schemeClr w14:val="tx1"/>
            </w14:solidFill>
          </w14:textFill>
        </w:rPr>
        <w:t>第四部分 附件</w:t>
      </w:r>
      <w:bookmarkEnd w:id="49"/>
      <w:bookmarkEnd w:id="50"/>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附件1</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eastAsia="黑体" w:cs="Times New Roman"/>
          <w:color w:val="000000" w:themeColor="text1"/>
          <w:sz w:val="44"/>
          <w:szCs w:val="44"/>
          <w14:textFill>
            <w14:solidFill>
              <w14:schemeClr w14:val="tx1"/>
            </w14:solidFill>
          </w14:textFill>
        </w:rPr>
      </w:pPr>
      <w:r>
        <w:rPr>
          <w:rFonts w:hint="default" w:ascii="Times New Roman" w:hAnsi="Times New Roman" w:eastAsia="黑体" w:cs="Times New Roman"/>
          <w:color w:val="000000" w:themeColor="text1"/>
          <w:sz w:val="44"/>
          <w:szCs w:val="44"/>
          <w14:textFill>
            <w14:solidFill>
              <w14:schemeClr w14:val="tx1"/>
            </w14:solidFill>
          </w14:textFill>
        </w:rPr>
        <w:t>攀枝花市人力资源和社会保障局</w:t>
      </w:r>
    </w:p>
    <w:p>
      <w:pPr>
        <w:pStyle w:val="11"/>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eastAsia="黑体" w:cs="Times New Roman"/>
          <w:color w:val="000000" w:themeColor="text1"/>
          <w:sz w:val="44"/>
          <w:szCs w:val="44"/>
          <w:lang w:eastAsia="zh-CN"/>
          <w14:textFill>
            <w14:solidFill>
              <w14:schemeClr w14:val="tx1"/>
            </w14:solidFill>
          </w14:textFill>
        </w:rPr>
      </w:pPr>
      <w:r>
        <w:rPr>
          <w:rFonts w:hint="default" w:ascii="Times New Roman" w:hAnsi="Times New Roman" w:eastAsia="黑体" w:cs="Times New Roman"/>
          <w:color w:val="000000" w:themeColor="text1"/>
          <w:sz w:val="44"/>
          <w:szCs w:val="44"/>
          <w:lang w:val="en-US" w:eastAsia="zh-CN"/>
          <w14:textFill>
            <w14:solidFill>
              <w14:schemeClr w14:val="tx1"/>
            </w14:solidFill>
          </w14:textFill>
        </w:rPr>
        <w:t>2025年度</w:t>
      </w:r>
      <w:r>
        <w:rPr>
          <w:rFonts w:hint="default" w:ascii="Times New Roman" w:hAnsi="Times New Roman" w:eastAsia="黑体" w:cs="Times New Roman"/>
          <w:color w:val="000000" w:themeColor="text1"/>
          <w:sz w:val="44"/>
          <w:szCs w:val="44"/>
          <w14:textFill>
            <w14:solidFill>
              <w14:schemeClr w14:val="tx1"/>
            </w14:solidFill>
          </w14:textFill>
        </w:rPr>
        <w:t>部门</w:t>
      </w:r>
      <w:r>
        <w:rPr>
          <w:rFonts w:hint="default" w:ascii="Times New Roman" w:hAnsi="Times New Roman" w:eastAsia="黑体" w:cs="Times New Roman"/>
          <w:color w:val="000000" w:themeColor="text1"/>
          <w:sz w:val="44"/>
          <w:szCs w:val="44"/>
          <w:lang w:eastAsia="zh-CN"/>
          <w14:textFill>
            <w14:solidFill>
              <w14:schemeClr w14:val="tx1"/>
            </w14:solidFill>
          </w14:textFill>
        </w:rPr>
        <w:t>预算</w:t>
      </w:r>
      <w:r>
        <w:rPr>
          <w:rFonts w:hint="default" w:ascii="Times New Roman" w:hAnsi="Times New Roman" w:eastAsia="黑体" w:cs="Times New Roman"/>
          <w:color w:val="000000" w:themeColor="text1"/>
          <w:sz w:val="44"/>
          <w:szCs w:val="44"/>
          <w14:textFill>
            <w14:solidFill>
              <w14:schemeClr w14:val="tx1"/>
            </w14:solidFill>
          </w14:textFill>
        </w:rPr>
        <w:t>绩效</w:t>
      </w:r>
      <w:r>
        <w:rPr>
          <w:rFonts w:hint="default" w:ascii="Times New Roman" w:hAnsi="Times New Roman" w:eastAsia="黑体" w:cs="Times New Roman"/>
          <w:color w:val="000000" w:themeColor="text1"/>
          <w:sz w:val="44"/>
          <w:szCs w:val="44"/>
          <w:lang w:eastAsia="zh-CN"/>
          <w14:textFill>
            <w14:solidFill>
              <w14:schemeClr w14:val="tx1"/>
            </w14:solidFill>
          </w14:textFill>
        </w:rPr>
        <w:t>评价报告</w:t>
      </w:r>
    </w:p>
    <w:p>
      <w:pPr>
        <w:pStyle w:val="11"/>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eastAsia="黑体" w:cs="Times New Roman"/>
          <w:color w:val="000000" w:themeColor="text1"/>
          <w:sz w:val="44"/>
          <w:szCs w:val="44"/>
          <w14:textFill>
            <w14:solidFill>
              <w14:schemeClr w14:val="tx1"/>
            </w14:solidFill>
          </w14:textFill>
        </w:rPr>
      </w:pPr>
    </w:p>
    <w:p>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color w:val="000000"/>
          <w:kern w:val="0"/>
          <w:sz w:val="32"/>
          <w:szCs w:val="32"/>
          <w:shd w:val="clear" w:color="auto" w:fill="FFFFFF"/>
          <w:lang w:val="zh-CN"/>
        </w:rPr>
        <w:t>一、部门（单位）基本情况</w:t>
      </w:r>
    </w:p>
    <w:p>
      <w:pPr>
        <w:keepNext w:val="0"/>
        <w:keepLines w:val="0"/>
        <w:pageBreakBefore w:val="0"/>
        <w:widowControl/>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（一）机构组成。</w:t>
      </w:r>
    </w:p>
    <w:p>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经市委、市政府批准同意，根据《中共攀枝花市委办公室</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攀枝花市人民政府办公室关于印发〈攀枝花市人力资源和社会保障局职能配置、内设机构和人员编制规定〉的通知》（攀委办〔2019〕53号）和《中共攀枝花市委机构编制委员会办公室关于调整市人力资源和社会保障局内设机构的通知》（攀编办〔2024〕74号），</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市人力资源社会保障局是攀枝花市人民政府工作部门，为正县级，局机关设置</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15个内设机构（不含机关党委）。下属独立编制单位6个，其中行政单位1个，其他事业单位5个。按预算级次分为：一级预算单位1个、二级预算单位4个、非独立核算单位1个</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（二）机构职能。</w:t>
      </w:r>
    </w:p>
    <w:p>
      <w:pPr>
        <w:pStyle w:val="11"/>
        <w:keepNext w:val="0"/>
        <w:keepLines w:val="0"/>
        <w:pageBreakBefore w:val="0"/>
        <w:widowControl/>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本部门主要承担以下职责和功能：</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贯彻执行国家、省人力资源和社会保障工作的</w:t>
      </w:r>
      <w:r>
        <w:rPr>
          <w:rFonts w:hint="default" w:ascii="Times New Roman" w:hAnsi="Times New Roman" w:eastAsia="仿宋_GB2312" w:cs="Times New Roman"/>
          <w:sz w:val="32"/>
          <w:szCs w:val="32"/>
          <w:lang w:eastAsia="zh-CN"/>
        </w:rPr>
        <w:t>法律法规</w:t>
      </w:r>
      <w:r>
        <w:rPr>
          <w:rFonts w:hint="default" w:ascii="Times New Roman" w:hAnsi="Times New Roman" w:eastAsia="仿宋_GB2312" w:cs="Times New Roman"/>
          <w:sz w:val="32"/>
          <w:szCs w:val="32"/>
        </w:rPr>
        <w:t>、规章和政策，拟订全市人力资源和社会保障事业发展规划、政策并组织实施，统筹推进人力资源和社会保障事业发展。</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拟订并组织实施全市人力资源市场发展规划和人力资源服务业发展、人力资源流动政策，促进人力资源合理流动，有效配置。</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负责促进就业工作。</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统筹推进建立覆盖全市城乡的多层次社会保障体系。</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负责就业、失业和相关社会保障基金预测预警和信息引导，拟订应对预案，实施预防、调节和控制，保持就业形势稳定和相关社会保险基金总体收支平衡。</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统筹拟订劳动人事争议调解仲裁制度和劳动关系政策，完善劳动关系协商协调机制。</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牵头推进深化职称制度改革。组织拟订技能人才培养评价、使用和激励制度。贯彻落实职业资格制度，健全职业技能多元化评价政策。指导、监督各级各类技工学校、民办职业培训机构按国家、省和我市有关规定履行安全管理责任。</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组织实施国家表彰制度，综合管理表彰奖励工作，承担全市评比达标表彰和市级部门表彰奖励工作，根据授权承办以市委、市政府名义开展的市级表彰活动。承办市委管理的部分领导人员的行政任免手续。</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会同有关部门指导实施事业单位人事制度改革。</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贯彻执行国家、省企业职工工资收入分配、支付、保障和调控政策，指导和监督国有企业工资总额管理和国有企业负责人工资收入分配。贯彻落实事业单位人员工资收入分配政策，建立企事业单位人员工资决定、正常增长和支付保障机制，贯彻落实企事业单位人员福利和退休政策。</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会同有关部门拟订劳务开发及农民工工作综合性政策和规划并推动相关政策的落实。</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受理人力资源和社会保障方面的信访事项，会同有关部门协调处理重大信访事件或突发事件。</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负责市人力资源社会保障领域的对外交流与合作工作。</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承担职责范围内的安全生产和职业健康、生态环境保护、审批服务便民化等工作。</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完成市委、市政府交办的其他任务。</w:t>
      </w:r>
    </w:p>
    <w:p>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b/>
          <w:bCs/>
          <w:color w:val="000000"/>
          <w:kern w:val="0"/>
          <w:sz w:val="32"/>
          <w:szCs w:val="32"/>
          <w:shd w:val="clear" w:color="auto" w:fill="FFFFFF"/>
          <w:lang w:val="zh-CN"/>
        </w:rPr>
      </w:pP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职能转变。深入推进简政放权、放管结合、优化服务改革，进一步减少行政审批事项，规范和优化对外办理事项，减少职业资格许可和认定等事项，实行职业资格目录清单管理，加强事中事后监管，创新就业和社会保障等公共服务方式，加强信息共享，提高公共服务水平。</w:t>
      </w:r>
    </w:p>
    <w:p>
      <w:pPr>
        <w:keepNext w:val="0"/>
        <w:keepLines w:val="0"/>
        <w:pageBreakBefore w:val="0"/>
        <w:widowControl/>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（三）人员概况。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截至</w:t>
      </w:r>
      <w:r>
        <w:rPr>
          <w:rFonts w:hint="default" w:ascii="Times New Roman" w:hAnsi="Times New Roman" w:eastAsia="仿宋_GB2312" w:cs="Times New Roman"/>
          <w:sz w:val="32"/>
          <w:szCs w:val="32"/>
          <w:lang w:val="en-US" w:eastAsia="zh-CN"/>
        </w:rPr>
        <w:t>2025年末，本部门及下属单位编制内</w:t>
      </w:r>
      <w:r>
        <w:rPr>
          <w:rFonts w:hint="default" w:ascii="Times New Roman" w:hAnsi="Times New Roman" w:eastAsia="仿宋_GB2312" w:cs="Times New Roman"/>
          <w:sz w:val="32"/>
          <w:szCs w:val="32"/>
        </w:rPr>
        <w:t>实有</w:t>
      </w:r>
      <w:r>
        <w:rPr>
          <w:rFonts w:hint="default" w:ascii="Times New Roman" w:hAnsi="Times New Roman" w:eastAsia="仿宋_GB2312" w:cs="Times New Roman"/>
          <w:sz w:val="32"/>
          <w:szCs w:val="32"/>
          <w:lang w:eastAsia="zh-CN"/>
        </w:rPr>
        <w:t>在职人员</w:t>
      </w:r>
      <w:r>
        <w:rPr>
          <w:rFonts w:hint="default" w:ascii="Times New Roman" w:hAnsi="Times New Roman" w:eastAsia="仿宋_GB2312" w:cs="Times New Roman"/>
          <w:sz w:val="32"/>
          <w:szCs w:val="32"/>
        </w:rPr>
        <w:t>人数</w:t>
      </w:r>
      <w:r>
        <w:rPr>
          <w:rFonts w:hint="default" w:ascii="Times New Roman" w:hAnsi="Times New Roman" w:eastAsia="仿宋_GB2312" w:cs="Times New Roman"/>
          <w:sz w:val="32"/>
          <w:szCs w:val="32"/>
          <w:lang w:val="en-US" w:eastAsia="zh-CN"/>
        </w:rPr>
        <w:t>98</w:t>
      </w:r>
      <w:r>
        <w:rPr>
          <w:rFonts w:hint="default" w:ascii="Times New Roman" w:hAnsi="Times New Roman" w:eastAsia="仿宋_GB2312" w:cs="Times New Roman"/>
          <w:sz w:val="32"/>
          <w:szCs w:val="32"/>
        </w:rPr>
        <w:t>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其中</w:t>
      </w:r>
      <w:r>
        <w:rPr>
          <w:rFonts w:hint="default" w:ascii="Times New Roman" w:hAnsi="Times New Roman" w:eastAsia="仿宋_GB2312" w:cs="Times New Roman"/>
          <w:sz w:val="32"/>
          <w:szCs w:val="32"/>
          <w:lang w:eastAsia="zh-CN"/>
        </w:rPr>
        <w:t>公务员</w:t>
      </w:r>
      <w:r>
        <w:rPr>
          <w:rFonts w:hint="default" w:ascii="Times New Roman" w:hAnsi="Times New Roman" w:eastAsia="仿宋_GB2312" w:cs="Times New Roman"/>
          <w:sz w:val="32"/>
          <w:szCs w:val="32"/>
          <w:lang w:val="en-US" w:eastAsia="zh-CN"/>
        </w:rPr>
        <w:t>46</w:t>
      </w:r>
      <w:r>
        <w:rPr>
          <w:rFonts w:hint="default" w:ascii="Times New Roman" w:hAnsi="Times New Roman" w:eastAsia="仿宋_GB2312" w:cs="Times New Roman"/>
          <w:sz w:val="32"/>
          <w:szCs w:val="32"/>
        </w:rPr>
        <w:t>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事业管理人员和专业技术人员</w:t>
      </w:r>
      <w:r>
        <w:rPr>
          <w:rFonts w:hint="default" w:ascii="Times New Roman" w:hAnsi="Times New Roman" w:eastAsia="仿宋_GB2312" w:cs="Times New Roman"/>
          <w:sz w:val="32"/>
          <w:szCs w:val="32"/>
          <w:lang w:val="en-US" w:eastAsia="zh-CN"/>
        </w:rPr>
        <w:t>49</w:t>
      </w:r>
      <w:r>
        <w:rPr>
          <w:rFonts w:hint="default" w:ascii="Times New Roman" w:hAnsi="Times New Roman" w:eastAsia="仿宋_GB2312" w:cs="Times New Roman"/>
          <w:sz w:val="32"/>
          <w:szCs w:val="32"/>
        </w:rPr>
        <w:t>人</w:t>
      </w:r>
      <w:r>
        <w:rPr>
          <w:rFonts w:hint="default" w:ascii="Times New Roman" w:hAnsi="Times New Roman" w:eastAsia="仿宋_GB2312" w:cs="Times New Roman"/>
          <w:sz w:val="32"/>
          <w:szCs w:val="32"/>
          <w:lang w:eastAsia="zh-CN"/>
        </w:rPr>
        <w:t>、机关和事业工人</w:t>
      </w:r>
      <w:r>
        <w:rPr>
          <w:rFonts w:hint="default" w:ascii="Times New Roman" w:hAnsi="Times New Roman" w:eastAsia="仿宋_GB2312" w:cs="Times New Roman"/>
          <w:sz w:val="32"/>
          <w:szCs w:val="32"/>
          <w:lang w:val="en-US" w:eastAsia="zh-CN"/>
        </w:rPr>
        <w:t>3人</w:t>
      </w:r>
      <w:r>
        <w:rPr>
          <w:rFonts w:hint="default" w:ascii="Times New Roman" w:hAnsi="Times New Roman" w:eastAsia="仿宋_GB2312" w:cs="Times New Roman"/>
          <w:sz w:val="32"/>
          <w:szCs w:val="32"/>
        </w:rPr>
        <w:t>。</w:t>
      </w:r>
    </w:p>
    <w:p>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黑体" w:cs="Times New Roman"/>
          <w:color w:val="000000"/>
          <w:kern w:val="0"/>
          <w:sz w:val="32"/>
          <w:szCs w:val="32"/>
          <w:shd w:val="clear" w:color="auto" w:fill="FFFFFF"/>
        </w:rPr>
      </w:pPr>
      <w:r>
        <w:rPr>
          <w:rFonts w:hint="default" w:ascii="Times New Roman" w:hAnsi="Times New Roman" w:eastAsia="黑体" w:cs="Times New Roman"/>
          <w:color w:val="000000"/>
          <w:kern w:val="0"/>
          <w:sz w:val="32"/>
          <w:szCs w:val="32"/>
          <w:shd w:val="clear" w:color="auto" w:fill="FFFFFF"/>
        </w:rPr>
        <w:t>二、部门资金收支情况</w:t>
      </w:r>
    </w:p>
    <w:p>
      <w:pPr>
        <w:keepNext w:val="0"/>
        <w:keepLines w:val="0"/>
        <w:pageBreakBefore w:val="0"/>
        <w:widowControl/>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（一）收入情况。</w:t>
      </w:r>
    </w:p>
    <w:p>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sz w:val="32"/>
          <w:szCs w:val="32"/>
          <w:lang w:eastAsia="zh-CN"/>
        </w:rPr>
        <w:t>本部门</w:t>
      </w: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年年初预算</w:t>
      </w:r>
      <w:r>
        <w:rPr>
          <w:rFonts w:hint="default" w:ascii="Times New Roman" w:hAnsi="Times New Roman" w:eastAsia="仿宋_GB2312" w:cs="Times New Roman"/>
          <w:color w:val="000000"/>
          <w:sz w:val="32"/>
          <w:szCs w:val="32"/>
          <w:lang w:eastAsia="zh-CN"/>
        </w:rPr>
        <w:t>收入</w:t>
      </w:r>
      <w:r>
        <w:rPr>
          <w:rFonts w:hint="default" w:ascii="Times New Roman" w:hAnsi="Times New Roman" w:eastAsia="仿宋_GB2312" w:cs="Times New Roman"/>
          <w:color w:val="000000"/>
          <w:sz w:val="32"/>
          <w:szCs w:val="32"/>
          <w:lang w:val="en-US" w:eastAsia="zh-CN"/>
        </w:rPr>
        <w:t>2430.05</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val="en-US" w:eastAsia="zh-CN"/>
        </w:rPr>
        <w:t>决算报表</w:t>
      </w:r>
      <w:r>
        <w:rPr>
          <w:rFonts w:hint="default" w:ascii="Times New Roman" w:hAnsi="Times New Roman" w:eastAsia="仿宋_GB2312" w:cs="Times New Roman"/>
          <w:color w:val="000000"/>
          <w:sz w:val="32"/>
          <w:szCs w:val="32"/>
          <w:lang w:eastAsia="zh-CN"/>
        </w:rPr>
        <w:t>收入</w:t>
      </w:r>
      <w:r>
        <w:rPr>
          <w:rFonts w:hint="default" w:ascii="Times New Roman" w:hAnsi="Times New Roman" w:eastAsia="仿宋_GB2312" w:cs="Times New Roman"/>
          <w:color w:val="000000"/>
          <w:sz w:val="32"/>
          <w:szCs w:val="32"/>
          <w:lang w:val="en-US" w:eastAsia="zh-CN"/>
        </w:rPr>
        <w:t>5971.42</w:t>
      </w:r>
      <w:r>
        <w:rPr>
          <w:rFonts w:hint="default" w:ascii="Times New Roman" w:hAnsi="Times New Roman" w:eastAsia="仿宋_GB2312" w:cs="Times New Roman"/>
          <w:color w:val="000000"/>
          <w:sz w:val="32"/>
          <w:szCs w:val="32"/>
          <w:lang w:eastAsia="zh-CN"/>
        </w:rPr>
        <w:t>万元。其中：年初结转和结余</w:t>
      </w:r>
      <w:r>
        <w:rPr>
          <w:rFonts w:hint="default" w:ascii="Times New Roman" w:hAnsi="Times New Roman" w:eastAsia="仿宋_GB2312" w:cs="Times New Roman"/>
          <w:color w:val="000000"/>
          <w:sz w:val="32"/>
          <w:szCs w:val="32"/>
          <w:lang w:val="en-US" w:eastAsia="zh-CN"/>
        </w:rPr>
        <w:t>71.93万元，占1.20%；</w:t>
      </w:r>
      <w:r>
        <w:rPr>
          <w:rFonts w:hint="default" w:ascii="Times New Roman" w:hAnsi="Times New Roman" w:eastAsia="仿宋_GB2312" w:cs="Times New Roman"/>
          <w:color w:val="000000"/>
          <w:kern w:val="0"/>
          <w:sz w:val="32"/>
          <w:szCs w:val="32"/>
          <w:shd w:val="clear" w:color="auto" w:fill="FFFFFF"/>
        </w:rPr>
        <w:t>一般公共预算</w:t>
      </w:r>
      <w:r>
        <w:rPr>
          <w:rFonts w:hint="default" w:ascii="Times New Roman" w:hAnsi="Times New Roman" w:eastAsia="仿宋_GB2312" w:cs="Times New Roman"/>
          <w:color w:val="000000"/>
          <w:kern w:val="0"/>
          <w:sz w:val="32"/>
          <w:szCs w:val="32"/>
          <w:shd w:val="clear" w:color="auto" w:fill="FFFFFF"/>
          <w:lang w:eastAsia="zh-CN"/>
        </w:rPr>
        <w:t>财政</w:t>
      </w:r>
      <w:r>
        <w:rPr>
          <w:rFonts w:hint="default" w:ascii="Times New Roman" w:hAnsi="Times New Roman" w:eastAsia="仿宋_GB2312" w:cs="Times New Roman"/>
          <w:color w:val="000000"/>
          <w:kern w:val="0"/>
          <w:sz w:val="32"/>
          <w:szCs w:val="32"/>
          <w:shd w:val="clear" w:color="auto" w:fill="FFFFFF"/>
        </w:rPr>
        <w:t>拨款收入</w:t>
      </w:r>
      <w:r>
        <w:rPr>
          <w:rFonts w:hint="default" w:ascii="Times New Roman" w:hAnsi="Times New Roman" w:eastAsia="仿宋_GB2312" w:cs="Times New Roman"/>
          <w:color w:val="000000"/>
          <w:kern w:val="0"/>
          <w:sz w:val="32"/>
          <w:szCs w:val="32"/>
          <w:shd w:val="clear" w:color="auto" w:fill="FFFFFF"/>
          <w:lang w:val="en-US" w:eastAsia="zh-CN"/>
        </w:rPr>
        <w:t>5288.17</w:t>
      </w:r>
      <w:r>
        <w:rPr>
          <w:rFonts w:hint="default" w:ascii="Times New Roman" w:hAnsi="Times New Roman" w:eastAsia="仿宋_GB2312" w:cs="Times New Roman"/>
          <w:color w:val="000000"/>
          <w:kern w:val="0"/>
          <w:sz w:val="32"/>
          <w:szCs w:val="32"/>
          <w:shd w:val="clear" w:color="auto" w:fill="FFFFFF"/>
        </w:rPr>
        <w:t>万元</w:t>
      </w:r>
      <w:r>
        <w:rPr>
          <w:rFonts w:hint="default" w:ascii="Times New Roman" w:hAnsi="Times New Roman" w:eastAsia="仿宋_GB2312" w:cs="Times New Roman"/>
          <w:color w:val="000000"/>
          <w:kern w:val="0"/>
          <w:sz w:val="32"/>
          <w:szCs w:val="32"/>
          <w:shd w:val="clear" w:color="auto" w:fill="FFFFFF"/>
          <w:lang w:eastAsia="zh-CN"/>
        </w:rPr>
        <w:t>，占</w:t>
      </w:r>
      <w:r>
        <w:rPr>
          <w:rFonts w:hint="default" w:ascii="Times New Roman" w:hAnsi="Times New Roman" w:eastAsia="仿宋_GB2312" w:cs="Times New Roman"/>
          <w:color w:val="000000"/>
          <w:kern w:val="0"/>
          <w:sz w:val="32"/>
          <w:szCs w:val="32"/>
          <w:shd w:val="clear" w:color="auto" w:fill="FFFFFF"/>
          <w:lang w:val="en-US" w:eastAsia="zh-CN"/>
        </w:rPr>
        <w:t>88.56%；</w:t>
      </w:r>
      <w:r>
        <w:rPr>
          <w:rFonts w:hint="default" w:ascii="Times New Roman" w:hAnsi="Times New Roman" w:eastAsia="仿宋_GB2312" w:cs="Times New Roman"/>
          <w:color w:val="000000"/>
          <w:kern w:val="0"/>
          <w:sz w:val="32"/>
          <w:szCs w:val="32"/>
          <w:shd w:val="clear" w:color="auto" w:fill="FFFFFF"/>
        </w:rPr>
        <w:t>政府性基金预算财政拨款收入</w:t>
      </w:r>
      <w:r>
        <w:rPr>
          <w:rFonts w:hint="default" w:ascii="Times New Roman" w:hAnsi="Times New Roman" w:eastAsia="仿宋_GB2312" w:cs="Times New Roman"/>
          <w:color w:val="000000"/>
          <w:kern w:val="0"/>
          <w:sz w:val="32"/>
          <w:szCs w:val="32"/>
          <w:shd w:val="clear" w:color="auto" w:fill="FFFFFF"/>
          <w:lang w:val="en-US" w:eastAsia="zh-CN"/>
        </w:rPr>
        <w:t>3.60</w:t>
      </w:r>
      <w:r>
        <w:rPr>
          <w:rFonts w:hint="default" w:ascii="Times New Roman" w:hAnsi="Times New Roman" w:eastAsia="仿宋_GB2312" w:cs="Times New Roman"/>
          <w:color w:val="000000"/>
          <w:kern w:val="0"/>
          <w:sz w:val="32"/>
          <w:szCs w:val="32"/>
          <w:shd w:val="clear" w:color="auto" w:fill="FFFFFF"/>
        </w:rPr>
        <w:t>万元</w:t>
      </w:r>
      <w:r>
        <w:rPr>
          <w:rFonts w:hint="default" w:ascii="Times New Roman" w:hAnsi="Times New Roman" w:eastAsia="仿宋_GB2312" w:cs="Times New Roman"/>
          <w:color w:val="000000"/>
          <w:kern w:val="0"/>
          <w:sz w:val="32"/>
          <w:szCs w:val="32"/>
          <w:shd w:val="clear" w:color="auto" w:fill="FFFFFF"/>
          <w:lang w:eastAsia="zh-CN"/>
        </w:rPr>
        <w:t>，占</w:t>
      </w:r>
      <w:r>
        <w:rPr>
          <w:rFonts w:hint="default" w:ascii="Times New Roman" w:hAnsi="Times New Roman" w:eastAsia="仿宋_GB2312" w:cs="Times New Roman"/>
          <w:color w:val="000000"/>
          <w:kern w:val="0"/>
          <w:sz w:val="32"/>
          <w:szCs w:val="32"/>
          <w:shd w:val="clear" w:color="auto" w:fill="FFFFFF"/>
          <w:lang w:val="en-US" w:eastAsia="zh-CN"/>
        </w:rPr>
        <w:t>0.06%</w:t>
      </w:r>
      <w:r>
        <w:rPr>
          <w:rFonts w:hint="default" w:ascii="Times New Roman" w:hAnsi="Times New Roman" w:eastAsia="仿宋_GB2312" w:cs="Times New Roman"/>
          <w:color w:val="000000"/>
          <w:kern w:val="0"/>
          <w:sz w:val="32"/>
          <w:szCs w:val="32"/>
          <w:shd w:val="clear" w:color="auto" w:fill="FFFFFF"/>
          <w:lang w:eastAsia="zh-CN"/>
        </w:rPr>
        <w:t>；其他收</w:t>
      </w:r>
      <w:r>
        <w:rPr>
          <w:rFonts w:hint="default" w:ascii="Times New Roman" w:hAnsi="Times New Roman" w:eastAsia="仿宋_GB2312" w:cs="Times New Roman"/>
          <w:color w:val="000000"/>
          <w:kern w:val="0"/>
          <w:sz w:val="32"/>
          <w:szCs w:val="32"/>
          <w:highlight w:val="none"/>
          <w:shd w:val="clear" w:color="auto" w:fill="FFFFFF"/>
          <w:lang w:eastAsia="zh-CN"/>
        </w:rPr>
        <w:t>入</w:t>
      </w:r>
      <w:r>
        <w:rPr>
          <w:rFonts w:hint="default" w:ascii="Times New Roman" w:hAnsi="Times New Roman" w:eastAsia="仿宋_GB2312" w:cs="Times New Roman"/>
          <w:color w:val="000000"/>
          <w:kern w:val="0"/>
          <w:sz w:val="32"/>
          <w:szCs w:val="32"/>
          <w:highlight w:val="none"/>
          <w:shd w:val="clear" w:color="auto" w:fill="FFFFFF"/>
          <w:lang w:val="en-US" w:eastAsia="zh-CN"/>
        </w:rPr>
        <w:t>607.72万元，占10.18%。</w:t>
      </w:r>
    </w:p>
    <w:p>
      <w:pPr>
        <w:keepNext w:val="0"/>
        <w:keepLines w:val="0"/>
        <w:pageBreakBefore w:val="0"/>
        <w:widowControl/>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en-US" w:eastAsia="zh-CN"/>
        </w:rPr>
        <w:t>（二）</w:t>
      </w:r>
      <w:r>
        <w:rPr>
          <w:rFonts w:hint="default" w:ascii="Times New Roman" w:hAnsi="Times New Roman" w:eastAsia="楷体_GB2312" w:cs="Times New Roman"/>
          <w:b/>
          <w:bCs/>
          <w:color w:val="000000"/>
          <w:kern w:val="0"/>
          <w:sz w:val="32"/>
          <w:szCs w:val="32"/>
          <w:shd w:val="clear" w:color="auto" w:fill="FFFFFF"/>
          <w:lang w:val="zh-CN"/>
        </w:rPr>
        <w:t>支出情况。</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color w:val="000000"/>
          <w:kern w:val="0"/>
          <w:sz w:val="32"/>
          <w:szCs w:val="32"/>
          <w:shd w:val="clear" w:color="auto" w:fill="FFFFFF"/>
          <w:lang w:eastAsia="zh-CN"/>
        </w:rPr>
        <w:t>本部门</w:t>
      </w: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年年初预算</w:t>
      </w:r>
      <w:r>
        <w:rPr>
          <w:rFonts w:hint="default" w:ascii="Times New Roman" w:hAnsi="Times New Roman" w:eastAsia="仿宋_GB2312" w:cs="Times New Roman"/>
          <w:color w:val="000000"/>
          <w:sz w:val="32"/>
          <w:szCs w:val="32"/>
          <w:lang w:eastAsia="zh-CN"/>
        </w:rPr>
        <w:t>支出</w:t>
      </w:r>
      <w:r>
        <w:rPr>
          <w:rFonts w:hint="default" w:ascii="Times New Roman" w:hAnsi="Times New Roman" w:eastAsia="仿宋_GB2312" w:cs="Times New Roman"/>
          <w:color w:val="000000"/>
          <w:sz w:val="32"/>
          <w:szCs w:val="32"/>
          <w:lang w:val="en-US" w:eastAsia="zh-CN"/>
        </w:rPr>
        <w:t>2430.05万元，决算报表支出5563.73万元。其中：</w:t>
      </w:r>
      <w:r>
        <w:rPr>
          <w:rFonts w:hint="default" w:ascii="Times New Roman" w:hAnsi="Times New Roman" w:eastAsia="仿宋_GB2312" w:cs="Times New Roman"/>
          <w:color w:val="000000"/>
          <w:kern w:val="0"/>
          <w:sz w:val="32"/>
          <w:szCs w:val="32"/>
          <w:shd w:val="clear" w:color="auto" w:fill="FFFFFF"/>
        </w:rPr>
        <w:t>基本支出</w:t>
      </w:r>
      <w:r>
        <w:rPr>
          <w:rFonts w:hint="default" w:ascii="Times New Roman" w:hAnsi="Times New Roman" w:eastAsia="仿宋_GB2312" w:cs="Times New Roman"/>
          <w:color w:val="000000"/>
          <w:kern w:val="0"/>
          <w:sz w:val="32"/>
          <w:szCs w:val="32"/>
          <w:shd w:val="clear" w:color="auto" w:fill="FFFFFF"/>
          <w:lang w:val="en-US" w:eastAsia="zh-CN"/>
        </w:rPr>
        <w:t>2508.87</w:t>
      </w:r>
      <w:r>
        <w:rPr>
          <w:rFonts w:hint="default" w:ascii="Times New Roman" w:hAnsi="Times New Roman" w:eastAsia="仿宋_GB2312" w:cs="Times New Roman"/>
          <w:color w:val="000000"/>
          <w:kern w:val="0"/>
          <w:sz w:val="32"/>
          <w:szCs w:val="32"/>
          <w:shd w:val="clear" w:color="auto" w:fill="FFFFFF"/>
        </w:rPr>
        <w:t>万元，占</w:t>
      </w:r>
      <w:r>
        <w:rPr>
          <w:rFonts w:hint="default" w:ascii="Times New Roman" w:hAnsi="Times New Roman" w:eastAsia="仿宋_GB2312" w:cs="Times New Roman"/>
          <w:color w:val="000000"/>
          <w:kern w:val="0"/>
          <w:sz w:val="32"/>
          <w:szCs w:val="32"/>
          <w:shd w:val="clear" w:color="auto" w:fill="FFFFFF"/>
          <w:lang w:val="en-US" w:eastAsia="zh-CN"/>
        </w:rPr>
        <w:t>45.09%；</w:t>
      </w:r>
      <w:r>
        <w:rPr>
          <w:rFonts w:hint="default" w:ascii="Times New Roman" w:hAnsi="Times New Roman" w:eastAsia="仿宋_GB2312" w:cs="Times New Roman"/>
          <w:color w:val="000000"/>
          <w:kern w:val="0"/>
          <w:sz w:val="32"/>
          <w:szCs w:val="32"/>
          <w:shd w:val="clear" w:color="auto" w:fill="FFFFFF"/>
        </w:rPr>
        <w:t>项目支出</w:t>
      </w:r>
      <w:r>
        <w:rPr>
          <w:rFonts w:hint="default" w:ascii="Times New Roman" w:hAnsi="Times New Roman" w:eastAsia="仿宋_GB2312" w:cs="Times New Roman"/>
          <w:color w:val="000000"/>
          <w:kern w:val="0"/>
          <w:sz w:val="32"/>
          <w:szCs w:val="32"/>
          <w:shd w:val="clear" w:color="auto" w:fill="FFFFFF"/>
          <w:lang w:val="en-US" w:eastAsia="zh-CN"/>
        </w:rPr>
        <w:t>3054.86</w:t>
      </w:r>
      <w:r>
        <w:rPr>
          <w:rFonts w:hint="default" w:ascii="Times New Roman" w:hAnsi="Times New Roman" w:eastAsia="仿宋_GB2312" w:cs="Times New Roman"/>
          <w:color w:val="000000"/>
          <w:kern w:val="0"/>
          <w:sz w:val="32"/>
          <w:szCs w:val="32"/>
          <w:shd w:val="clear" w:color="auto" w:fill="FFFFFF"/>
        </w:rPr>
        <w:t>万元，占</w:t>
      </w:r>
      <w:r>
        <w:rPr>
          <w:rFonts w:hint="default" w:ascii="Times New Roman" w:hAnsi="Times New Roman" w:eastAsia="仿宋_GB2312" w:cs="Times New Roman"/>
          <w:color w:val="000000"/>
          <w:kern w:val="0"/>
          <w:sz w:val="32"/>
          <w:szCs w:val="32"/>
          <w:shd w:val="clear" w:color="auto" w:fill="FFFFFF"/>
          <w:lang w:val="en-US" w:eastAsia="zh-CN"/>
        </w:rPr>
        <w:t>54.91</w:t>
      </w:r>
      <w:r>
        <w:rPr>
          <w:rFonts w:hint="default" w:ascii="Times New Roman" w:hAnsi="Times New Roman" w:eastAsia="仿宋_GB2312" w:cs="Times New Roman"/>
          <w:color w:val="000000"/>
          <w:kern w:val="0"/>
          <w:sz w:val="32"/>
          <w:szCs w:val="32"/>
          <w:shd w:val="clear" w:color="auto" w:fill="FFFFFF"/>
        </w:rPr>
        <w:t>%。</w:t>
      </w:r>
    </w:p>
    <w:p>
      <w:pPr>
        <w:keepNext w:val="0"/>
        <w:keepLines w:val="0"/>
        <w:pageBreakBefore w:val="0"/>
        <w:widowControl/>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楷体_GB2312" w:cs="Times New Roman"/>
          <w:b/>
          <w:bCs/>
          <w:color w:val="000000"/>
          <w:kern w:val="0"/>
          <w:sz w:val="32"/>
          <w:szCs w:val="32"/>
          <w:shd w:val="clear" w:color="auto" w:fill="FFFFFF"/>
          <w:lang w:val="zh-CN" w:eastAsia="zh-CN"/>
        </w:rPr>
      </w:pPr>
      <w:r>
        <w:rPr>
          <w:rFonts w:hint="default" w:ascii="Times New Roman" w:hAnsi="Times New Roman" w:eastAsia="楷体_GB2312" w:cs="Times New Roman"/>
          <w:b/>
          <w:bCs/>
          <w:color w:val="000000"/>
          <w:kern w:val="0"/>
          <w:sz w:val="32"/>
          <w:szCs w:val="32"/>
          <w:shd w:val="clear" w:color="auto" w:fill="FFFFFF"/>
          <w:lang w:val="en-US" w:eastAsia="zh-CN"/>
        </w:rPr>
        <w:t>（三）结余分配和结转结余情况。</w:t>
      </w:r>
    </w:p>
    <w:p>
      <w:pPr>
        <w:pStyle w:val="2"/>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default" w:ascii="Times New Roman" w:hAnsi="Times New Roman" w:cs="Times New Roman"/>
          <w:b w:val="0"/>
          <w:bCs/>
          <w:sz w:val="32"/>
          <w:szCs w:val="32"/>
        </w:rPr>
      </w:pPr>
      <w:r>
        <w:rPr>
          <w:rFonts w:hint="default" w:ascii="Times New Roman" w:hAnsi="Times New Roman" w:eastAsia="仿宋_GB2312" w:cs="Times New Roman"/>
          <w:b w:val="0"/>
          <w:bCs/>
          <w:sz w:val="32"/>
          <w:szCs w:val="32"/>
          <w:lang w:val="zh-CN"/>
        </w:rPr>
        <w:t>本部门</w:t>
      </w:r>
      <w:r>
        <w:rPr>
          <w:rFonts w:hint="default" w:ascii="Times New Roman" w:hAnsi="Times New Roman" w:eastAsia="仿宋_GB2312" w:cs="Times New Roman"/>
          <w:b w:val="0"/>
          <w:bCs/>
          <w:sz w:val="32"/>
          <w:szCs w:val="32"/>
          <w:lang w:val="en-US" w:eastAsia="zh-CN"/>
        </w:rPr>
        <w:t>2025年决算报表</w:t>
      </w:r>
      <w:r>
        <w:rPr>
          <w:rFonts w:hint="default" w:ascii="Times New Roman" w:hAnsi="Times New Roman" w:eastAsia="仿宋_GB2312" w:cs="Times New Roman"/>
          <w:b w:val="0"/>
          <w:bCs/>
          <w:sz w:val="32"/>
          <w:szCs w:val="32"/>
          <w:lang w:val="zh-CN"/>
        </w:rPr>
        <w:t>年末结转和结余</w:t>
      </w:r>
      <w:r>
        <w:rPr>
          <w:rFonts w:hint="default" w:ascii="Times New Roman" w:hAnsi="Times New Roman" w:eastAsia="仿宋_GB2312" w:cs="Times New Roman"/>
          <w:b w:val="0"/>
          <w:bCs/>
          <w:sz w:val="32"/>
          <w:szCs w:val="32"/>
          <w:lang w:val="en-US" w:eastAsia="zh-CN"/>
        </w:rPr>
        <w:t>407.69万元，全部为</w:t>
      </w:r>
      <w:r>
        <w:rPr>
          <w:rFonts w:hint="default" w:ascii="Times New Roman" w:hAnsi="Times New Roman" w:eastAsia="仿宋_GB2312" w:cs="Times New Roman"/>
          <w:b w:val="0"/>
          <w:bCs/>
          <w:sz w:val="32"/>
          <w:szCs w:val="32"/>
          <w:lang w:val="zh-CN"/>
        </w:rPr>
        <w:t>攀枝花市人事考试中心的项目支出</w:t>
      </w:r>
      <w:r>
        <w:rPr>
          <w:rFonts w:hint="default" w:ascii="Times New Roman" w:hAnsi="Times New Roman" w:eastAsia="仿宋_GB2312" w:cs="Times New Roman"/>
          <w:b w:val="0"/>
          <w:bCs/>
          <w:color w:val="000000"/>
          <w:kern w:val="0"/>
          <w:sz w:val="32"/>
          <w:szCs w:val="32"/>
          <w:shd w:val="clear" w:color="auto" w:fill="FFFFFF"/>
        </w:rPr>
        <w:t>结余</w:t>
      </w:r>
      <w:r>
        <w:rPr>
          <w:rFonts w:hint="default" w:ascii="Times New Roman" w:hAnsi="Times New Roman" w:eastAsia="仿宋_GB2312" w:cs="Times New Roman"/>
          <w:b w:val="0"/>
          <w:bCs/>
          <w:color w:val="000000"/>
          <w:kern w:val="0"/>
          <w:sz w:val="32"/>
          <w:szCs w:val="32"/>
          <w:shd w:val="clear" w:color="auto" w:fill="FFFFFF"/>
          <w:lang w:eastAsia="zh-CN"/>
        </w:rPr>
        <w:t>，</w:t>
      </w:r>
      <w:r>
        <w:rPr>
          <w:rFonts w:hint="default" w:ascii="Times New Roman" w:hAnsi="Times New Roman" w:eastAsia="仿宋_GB2312" w:cs="Times New Roman"/>
          <w:b w:val="0"/>
          <w:bCs/>
          <w:color w:val="000000"/>
          <w:kern w:val="0"/>
          <w:sz w:val="32"/>
          <w:szCs w:val="32"/>
          <w:shd w:val="clear" w:color="auto" w:fill="FFFFFF"/>
          <w:lang w:val="en-US" w:eastAsia="zh-CN"/>
        </w:rPr>
        <w:t>该项目</w:t>
      </w:r>
      <w:r>
        <w:rPr>
          <w:rFonts w:hint="default" w:ascii="Times New Roman" w:hAnsi="Times New Roman" w:eastAsia="仿宋_GB2312" w:cs="Times New Roman"/>
          <w:b w:val="0"/>
          <w:bCs/>
          <w:sz w:val="32"/>
          <w:szCs w:val="32"/>
        </w:rPr>
        <w:t>为省人事考试中心</w:t>
      </w:r>
      <w:r>
        <w:rPr>
          <w:rFonts w:hint="default" w:ascii="Times New Roman" w:hAnsi="Times New Roman" w:eastAsia="仿宋_GB2312" w:cs="Times New Roman"/>
          <w:b w:val="0"/>
          <w:bCs/>
          <w:sz w:val="32"/>
          <w:szCs w:val="32"/>
          <w:lang w:eastAsia="zh-CN"/>
        </w:rPr>
        <w:t>核</w:t>
      </w:r>
      <w:r>
        <w:rPr>
          <w:rFonts w:hint="default" w:ascii="Times New Roman" w:hAnsi="Times New Roman" w:eastAsia="仿宋_GB2312" w:cs="Times New Roman"/>
          <w:b w:val="0"/>
          <w:bCs/>
          <w:sz w:val="32"/>
          <w:szCs w:val="32"/>
        </w:rPr>
        <w:t>拨的考点考试工作经费，</w:t>
      </w:r>
      <w:r>
        <w:rPr>
          <w:rFonts w:hint="default" w:ascii="Times New Roman" w:hAnsi="Times New Roman" w:eastAsia="仿宋_GB2312" w:cs="Times New Roman"/>
          <w:b w:val="0"/>
          <w:bCs/>
          <w:sz w:val="32"/>
          <w:szCs w:val="32"/>
          <w:lang w:eastAsia="zh-CN"/>
        </w:rPr>
        <w:t>主要</w:t>
      </w:r>
      <w:r>
        <w:rPr>
          <w:rFonts w:hint="default" w:ascii="Times New Roman" w:hAnsi="Times New Roman" w:eastAsia="仿宋_GB2312" w:cs="Times New Roman"/>
          <w:b w:val="0"/>
          <w:bCs/>
          <w:sz w:val="32"/>
          <w:szCs w:val="32"/>
        </w:rPr>
        <w:t>用于各类考试相关费用的支出。</w:t>
      </w:r>
    </w:p>
    <w:p>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pPr>
      <w:r>
        <w:rPr>
          <w:rFonts w:hint="default" w:ascii="Times New Roman" w:hAnsi="Times New Roman" w:eastAsia="黑体" w:cs="Times New Roman"/>
          <w:color w:val="000000"/>
          <w:kern w:val="0"/>
          <w:sz w:val="32"/>
          <w:szCs w:val="32"/>
          <w:shd w:val="clear" w:color="auto" w:fill="FFFFFF"/>
        </w:rPr>
        <w:t>三、部门预算绩效分析</w:t>
      </w:r>
    </w:p>
    <w:p>
      <w:pPr>
        <w:keepNext w:val="0"/>
        <w:keepLines w:val="0"/>
        <w:pageBreakBefore w:val="0"/>
        <w:widowControl/>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楷体_GB2312" w:cs="Times New Roman"/>
          <w:b/>
          <w:bCs/>
          <w:color w:val="000000"/>
          <w:kern w:val="0"/>
          <w:sz w:val="32"/>
          <w:szCs w:val="32"/>
          <w:shd w:val="clear" w:color="auto" w:fill="FFFFFF"/>
          <w:lang w:val="zh-CN" w:eastAsia="zh-CN"/>
        </w:rPr>
      </w:pPr>
      <w:r>
        <w:rPr>
          <w:rFonts w:hint="default" w:ascii="Times New Roman" w:hAnsi="Times New Roman" w:eastAsia="楷体_GB2312" w:cs="Times New Roman"/>
          <w:b/>
          <w:bCs/>
          <w:color w:val="000000"/>
          <w:kern w:val="0"/>
          <w:sz w:val="32"/>
          <w:szCs w:val="32"/>
          <w:shd w:val="clear" w:color="auto" w:fill="FFFFFF"/>
          <w:lang w:val="zh-CN" w:eastAsia="zh-CN"/>
        </w:rPr>
        <w:t>（一）部门预算总体绩效分析。</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Times New Roman" w:hAnsi="Times New Roman" w:eastAsia="仿宋_GB2312" w:cs="Times New Roman"/>
          <w:b/>
          <w:bCs/>
          <w:color w:val="000000"/>
          <w:kern w:val="0"/>
          <w:sz w:val="32"/>
          <w:szCs w:val="32"/>
          <w:shd w:val="clear" w:color="auto" w:fill="FFFFFF"/>
          <w:lang w:val="zh-CN"/>
        </w:rPr>
      </w:pPr>
      <w:r>
        <w:rPr>
          <w:rFonts w:hint="default" w:ascii="Times New Roman" w:hAnsi="Times New Roman" w:eastAsia="仿宋_GB2312" w:cs="Times New Roman"/>
          <w:b/>
          <w:bCs/>
          <w:color w:val="000000"/>
          <w:kern w:val="0"/>
          <w:sz w:val="32"/>
          <w:szCs w:val="32"/>
          <w:shd w:val="clear" w:color="auto" w:fill="FFFFFF"/>
        </w:rPr>
        <w:t>1.</w:t>
      </w:r>
      <w:r>
        <w:rPr>
          <w:rFonts w:hint="default" w:ascii="Times New Roman" w:hAnsi="Times New Roman" w:eastAsia="仿宋_GB2312" w:cs="Times New Roman"/>
          <w:b/>
          <w:bCs/>
          <w:color w:val="000000"/>
          <w:kern w:val="0"/>
          <w:sz w:val="32"/>
          <w:szCs w:val="32"/>
          <w:shd w:val="clear" w:color="auto" w:fill="FFFFFF"/>
          <w:lang w:val="zh-CN"/>
        </w:rPr>
        <w:t>履职效能。</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Times New Roman" w:hAnsi="Times New Roman" w:eastAsia="仿宋_GB2312" w:cs="Times New Roman"/>
          <w:sz w:val="32"/>
          <w:szCs w:val="32"/>
          <w:lang w:val="zh-CN"/>
        </w:rPr>
      </w:pPr>
      <w:r>
        <w:rPr>
          <w:rFonts w:hint="default" w:ascii="Times New Roman" w:hAnsi="Times New Roman" w:eastAsia="方正仿宋_GBK" w:cs="Times New Roman"/>
          <w:i w:val="0"/>
          <w:iCs w:val="0"/>
          <w:caps w:val="0"/>
          <w:color w:val="000000" w:themeColor="text1"/>
          <w:spacing w:val="0"/>
          <w:sz w:val="32"/>
          <w:szCs w:val="32"/>
          <w:u w:val="none"/>
          <w:shd w:val="clear" w:fill="FFFFFF"/>
          <w:lang w:val="en-US" w:eastAsia="zh-CN"/>
          <w14:textFill>
            <w14:solidFill>
              <w14:schemeClr w14:val="tx1"/>
            </w14:solidFill>
          </w14:textFill>
        </w:rPr>
        <w:t>2025年，我局</w:t>
      </w:r>
      <w:r>
        <w:rPr>
          <w:rFonts w:hint="default" w:ascii="Times New Roman" w:hAnsi="Times New Roman" w:eastAsia="方正仿宋_GBK" w:cs="Times New Roman"/>
          <w:i w:val="0"/>
          <w:iCs w:val="0"/>
          <w:caps w:val="0"/>
          <w:color w:val="000000" w:themeColor="text1"/>
          <w:spacing w:val="0"/>
          <w:sz w:val="32"/>
          <w:szCs w:val="32"/>
          <w:u w:val="none"/>
          <w:shd w:val="clear" w:fill="FFFFFF"/>
          <w14:textFill>
            <w14:solidFill>
              <w14:schemeClr w14:val="tx1"/>
            </w14:solidFill>
          </w14:textFill>
        </w:rPr>
        <w:t>紧扣高质量发展建设共同富裕试验区战略目标，坚持以人民为中心的发展思想，秉持</w:t>
      </w:r>
      <w:r>
        <w:rPr>
          <w:rFonts w:hint="default" w:ascii="Times New Roman" w:hAnsi="Times New Roman" w:eastAsia="方正仿宋_GBK" w:cs="Times New Roman"/>
          <w:i w:val="0"/>
          <w:iCs w:val="0"/>
          <w:caps w:val="0"/>
          <w:color w:val="000000" w:themeColor="text1"/>
          <w:spacing w:val="0"/>
          <w:sz w:val="32"/>
          <w:szCs w:val="32"/>
          <w:u w:val="none"/>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u w:val="none"/>
          <w:shd w:val="clear" w:fill="FFFFFF"/>
          <w14:textFill>
            <w14:solidFill>
              <w14:schemeClr w14:val="tx1"/>
            </w14:solidFill>
          </w14:textFill>
        </w:rPr>
        <w:t>民生为本</w:t>
      </w:r>
      <w:r>
        <w:rPr>
          <w:rFonts w:hint="default" w:ascii="Times New Roman" w:hAnsi="Times New Roman" w:eastAsia="方正仿宋_GBK" w:cs="Times New Roman"/>
          <w:i w:val="0"/>
          <w:iCs w:val="0"/>
          <w:caps w:val="0"/>
          <w:color w:val="000000" w:themeColor="text1"/>
          <w:spacing w:val="0"/>
          <w:sz w:val="32"/>
          <w:szCs w:val="32"/>
          <w:u w:val="none"/>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u w:val="none"/>
          <w:shd w:val="clear" w:fill="FFFFFF"/>
          <w14:textFill>
            <w14:solidFill>
              <w14:schemeClr w14:val="tx1"/>
            </w14:solidFill>
          </w14:textFill>
        </w:rPr>
        <w:t>工作主线，</w:t>
      </w:r>
      <w:r>
        <w:rPr>
          <w:rFonts w:hint="default" w:ascii="Times New Roman" w:hAnsi="Times New Roman" w:eastAsia="方正仿宋_GBK" w:cs="Times New Roman"/>
          <w:color w:val="000000" w:themeColor="text1"/>
          <w:sz w:val="32"/>
          <w:szCs w:val="32"/>
          <w:u w:val="none"/>
          <w:shd w:val="clear" w:fill="FFFFFF"/>
          <w14:textFill>
            <w14:solidFill>
              <w14:schemeClr w14:val="tx1"/>
            </w14:solidFill>
          </w14:textFill>
        </w:rPr>
        <w:t>统筹推进</w:t>
      </w:r>
      <w:r>
        <w:rPr>
          <w:rFonts w:hint="default" w:ascii="Times New Roman" w:hAnsi="Times New Roman" w:eastAsia="方正仿宋_GBK" w:cs="Times New Roman"/>
          <w:color w:val="000000" w:themeColor="text1"/>
          <w:sz w:val="32"/>
          <w:szCs w:val="32"/>
          <w:u w:val="none"/>
          <w:shd w:val="clear" w:fill="FFFFFF"/>
          <w:lang w:eastAsia="zh-CN"/>
          <w14:textFill>
            <w14:solidFill>
              <w14:schemeClr w14:val="tx1"/>
            </w14:solidFill>
          </w14:textFill>
        </w:rPr>
        <w:t>共同富裕</w:t>
      </w:r>
      <w:r>
        <w:rPr>
          <w:rFonts w:hint="default" w:ascii="Times New Roman" w:hAnsi="Times New Roman" w:eastAsia="方正仿宋_GBK" w:cs="Times New Roman"/>
          <w:color w:val="000000" w:themeColor="text1"/>
          <w:sz w:val="32"/>
          <w:szCs w:val="32"/>
          <w:u w:val="none"/>
          <w:shd w:val="clear" w:fill="FFFFFF"/>
          <w14:textFill>
            <w14:solidFill>
              <w14:schemeClr w14:val="tx1"/>
            </w14:solidFill>
          </w14:textFill>
        </w:rPr>
        <w:t>、就业创业、社会保障、人事人才、劳动关系等各项工</w:t>
      </w:r>
      <w:r>
        <w:rPr>
          <w:rFonts w:hint="default" w:ascii="Times New Roman" w:hAnsi="Times New Roman" w:eastAsia="方正仿宋_GBK" w:cs="Times New Roman"/>
          <w:color w:val="000000" w:themeColor="text1"/>
          <w:sz w:val="32"/>
          <w:szCs w:val="32"/>
          <w:u w:val="none"/>
          <w:shd w:val="clear" w:fill="FFFFFF"/>
          <w:lang w:eastAsia="zh-CN"/>
          <w14:textFill>
            <w14:solidFill>
              <w14:schemeClr w14:val="tx1"/>
            </w14:solidFill>
          </w14:textFill>
        </w:rPr>
        <w:t>作</w:t>
      </w:r>
      <w:r>
        <w:rPr>
          <w:rFonts w:hint="default" w:ascii="Times New Roman" w:hAnsi="Times New Roman" w:eastAsia="方正仿宋_GBK" w:cs="Times New Roman"/>
          <w:i w:val="0"/>
          <w:iCs w:val="0"/>
          <w:caps w:val="0"/>
          <w:color w:val="000000" w:themeColor="text1"/>
          <w:spacing w:val="0"/>
          <w:sz w:val="32"/>
          <w:szCs w:val="32"/>
          <w:u w:val="none"/>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u w:val="none"/>
          <w:shd w:val="clear" w:fill="FFFFFF"/>
          <w14:textFill>
            <w14:solidFill>
              <w14:schemeClr w14:val="tx1"/>
            </w14:solidFill>
          </w14:textFill>
        </w:rPr>
        <w:t>着力破解民生难题，积极回应群众期盼，各项工作取得新进展、新成效</w:t>
      </w:r>
      <w:r>
        <w:rPr>
          <w:rFonts w:hint="default" w:ascii="Times New Roman" w:hAnsi="Times New Roman" w:eastAsia="方正仿宋_GBK" w:cs="Times New Roman"/>
          <w:i w:val="0"/>
          <w:iCs w:val="0"/>
          <w:caps w:val="0"/>
          <w:color w:val="000000" w:themeColor="text1"/>
          <w:spacing w:val="0"/>
          <w:sz w:val="32"/>
          <w:szCs w:val="32"/>
          <w:u w:val="none"/>
          <w:shd w:val="clear" w:fill="FFFFFF"/>
          <w:lang w:eastAsia="zh-CN"/>
          <w14:textFill>
            <w14:solidFill>
              <w14:schemeClr w14:val="tx1"/>
            </w14:solidFill>
          </w14:textFill>
        </w:rPr>
        <w:t>。全年向上争取资金超</w:t>
      </w:r>
      <w:r>
        <w:rPr>
          <w:rFonts w:hint="default" w:ascii="Times New Roman" w:hAnsi="Times New Roman" w:eastAsia="方正仿宋_GBK" w:cs="Times New Roman"/>
          <w:i w:val="0"/>
          <w:iCs w:val="0"/>
          <w:caps w:val="0"/>
          <w:color w:val="000000" w:themeColor="text1"/>
          <w:spacing w:val="0"/>
          <w:sz w:val="32"/>
          <w:szCs w:val="32"/>
          <w:u w:val="none"/>
          <w:shd w:val="clear" w:fill="FFFFFF"/>
          <w:lang w:val="en-US" w:eastAsia="zh-CN"/>
          <w14:textFill>
            <w14:solidFill>
              <w14:schemeClr w14:val="tx1"/>
            </w14:solidFill>
          </w14:textFill>
        </w:rPr>
        <w:t>60</w:t>
      </w:r>
      <w:r>
        <w:rPr>
          <w:rFonts w:hint="default" w:ascii="Times New Roman" w:hAnsi="Times New Roman" w:eastAsia="方正仿宋_GBK" w:cs="Times New Roman"/>
          <w:i w:val="0"/>
          <w:iCs w:val="0"/>
          <w:caps w:val="0"/>
          <w:color w:val="000000" w:themeColor="text1"/>
          <w:spacing w:val="0"/>
          <w:sz w:val="32"/>
          <w:szCs w:val="32"/>
          <w:u w:val="none"/>
          <w:shd w:val="clear" w:fill="FFFFFF"/>
          <w:lang w:eastAsia="zh-CN"/>
          <w14:textFill>
            <w14:solidFill>
              <w14:schemeClr w14:val="tx1"/>
            </w14:solidFill>
          </w14:textFill>
        </w:rPr>
        <w:t>亿元，有力保障了我市民生。顺利开展了全国社会保险基金监管工作座谈会、</w:t>
      </w:r>
      <w:r>
        <w:rPr>
          <w:rFonts w:hint="default" w:ascii="Times New Roman" w:hAnsi="Times New Roman" w:eastAsia="方正仿宋_GBK" w:cs="Times New Roman"/>
          <w:color w:val="000000" w:themeColor="text1"/>
          <w:sz w:val="32"/>
          <w:szCs w:val="32"/>
          <w:u w:val="none"/>
          <w:shd w:val="clear" w:fill="FFFFFF"/>
          <w14:textFill>
            <w14:solidFill>
              <w14:schemeClr w14:val="tx1"/>
            </w14:solidFill>
          </w14:textFill>
        </w:rPr>
        <w:t>赴</w:t>
      </w:r>
      <w:r>
        <w:rPr>
          <w:rFonts w:hint="default" w:ascii="Times New Roman" w:hAnsi="Times New Roman" w:eastAsia="方正仿宋_GBK" w:cs="Times New Roman"/>
          <w:color w:val="000000" w:themeColor="text1"/>
          <w:sz w:val="32"/>
          <w:szCs w:val="32"/>
          <w:u w:val="none"/>
          <w:shd w:val="clear" w:fill="FFFFFF"/>
          <w:lang w:eastAsia="zh-CN"/>
          <w14:textFill>
            <w14:solidFill>
              <w14:schemeClr w14:val="tx1"/>
            </w14:solidFill>
          </w14:textFill>
        </w:rPr>
        <w:t>清华等</w:t>
      </w:r>
      <w:r>
        <w:rPr>
          <w:rFonts w:hint="default" w:ascii="Times New Roman" w:hAnsi="Times New Roman" w:eastAsia="方正仿宋_GBK" w:cs="Times New Roman"/>
          <w:color w:val="000000" w:themeColor="text1"/>
          <w:sz w:val="32"/>
          <w:szCs w:val="32"/>
          <w:u w:val="none"/>
          <w:shd w:val="clear" w:fill="FFFFFF"/>
          <w14:textFill>
            <w14:solidFill>
              <w14:schemeClr w14:val="tx1"/>
            </w14:solidFill>
          </w14:textFill>
        </w:rPr>
        <w:t>知名高校招才引智活动</w:t>
      </w:r>
      <w:r>
        <w:rPr>
          <w:rFonts w:hint="default" w:ascii="Times New Roman" w:hAnsi="Times New Roman" w:eastAsia="方正仿宋_GBK" w:cs="Times New Roman"/>
          <w:color w:val="000000" w:themeColor="text1"/>
          <w:sz w:val="32"/>
          <w:szCs w:val="32"/>
          <w:u w:val="none"/>
          <w:shd w:val="clear" w:fill="FFFFFF"/>
          <w:lang w:eastAsia="zh-CN"/>
          <w14:textFill>
            <w14:solidFill>
              <w14:schemeClr w14:val="tx1"/>
            </w14:solidFill>
          </w14:textFill>
        </w:rPr>
        <w:t>等重大活动，提升了城市形象。城镇居民人均可支配收入全省排名触底奋起，历史性进入全省第一方阵。</w:t>
      </w:r>
      <w:r>
        <w:rPr>
          <w:rFonts w:hint="default" w:ascii="Times New Roman" w:hAnsi="Times New Roman" w:eastAsia="方正仿宋_GBK" w:cs="Times New Roman"/>
          <w:color w:val="000000" w:themeColor="text1"/>
          <w:sz w:val="32"/>
          <w:szCs w:val="32"/>
          <w:u w:val="none"/>
          <w:shd w:val="clear" w:fill="FFFFFF"/>
          <w14:textFill>
            <w14:solidFill>
              <w14:schemeClr w14:val="tx1"/>
            </w14:solidFill>
          </w14:textFill>
        </w:rPr>
        <w:t>全省范围内率先建立了人社综合柜员制服务与管理的地方标准</w:t>
      </w:r>
      <w:r>
        <w:rPr>
          <w:rFonts w:hint="default" w:ascii="Times New Roman" w:hAnsi="Times New Roman" w:eastAsia="方正仿宋_GBK" w:cs="Times New Roman"/>
          <w:color w:val="000000" w:themeColor="text1"/>
          <w:sz w:val="32"/>
          <w:szCs w:val="32"/>
          <w:u w:val="none"/>
          <w:shd w:val="clear" w:fill="FFFFFF"/>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u w:val="none"/>
          <w:shd w:val="clear" w:fill="FFFFFF"/>
          <w:lang w:val="en-US" w:eastAsia="zh-CN"/>
          <w14:textFill>
            <w14:solidFill>
              <w14:schemeClr w14:val="tx1"/>
            </w14:solidFill>
          </w14:textFill>
        </w:rPr>
        <w:t>先后</w:t>
      </w:r>
      <w:r>
        <w:rPr>
          <w:rFonts w:hint="default" w:ascii="Times New Roman" w:hAnsi="Times New Roman" w:eastAsia="方正仿宋_GBK" w:cs="Times New Roman"/>
          <w:color w:val="000000" w:themeColor="text1"/>
          <w:sz w:val="32"/>
          <w:szCs w:val="32"/>
          <w:u w:val="none"/>
          <w:shd w:val="clear" w:fill="FFFFFF"/>
          <w14:textFill>
            <w14:solidFill>
              <w14:schemeClr w14:val="tx1"/>
            </w14:solidFill>
          </w14:textFill>
        </w:rPr>
        <w:t>荣获</w:t>
      </w:r>
      <w:r>
        <w:rPr>
          <w:rFonts w:hint="default" w:ascii="Times New Roman" w:hAnsi="Times New Roman" w:eastAsia="方正仿宋_GBK" w:cs="Times New Roman"/>
          <w:color w:val="000000" w:themeColor="text1"/>
          <w:sz w:val="32"/>
          <w:szCs w:val="32"/>
          <w:u w:val="none"/>
          <w:shd w:val="clear" w:fill="FFFFFF"/>
          <w:lang w:eastAsia="zh-CN"/>
          <w14:textFill>
            <w14:solidFill>
              <w14:schemeClr w14:val="tx1"/>
            </w14:solidFill>
          </w14:textFill>
        </w:rPr>
        <w:t>全国</w:t>
      </w:r>
      <w:r>
        <w:rPr>
          <w:rFonts w:hint="default" w:ascii="Times New Roman" w:hAnsi="Times New Roman" w:eastAsia="方正仿宋_GBK" w:cs="Times New Roman"/>
          <w:i w:val="0"/>
          <w:iCs w:val="0"/>
          <w:caps w:val="0"/>
          <w:color w:val="000000" w:themeColor="text1"/>
          <w:spacing w:val="0"/>
          <w:sz w:val="32"/>
          <w:szCs w:val="32"/>
          <w:u w:val="none"/>
          <w:shd w:val="clear" w:fill="FFFFFF"/>
          <w:lang w:eastAsia="zh-CN"/>
          <w14:textFill>
            <w14:solidFill>
              <w14:schemeClr w14:val="tx1"/>
            </w14:solidFill>
          </w14:textFill>
        </w:rPr>
        <w:t>劳动保障新闻宣传工作做得好的单位</w:t>
      </w:r>
      <w:r>
        <w:rPr>
          <w:rFonts w:hint="default" w:ascii="Times New Roman" w:hAnsi="Times New Roman" w:eastAsia="方正仿宋_GBK" w:cs="Times New Roman"/>
          <w:color w:val="000000" w:themeColor="text1"/>
          <w:sz w:val="32"/>
          <w:szCs w:val="32"/>
          <w:u w:val="none"/>
          <w:shd w:val="clear" w:fill="FFFFFF"/>
          <w:lang w:val="en-US" w:eastAsia="zh-CN"/>
          <w14:textFill>
            <w14:solidFill>
              <w14:schemeClr w14:val="tx1"/>
            </w14:solidFill>
          </w14:textFill>
        </w:rPr>
        <w:t>、全省人社业务技能练兵比武</w:t>
      </w:r>
      <w:r>
        <w:rPr>
          <w:rFonts w:hint="default" w:ascii="Times New Roman" w:hAnsi="Times New Roman" w:eastAsia="方正仿宋_GBK" w:cs="Times New Roman"/>
          <w:b w:val="0"/>
          <w:bCs w:val="0"/>
          <w:i w:val="0"/>
          <w:iCs w:val="0"/>
          <w:caps w:val="0"/>
          <w:color w:val="000000" w:themeColor="text1"/>
          <w:spacing w:val="0"/>
          <w:sz w:val="32"/>
          <w:szCs w:val="32"/>
          <w:u w:val="none"/>
          <w:shd w:val="clear" w:fill="FFFFFF"/>
          <w14:textFill>
            <w14:solidFill>
              <w14:schemeClr w14:val="tx1"/>
            </w14:solidFill>
          </w14:textFill>
        </w:rPr>
        <w:t>集体嘉奖</w:t>
      </w:r>
      <w:r>
        <w:rPr>
          <w:rFonts w:hint="default" w:ascii="Times New Roman" w:hAnsi="Times New Roman" w:eastAsia="方正仿宋_GBK" w:cs="Times New Roman"/>
          <w:color w:val="000000" w:themeColor="text1"/>
          <w:sz w:val="32"/>
          <w:szCs w:val="32"/>
          <w:u w:val="none"/>
          <w:shd w:val="clear" w:fill="FFFFFF"/>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u w:val="none"/>
          <w:shd w:val="clear" w:fill="FFFFFF"/>
          <w:lang w:eastAsia="zh-CN"/>
          <w14:textFill>
            <w14:solidFill>
              <w14:schemeClr w14:val="tx1"/>
            </w14:solidFill>
          </w14:textFill>
        </w:rPr>
        <w:t>全市共富改革创新优秀集体、全市机关党建示范品牌</w:t>
      </w:r>
      <w:r>
        <w:rPr>
          <w:rFonts w:hint="default" w:ascii="Times New Roman" w:hAnsi="Times New Roman" w:eastAsia="方正仿宋_GBK" w:cs="Times New Roman"/>
          <w:color w:val="000000" w:themeColor="text1"/>
          <w:sz w:val="32"/>
          <w:szCs w:val="32"/>
          <w:u w:val="none"/>
          <w:shd w:val="clear" w:fill="FFFFFF"/>
          <w:lang w:val="en-US" w:eastAsia="zh-CN"/>
          <w14:textFill>
            <w14:solidFill>
              <w14:schemeClr w14:val="tx1"/>
            </w14:solidFill>
          </w14:textFill>
        </w:rPr>
        <w:t>等荣誉，</w:t>
      </w:r>
      <w:r>
        <w:rPr>
          <w:rFonts w:hint="default" w:ascii="Times New Roman" w:hAnsi="Times New Roman" w:eastAsia="方正仿宋_GBK" w:cs="Times New Roman"/>
          <w:i w:val="0"/>
          <w:iCs w:val="0"/>
          <w:caps w:val="0"/>
          <w:color w:val="000000" w:themeColor="text1"/>
          <w:spacing w:val="0"/>
          <w:sz w:val="32"/>
          <w:szCs w:val="32"/>
          <w:u w:val="none"/>
          <w:shd w:val="clear" w:fill="FFFFFF"/>
          <w14:textFill>
            <w14:solidFill>
              <w14:schemeClr w14:val="tx1"/>
            </w14:solidFill>
          </w14:textFill>
        </w:rPr>
        <w:t>为全市经济社会发展大局作出了积极贡献，人民群众的获得感、幸福感持续提升</w:t>
      </w:r>
      <w:r>
        <w:rPr>
          <w:rFonts w:hint="default" w:ascii="Times New Roman" w:hAnsi="Times New Roman" w:eastAsia="方正仿宋_GBK" w:cs="Times New Roman"/>
          <w:i w:val="0"/>
          <w:iCs w:val="0"/>
          <w:caps w:val="0"/>
          <w:color w:val="000000" w:themeColor="text1"/>
          <w:spacing w:val="0"/>
          <w:sz w:val="32"/>
          <w:szCs w:val="32"/>
          <w:u w:val="none"/>
          <w:shd w:val="clear" w:fill="FFFFFF"/>
          <w:lang w:eastAsia="zh-CN"/>
          <w14:textFill>
            <w14:solidFill>
              <w14:schemeClr w14:val="tx1"/>
            </w14:solidFill>
          </w14:textFill>
        </w:rPr>
        <w:t>。</w:t>
      </w:r>
      <w:r>
        <w:rPr>
          <w:rFonts w:hint="default" w:ascii="Times New Roman" w:hAnsi="Times New Roman" w:eastAsia="仿宋_GB2312" w:cs="Times New Roman"/>
          <w:sz w:val="32"/>
          <w:szCs w:val="32"/>
          <w:lang w:val="zh-CN"/>
        </w:rPr>
        <w:t>选取全市新增就业人数、</w:t>
      </w:r>
      <w:r>
        <w:rPr>
          <w:rFonts w:hint="default" w:ascii="Times New Roman" w:hAnsi="Times New Roman" w:eastAsia="仿宋_GB2312" w:cs="Times New Roman"/>
          <w:sz w:val="32"/>
          <w:szCs w:val="32"/>
          <w:lang w:eastAsia="zh-CN"/>
        </w:rPr>
        <w:t>新开工建设项目工伤保险参保率、</w:t>
      </w:r>
      <w:r>
        <w:rPr>
          <w:rFonts w:hint="default" w:ascii="Times New Roman" w:hAnsi="Times New Roman" w:eastAsia="仿宋_GB2312" w:cs="Times New Roman"/>
          <w:sz w:val="32"/>
          <w:szCs w:val="32"/>
        </w:rPr>
        <w:t>新增取得高级工以上职业资格证书或职业技能等级证书人数</w:t>
      </w:r>
      <w:r>
        <w:rPr>
          <w:rFonts w:hint="default" w:ascii="Times New Roman" w:hAnsi="Times New Roman" w:eastAsia="仿宋_GB2312" w:cs="Times New Roman"/>
          <w:sz w:val="32"/>
          <w:szCs w:val="32"/>
          <w:lang w:val="en-US" w:eastAsia="zh-CN"/>
        </w:rPr>
        <w:t>、劳动人事争议仲裁结案率、人社政务服务好评率完成效果进行分析，完成情况如下：</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zh-CN"/>
        </w:rPr>
        <w:t>全市新增就业</w:t>
      </w:r>
      <w:r>
        <w:rPr>
          <w:rFonts w:hint="default" w:ascii="Times New Roman" w:hAnsi="Times New Roman" w:eastAsia="仿宋_GB2312" w:cs="Times New Roman"/>
          <w:sz w:val="32"/>
          <w:szCs w:val="32"/>
        </w:rPr>
        <w:t>人数</w:t>
      </w:r>
      <w:r>
        <w:rPr>
          <w:rFonts w:hint="default" w:ascii="Times New Roman" w:hAnsi="Times New Roman" w:eastAsia="仿宋_GB2312" w:cs="Times New Roman"/>
          <w:sz w:val="32"/>
          <w:szCs w:val="32"/>
          <w:lang w:eastAsia="zh-CN"/>
        </w:rPr>
        <w:t>年初设定指标值为</w:t>
      </w:r>
      <w:r>
        <w:rPr>
          <w:rFonts w:hint="default" w:ascii="Times New Roman" w:hAnsi="Times New Roman" w:eastAsia="仿宋_GB2312" w:cs="Times New Roman"/>
          <w:sz w:val="32"/>
          <w:szCs w:val="32"/>
          <w:lang w:val="en-US" w:eastAsia="zh-CN"/>
        </w:rPr>
        <w:t>1.50万人，全年实际完成值为1.80万人；</w:t>
      </w:r>
      <w:r>
        <w:rPr>
          <w:rFonts w:hint="default" w:ascii="Times New Roman" w:hAnsi="Times New Roman" w:eastAsia="仿宋_GB2312" w:cs="Times New Roman"/>
          <w:sz w:val="32"/>
          <w:szCs w:val="32"/>
          <w:lang w:eastAsia="zh-CN"/>
        </w:rPr>
        <w:t>新开工建设项目工伤保险参保率年初设定指标值为</w:t>
      </w:r>
      <w:r>
        <w:rPr>
          <w:rFonts w:hint="default" w:ascii="Times New Roman" w:hAnsi="Times New Roman" w:eastAsia="仿宋_GB2312" w:cs="Times New Roman"/>
          <w:sz w:val="32"/>
          <w:szCs w:val="32"/>
          <w:lang w:val="en-US" w:eastAsia="zh-CN"/>
        </w:rPr>
        <w:t>90%，全年实际完成值为100%；</w:t>
      </w:r>
      <w:r>
        <w:rPr>
          <w:rFonts w:hint="default" w:ascii="Times New Roman" w:hAnsi="Times New Roman" w:eastAsia="仿宋_GB2312" w:cs="Times New Roman"/>
          <w:sz w:val="32"/>
          <w:szCs w:val="32"/>
        </w:rPr>
        <w:t>新增取得高级工以上职业资格证书或职业技能等级证书人数</w:t>
      </w:r>
      <w:r>
        <w:rPr>
          <w:rFonts w:hint="default" w:ascii="Times New Roman" w:hAnsi="Times New Roman" w:eastAsia="仿宋_GB2312" w:cs="Times New Roman"/>
          <w:sz w:val="32"/>
          <w:szCs w:val="32"/>
          <w:lang w:val="en-US" w:eastAsia="zh-CN"/>
        </w:rPr>
        <w:t>年初设定指标值为1460人，全年实际完成值为2187人；劳动人事争议仲裁结案率年初设定值为90%，全年实际完成值为100%；人社政务服务好评率</w:t>
      </w:r>
      <w:r>
        <w:rPr>
          <w:rFonts w:hint="default" w:ascii="Times New Roman" w:hAnsi="Times New Roman" w:eastAsia="仿宋_GB2312" w:cs="Times New Roman"/>
          <w:sz w:val="32"/>
          <w:szCs w:val="32"/>
          <w:lang w:eastAsia="zh-CN"/>
        </w:rPr>
        <w:t>年初设定指标值为</w:t>
      </w:r>
      <w:r>
        <w:rPr>
          <w:rFonts w:hint="default" w:ascii="Times New Roman" w:hAnsi="Times New Roman" w:eastAsia="仿宋_GB2312" w:cs="Times New Roman"/>
          <w:sz w:val="32"/>
          <w:szCs w:val="32"/>
          <w:lang w:val="en-US" w:eastAsia="zh-CN"/>
        </w:rPr>
        <w:t>95%，全年实际完成值为100%。</w:t>
      </w:r>
    </w:p>
    <w:p>
      <w:pPr>
        <w:pStyle w:val="4"/>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zh-CN"/>
        </w:rPr>
        <w:t>综上，根据评分标准，该项指标不扣分，得</w:t>
      </w:r>
      <w:r>
        <w:rPr>
          <w:rFonts w:hint="default" w:ascii="Times New Roman" w:hAnsi="Times New Roman" w:eastAsia="仿宋_GB2312" w:cs="Times New Roman"/>
          <w:sz w:val="32"/>
          <w:szCs w:val="32"/>
          <w:lang w:val="en-US" w:eastAsia="zh-CN"/>
        </w:rPr>
        <w:t>15分。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zh-CN"/>
        </w:rPr>
      </w:pPr>
      <w:r>
        <w:rPr>
          <w:rFonts w:hint="default" w:ascii="Times New Roman" w:hAnsi="Times New Roman" w:eastAsia="仿宋_GB2312" w:cs="Times New Roman"/>
          <w:b/>
          <w:bCs/>
          <w:color w:val="000000"/>
          <w:kern w:val="0"/>
          <w:sz w:val="32"/>
          <w:szCs w:val="32"/>
          <w:shd w:val="clear" w:color="auto" w:fill="FFFFFF"/>
          <w:lang w:val="en-US" w:eastAsia="zh-CN"/>
        </w:rPr>
        <w:t>2.</w:t>
      </w:r>
      <w:r>
        <w:rPr>
          <w:rFonts w:hint="default" w:ascii="Times New Roman" w:hAnsi="Times New Roman" w:eastAsia="仿宋_GB2312" w:cs="Times New Roman"/>
          <w:b/>
          <w:bCs/>
          <w:color w:val="000000"/>
          <w:kern w:val="0"/>
          <w:sz w:val="32"/>
          <w:szCs w:val="32"/>
          <w:shd w:val="clear" w:color="auto" w:fill="FFFFFF"/>
          <w:lang w:val="zh-CN"/>
        </w:rPr>
        <w:t>预算管理。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zh-CN"/>
        </w:rPr>
      </w:pPr>
      <w:r>
        <w:rPr>
          <w:rFonts w:hint="default" w:ascii="Times New Roman" w:hAnsi="Times New Roman" w:eastAsia="仿宋_GB2312" w:cs="Times New Roman"/>
          <w:b/>
          <w:bCs/>
          <w:color w:val="000000"/>
          <w:kern w:val="0"/>
          <w:sz w:val="32"/>
          <w:szCs w:val="32"/>
          <w:shd w:val="clear" w:color="auto" w:fill="FFFFFF"/>
          <w:lang w:val="zh-CN"/>
        </w:rPr>
        <w:t>（</w:t>
      </w:r>
      <w:r>
        <w:rPr>
          <w:rFonts w:hint="default" w:ascii="Times New Roman" w:hAnsi="Times New Roman" w:eastAsia="仿宋_GB2312" w:cs="Times New Roman"/>
          <w:b/>
          <w:bCs/>
          <w:color w:val="000000"/>
          <w:kern w:val="0"/>
          <w:sz w:val="32"/>
          <w:szCs w:val="32"/>
          <w:shd w:val="clear" w:color="auto" w:fill="FFFFFF"/>
          <w:lang w:val="en-US" w:eastAsia="zh-CN"/>
        </w:rPr>
        <w:t>1</w:t>
      </w:r>
      <w:r>
        <w:rPr>
          <w:rFonts w:hint="default" w:ascii="Times New Roman" w:hAnsi="Times New Roman" w:eastAsia="仿宋_GB2312" w:cs="Times New Roman"/>
          <w:b/>
          <w:bCs/>
          <w:color w:val="000000"/>
          <w:kern w:val="0"/>
          <w:sz w:val="32"/>
          <w:szCs w:val="32"/>
          <w:shd w:val="clear" w:color="auto" w:fill="FFFFFF"/>
          <w:lang w:val="zh-CN"/>
        </w:rPr>
        <w:t>）预算编制质量。</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bookmarkStart w:id="51" w:name="OLE_LINK1"/>
      <w:r>
        <w:rPr>
          <w:rFonts w:hint="default" w:ascii="Times New Roman" w:hAnsi="Times New Roman" w:eastAsia="仿宋_GB2312" w:cs="Times New Roman"/>
          <w:color w:val="000000"/>
          <w:kern w:val="0"/>
          <w:sz w:val="32"/>
          <w:szCs w:val="32"/>
          <w:shd w:val="clear" w:color="auto" w:fill="FFFFFF"/>
          <w:lang w:val="zh-CN"/>
        </w:rPr>
        <w:t>根据本部门预算报表和决算报表，本部门</w:t>
      </w:r>
      <w:bookmarkEnd w:id="51"/>
      <w:r>
        <w:rPr>
          <w:rFonts w:hint="default" w:ascii="Times New Roman" w:hAnsi="Times New Roman" w:eastAsia="仿宋_GB2312" w:cs="Times New Roman"/>
          <w:color w:val="000000"/>
          <w:kern w:val="0"/>
          <w:sz w:val="32"/>
          <w:szCs w:val="32"/>
          <w:shd w:val="clear" w:color="auto" w:fill="FFFFFF"/>
          <w:lang w:val="zh-CN"/>
        </w:rPr>
        <w:t>财政拨款年初预算数为</w:t>
      </w:r>
      <w:r>
        <w:rPr>
          <w:rFonts w:hint="default" w:ascii="Times New Roman" w:hAnsi="Times New Roman" w:eastAsia="仿宋_GB2312" w:cs="Times New Roman"/>
          <w:color w:val="000000"/>
          <w:kern w:val="0"/>
          <w:sz w:val="32"/>
          <w:szCs w:val="32"/>
          <w:shd w:val="clear" w:color="auto" w:fill="FFFFFF"/>
          <w:lang w:val="en-US" w:eastAsia="zh-CN"/>
        </w:rPr>
        <w:t>2430.05万元，财政拨款预算执行数为5291.77万元，财政拨款预算偏离度为1.18。</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zh-CN"/>
        </w:rPr>
        <w:t>根据本部门预算报表和决算报表</w:t>
      </w:r>
      <w:r>
        <w:rPr>
          <w:rFonts w:hint="default" w:ascii="Times New Roman" w:hAnsi="Times New Roman"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en-US" w:eastAsia="zh-CN"/>
        </w:rPr>
        <w:t>本部门政府采购预算执行数为711.13万元，2025年政府采购年初预算数为7.32万元，政府采购预算偏离度为</w:t>
      </w:r>
      <w:r>
        <w:rPr>
          <w:rFonts w:hint="eastAsia" w:ascii="Times New Roman" w:hAnsi="Times New Roman" w:eastAsia="仿宋_GB2312" w:cs="Times New Roman"/>
          <w:color w:val="000000"/>
          <w:kern w:val="0"/>
          <w:sz w:val="32"/>
          <w:szCs w:val="32"/>
          <w:highlight w:val="none"/>
          <w:shd w:val="clear" w:color="auto" w:fill="FFFFFF"/>
          <w:lang w:val="en-US" w:eastAsia="zh-CN"/>
        </w:rPr>
        <w:t>96.15</w:t>
      </w:r>
      <w:r>
        <w:rPr>
          <w:rFonts w:hint="default" w:ascii="Times New Roman" w:hAnsi="Times New Roman" w:eastAsia="仿宋_GB2312" w:cs="Times New Roman"/>
          <w:color w:val="000000"/>
          <w:kern w:val="0"/>
          <w:sz w:val="32"/>
          <w:szCs w:val="32"/>
          <w:highlight w:val="none"/>
          <w:shd w:val="clear" w:color="auto" w:fill="FFFFFF"/>
          <w:lang w:val="en-US" w:eastAsia="zh-CN"/>
        </w:rPr>
        <w:t>。</w:t>
      </w:r>
    </w:p>
    <w:p>
      <w:pPr>
        <w:keepNext w:val="0"/>
        <w:keepLines w:val="0"/>
        <w:pageBreakBefore w:val="0"/>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w:t>
      </w:r>
      <w:r>
        <w:rPr>
          <w:rFonts w:hint="default" w:ascii="Times New Roman" w:hAnsi="Times New Roman" w:eastAsia="仿宋_GB2312" w:cs="Times New Roman"/>
          <w:color w:val="auto"/>
          <w:kern w:val="0"/>
          <w:sz w:val="32"/>
          <w:szCs w:val="32"/>
          <w:shd w:val="clear" w:color="auto" w:fill="FFFFFF"/>
          <w:lang w:val="en-US" w:eastAsia="zh-CN"/>
        </w:rPr>
        <w:t>扣8分</w:t>
      </w:r>
      <w:r>
        <w:rPr>
          <w:rFonts w:hint="default" w:ascii="Times New Roman" w:hAnsi="Times New Roman" w:eastAsia="仿宋_GB2312" w:cs="Times New Roman"/>
          <w:color w:val="000000"/>
          <w:kern w:val="0"/>
          <w:sz w:val="32"/>
          <w:szCs w:val="32"/>
          <w:shd w:val="clear" w:color="auto" w:fill="FFFFFF"/>
          <w:lang w:val="en-US" w:eastAsia="zh-CN"/>
        </w:rPr>
        <w:t>，得0分。</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eastAsia="仿宋_GB2312" w:cs="Times New Roman"/>
          <w:b/>
          <w:bCs/>
          <w:color w:val="000000"/>
          <w:kern w:val="0"/>
          <w:sz w:val="32"/>
          <w:szCs w:val="32"/>
          <w:shd w:val="clear" w:color="auto" w:fill="FFFFFF"/>
          <w:lang w:val="en-US" w:eastAsia="zh-CN"/>
        </w:rPr>
        <w:t>（2）支出执行进度。</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根据1-6月可执行情况表，本部门1至6月预算执行数为4751.23万元，根据决算报表，部门预算数为5291.77万元，根据1至6月预算执行监控中的预警查询表，1至6月支出预警金额为0万元，1至6月无支出违规金额。</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根据1-10月可执行情况表，本部门1至10月预算执行数为4955.81万元，根据决算报表，部门预算数为5291.77万元，根据1至10月预算执行监控中的预警查询表，1至10月支出预警金额0万元，1至10月无支出违规金额。</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综上，根据评分标准，该项指标扣0.16分，得5.84分。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eastAsia="仿宋_GB2312" w:cs="Times New Roman"/>
          <w:b/>
          <w:bCs/>
          <w:color w:val="000000"/>
          <w:kern w:val="0"/>
          <w:sz w:val="32"/>
          <w:szCs w:val="32"/>
          <w:shd w:val="clear" w:color="auto" w:fill="FFFFFF"/>
          <w:lang w:val="en-US" w:eastAsia="zh-CN"/>
        </w:rPr>
        <w:t>（3）预算年终结余。</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根据决算报表，本部门预算总金额5291.77万元，年终部门预算注销金额为0万元，结转金额为0万元。</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综上，根据评分标准，该项指标不扣分，得4分。</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eastAsia="仿宋_GB2312" w:cs="Times New Roman"/>
          <w:b/>
          <w:bCs/>
          <w:color w:val="000000"/>
          <w:kern w:val="0"/>
          <w:sz w:val="32"/>
          <w:szCs w:val="32"/>
          <w:shd w:val="clear" w:color="auto" w:fill="FFFFFF"/>
          <w:lang w:val="en-US" w:eastAsia="zh-CN"/>
        </w:rPr>
        <w:t>（4）严控一般性支出。</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本部门“三公”经费、会议费、培训费、差旅费、办节办展经费、办公设备购置费、信息网络及软件购置更新经费、课题费等8项一般性支出情况详见下表。</w:t>
      </w:r>
    </w:p>
    <w:p>
      <w:pPr>
        <w:numPr>
          <w:ilvl w:val="0"/>
          <w:numId w:val="0"/>
        </w:numPr>
        <w:adjustRightInd w:val="0"/>
        <w:snapToGrid w:val="0"/>
        <w:spacing w:line="578" w:lineRule="exact"/>
        <w:ind w:leftChars="0"/>
        <w:contextualSpacing/>
        <w:jc w:val="center"/>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eastAsia="仿宋_GB2312" w:cs="Times New Roman"/>
          <w:b/>
          <w:bCs/>
          <w:i w:val="0"/>
          <w:iCs w:val="0"/>
          <w:color w:val="000000"/>
          <w:kern w:val="0"/>
          <w:sz w:val="32"/>
          <w:szCs w:val="32"/>
          <w:u w:val="none"/>
          <w:lang w:val="en-US" w:eastAsia="zh-CN" w:bidi="ar"/>
        </w:rPr>
        <w:t>一般性支出情况表</w:t>
      </w:r>
    </w:p>
    <w:p>
      <w:pPr>
        <w:numPr>
          <w:ilvl w:val="0"/>
          <w:numId w:val="0"/>
        </w:numPr>
        <w:adjustRightInd w:val="0"/>
        <w:snapToGrid w:val="0"/>
        <w:spacing w:line="578" w:lineRule="exact"/>
        <w:ind w:leftChars="0"/>
        <w:contextualSpacing/>
        <w:jc w:val="right"/>
        <w:rPr>
          <w:rFonts w:hint="default" w:ascii="Times New Roman" w:hAnsi="Times New Roman" w:cs="Times New Roman"/>
          <w:color w:val="000000"/>
          <w:kern w:val="0"/>
          <w:szCs w:val="32"/>
          <w:shd w:val="clear" w:color="auto" w:fill="FFFFFF"/>
          <w:lang w:val="en-US" w:eastAsia="zh-CN"/>
        </w:rPr>
      </w:pPr>
      <w:r>
        <w:rPr>
          <w:rFonts w:hint="default" w:ascii="Times New Roman" w:hAnsi="Times New Roman" w:eastAsia="仿宋_GB2312" w:cs="Times New Roman"/>
          <w:i w:val="0"/>
          <w:iCs w:val="0"/>
          <w:color w:val="000000"/>
          <w:kern w:val="0"/>
          <w:sz w:val="30"/>
          <w:szCs w:val="30"/>
          <w:u w:val="none"/>
          <w:lang w:val="en-US" w:eastAsia="zh-CN" w:bidi="ar"/>
        </w:rPr>
        <w:t>单位：万元</w:t>
      </w:r>
    </w:p>
    <w:tbl>
      <w:tblPr>
        <w:tblStyle w:val="12"/>
        <w:tblW w:w="888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8"/>
        <w:gridCol w:w="1375"/>
        <w:gridCol w:w="1263"/>
        <w:gridCol w:w="1212"/>
        <w:gridCol w:w="900"/>
        <w:gridCol w:w="1263"/>
        <w:gridCol w:w="1412"/>
        <w:gridCol w:w="8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序号</w:t>
            </w:r>
          </w:p>
        </w:tc>
        <w:tc>
          <w:tcPr>
            <w:tcW w:w="13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项目名称</w:t>
            </w:r>
          </w:p>
        </w:tc>
        <w:tc>
          <w:tcPr>
            <w:tcW w:w="33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财政拨款年初预算数</w:t>
            </w:r>
          </w:p>
        </w:tc>
        <w:tc>
          <w:tcPr>
            <w:tcW w:w="3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财政拨款预算执行数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4"/>
                <w:szCs w:val="24"/>
                <w:u w:val="none"/>
              </w:rPr>
            </w:pPr>
          </w:p>
        </w:tc>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4"/>
                <w:szCs w:val="24"/>
                <w:u w:val="none"/>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2024年度</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2025年度</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变动情况</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2024年度</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2025年度</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变动情况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“三公”经费</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7.53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eastAsia="仿宋_GB2312" w:cs="Times New Roman"/>
                <w:i w:val="0"/>
                <w:iCs w:val="0"/>
                <w:color w:val="000000"/>
                <w:sz w:val="24"/>
                <w:szCs w:val="24"/>
                <w:u w:val="none"/>
                <w:lang w:val="en-US" w:eastAsia="zh-CN"/>
              </w:rPr>
              <w:t>7.53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持平</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6.69 </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eastAsia="仿宋_GB2312" w:cs="Times New Roman"/>
                <w:i w:val="0"/>
                <w:iCs w:val="0"/>
                <w:color w:val="000000"/>
                <w:sz w:val="24"/>
                <w:szCs w:val="24"/>
                <w:u w:val="none"/>
                <w:lang w:val="en-US" w:eastAsia="zh-CN"/>
              </w:rPr>
              <w:t>6.30</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减少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会议费</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0.69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eastAsia="仿宋_GB2312" w:cs="Times New Roman"/>
                <w:i w:val="0"/>
                <w:iCs w:val="0"/>
                <w:color w:val="000000"/>
                <w:sz w:val="24"/>
                <w:szCs w:val="24"/>
                <w:u w:val="none"/>
                <w:lang w:val="en-US" w:eastAsia="zh-CN"/>
              </w:rPr>
              <w:t>0.90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增加</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0.62 </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eastAsia="仿宋_GB2312" w:cs="Times New Roman"/>
                <w:i w:val="0"/>
                <w:iCs w:val="0"/>
                <w:color w:val="000000"/>
                <w:sz w:val="24"/>
                <w:szCs w:val="24"/>
                <w:u w:val="none"/>
                <w:lang w:val="en-US" w:eastAsia="zh-CN"/>
              </w:rPr>
              <w:t>0.57</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减少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培训费</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0.15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eastAsia="仿宋_GB2312" w:cs="Times New Roman"/>
                <w:i w:val="0"/>
                <w:iCs w:val="0"/>
                <w:color w:val="000000"/>
                <w:sz w:val="24"/>
                <w:szCs w:val="24"/>
                <w:u w:val="none"/>
                <w:lang w:val="en-US" w:eastAsia="zh-CN"/>
              </w:rPr>
              <w:t>0.01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减少</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0.01 </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eastAsia="仿宋_GB2312" w:cs="Times New Roman"/>
                <w:i w:val="0"/>
                <w:iCs w:val="0"/>
                <w:color w:val="000000"/>
                <w:sz w:val="24"/>
                <w:szCs w:val="24"/>
                <w:u w:val="none"/>
                <w:lang w:val="en-US" w:eastAsia="zh-CN"/>
              </w:rPr>
              <w:t>0.01</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持平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差旅费</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45.12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eastAsia="仿宋_GB2312" w:cs="Times New Roman"/>
                <w:i w:val="0"/>
                <w:iCs w:val="0"/>
                <w:color w:val="000000"/>
                <w:sz w:val="24"/>
                <w:szCs w:val="24"/>
                <w:u w:val="none"/>
                <w:lang w:val="en-US" w:eastAsia="zh-CN"/>
              </w:rPr>
              <w:t>40.07</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减少</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64.06 </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eastAsia="仿宋_GB2312" w:cs="Times New Roman"/>
                <w:i w:val="0"/>
                <w:iCs w:val="0"/>
                <w:color w:val="000000"/>
                <w:sz w:val="24"/>
                <w:szCs w:val="24"/>
                <w:u w:val="none"/>
                <w:lang w:val="en-US" w:eastAsia="zh-CN"/>
              </w:rPr>
              <w:t>58.77</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减少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办节办展费</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0.00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eastAsia="仿宋_GB2312" w:cs="Times New Roman"/>
                <w:i w:val="0"/>
                <w:iCs w:val="0"/>
                <w:color w:val="000000"/>
                <w:sz w:val="24"/>
                <w:szCs w:val="24"/>
                <w:u w:val="none"/>
                <w:lang w:val="en-US" w:eastAsia="zh-CN"/>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持平</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0.00 </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sz w:val="24"/>
                <w:szCs w:val="24"/>
                <w:u w:val="none"/>
                <w:lang w:val="en-US" w:eastAsia="zh-CN"/>
              </w:rPr>
              <w:t>0.00</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持平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办公设备购置费</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0.00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eastAsia="仿宋_GB2312" w:cs="Times New Roman"/>
                <w:i w:val="0"/>
                <w:iCs w:val="0"/>
                <w:color w:val="000000"/>
                <w:sz w:val="24"/>
                <w:szCs w:val="24"/>
                <w:u w:val="none"/>
                <w:lang w:val="en-US" w:eastAsia="zh-CN"/>
              </w:rPr>
              <w:t>5.17</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lang w:eastAsia="zh-CN"/>
              </w:rPr>
            </w:pPr>
            <w:r>
              <w:rPr>
                <w:rFonts w:hint="default" w:ascii="Times New Roman" w:hAnsi="Times New Roman" w:eastAsia="仿宋_GB2312" w:cs="Times New Roman"/>
                <w:i w:val="0"/>
                <w:iCs w:val="0"/>
                <w:color w:val="000000"/>
                <w:sz w:val="24"/>
                <w:szCs w:val="24"/>
                <w:u w:val="none"/>
                <w:lang w:eastAsia="zh-CN"/>
              </w:rPr>
              <w:t>增加</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5.02 </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eastAsia="仿宋_GB2312" w:cs="Times New Roman"/>
                <w:i w:val="0"/>
                <w:iCs w:val="0"/>
                <w:color w:val="000000"/>
                <w:sz w:val="24"/>
                <w:szCs w:val="24"/>
                <w:u w:val="none"/>
                <w:lang w:val="en-US" w:eastAsia="zh-CN"/>
              </w:rPr>
              <w:t>41.80</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2"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信息网络及软件购置更新费</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0.00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持平</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0.00 </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0.00</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持平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8</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课题费</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0.00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持平</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0.00 </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0.00</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持平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9</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合计</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53.49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eastAsia="仿宋_GB2312" w:cs="Times New Roman"/>
                <w:i w:val="0"/>
                <w:iCs w:val="0"/>
                <w:color w:val="000000"/>
                <w:sz w:val="24"/>
                <w:szCs w:val="24"/>
                <w:u w:val="none"/>
                <w:lang w:val="en-US" w:eastAsia="zh-CN"/>
              </w:rPr>
              <w:t>53.68</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增加</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76.40 </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eastAsia="仿宋_GB2312" w:cs="Times New Roman"/>
                <w:i w:val="0"/>
                <w:iCs w:val="0"/>
                <w:color w:val="000000"/>
                <w:sz w:val="24"/>
                <w:szCs w:val="24"/>
                <w:u w:val="none"/>
                <w:lang w:val="en-US" w:eastAsia="zh-CN"/>
              </w:rPr>
              <w:t>107.45</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增加</w:t>
            </w:r>
          </w:p>
        </w:tc>
      </w:tr>
    </w:tbl>
    <w:p>
      <w:pPr>
        <w:keepNext w:val="0"/>
        <w:keepLines w:val="0"/>
        <w:pageBreakBefore w:val="0"/>
        <w:widowControl w:val="0"/>
        <w:numPr>
          <w:ilvl w:val="0"/>
          <w:numId w:val="0"/>
        </w:numPr>
        <w:kinsoku w:val="0"/>
        <w:wordWrap/>
        <w:overflowPunct/>
        <w:topLinePunct w:val="0"/>
        <w:autoSpaceDE/>
        <w:autoSpaceDN/>
        <w:bidi w:val="0"/>
        <w:adjustRightInd w:val="0"/>
        <w:snapToGrid w:val="0"/>
        <w:spacing w:line="360" w:lineRule="auto"/>
        <w:ind w:leftChars="0" w:firstLine="640" w:firstLineChars="200"/>
        <w:contextualSpacing/>
        <w:jc w:val="left"/>
        <w:textAlignment w:val="auto"/>
        <w:rPr>
          <w:rFonts w:hint="default" w:ascii="Times New Roman" w:hAnsi="Times New Roman" w:eastAsia="仿宋_GB2312" w:cs="Times New Roman"/>
          <w:color w:val="000000"/>
          <w:kern w:val="0"/>
          <w:sz w:val="32"/>
          <w:szCs w:val="32"/>
          <w:shd w:val="clear" w:color="auto" w:fill="FFFFFF"/>
          <w:lang w:val="en-US" w:eastAsia="zh-CN"/>
        </w:rPr>
      </w:pPr>
    </w:p>
    <w:p>
      <w:pPr>
        <w:keepNext w:val="0"/>
        <w:keepLines w:val="0"/>
        <w:pageBreakBefore w:val="0"/>
        <w:widowControl w:val="0"/>
        <w:numPr>
          <w:ilvl w:val="0"/>
          <w:numId w:val="0"/>
        </w:numPr>
        <w:kinsoku w:val="0"/>
        <w:wordWrap/>
        <w:overflowPunct/>
        <w:topLinePunct w:val="0"/>
        <w:autoSpaceDE/>
        <w:autoSpaceDN/>
        <w:bidi w:val="0"/>
        <w:adjustRightInd w:val="0"/>
        <w:snapToGrid w:val="0"/>
        <w:spacing w:line="360" w:lineRule="auto"/>
        <w:ind w:leftChars="0" w:firstLine="640" w:firstLineChars="200"/>
        <w:contextualSpacing/>
        <w:jc w:val="left"/>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本部门“三公”经费、会议费、差旅费2025年度财政拨款预算执行数较上年减少，减少的主要原因是坚持厉行节约、勤俭办一切事业，严格执行支出标准，从数量、规模、形式等方面压缩公务活动支出。办公设备购置费2025年度财政拨款预算执行数较上年增加，增加的主要原因是攀枝花市公共实训基地建设按项目建设进度购置了设备。总体部门一般性支出2025年度财政拨款年初预算数和执行数均较上年增加。</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contextualSpacing/>
        <w:jc w:val="both"/>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综上，根据评分标准，该项指标扣2分，得3分。</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zh-CN"/>
        </w:rPr>
      </w:pPr>
      <w:r>
        <w:rPr>
          <w:rFonts w:hint="default" w:ascii="Times New Roman" w:hAnsi="Times New Roman" w:cs="Times New Roman"/>
          <w:b/>
          <w:bCs/>
          <w:color w:val="000000"/>
          <w:kern w:val="0"/>
          <w:sz w:val="32"/>
          <w:szCs w:val="32"/>
          <w:shd w:val="clear" w:color="auto" w:fill="FFFFFF"/>
          <w:lang w:val="en-US" w:eastAsia="zh-CN"/>
        </w:rPr>
        <w:t>3.</w:t>
      </w:r>
      <w:r>
        <w:rPr>
          <w:rFonts w:hint="default" w:ascii="Times New Roman" w:hAnsi="Times New Roman" w:eastAsia="仿宋_GB2312" w:cs="Times New Roman"/>
          <w:b/>
          <w:bCs/>
          <w:color w:val="000000"/>
          <w:kern w:val="0"/>
          <w:sz w:val="32"/>
          <w:szCs w:val="32"/>
          <w:shd w:val="clear" w:color="auto" w:fill="FFFFFF"/>
          <w:lang w:val="zh-CN"/>
        </w:rPr>
        <w:t>财务管理。</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eastAsia="仿宋_GB2312" w:cs="Times New Roman"/>
          <w:b/>
          <w:bCs/>
          <w:color w:val="000000"/>
          <w:kern w:val="0"/>
          <w:sz w:val="32"/>
          <w:szCs w:val="32"/>
          <w:shd w:val="clear" w:color="auto" w:fill="FFFFFF"/>
          <w:lang w:val="zh-CN"/>
        </w:rPr>
        <w:t>（</w:t>
      </w:r>
      <w:r>
        <w:rPr>
          <w:rFonts w:hint="default" w:ascii="Times New Roman" w:hAnsi="Times New Roman" w:eastAsia="仿宋_GB2312" w:cs="Times New Roman"/>
          <w:b/>
          <w:bCs/>
          <w:color w:val="000000"/>
          <w:kern w:val="0"/>
          <w:sz w:val="32"/>
          <w:szCs w:val="32"/>
          <w:shd w:val="clear" w:color="auto" w:fill="FFFFFF"/>
          <w:lang w:val="en-US" w:eastAsia="zh-CN"/>
        </w:rPr>
        <w:t>1）财务管理制度。</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本部门已建立《攀枝花市人力资源和社会保障局局机关财务管理制度》《攀枝花市人力资源和社会保障局大额资金管理办法（试行）》《关于进一步规范经费管理的通知》等财务管理制度，并将制度严格落到实处。</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综上，根据评分标准，该项指标不扣分，得4分。</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themeColor="text1"/>
          <w:kern w:val="0"/>
          <w:sz w:val="32"/>
          <w:szCs w:val="32"/>
          <w:shd w:val="clear" w:color="auto" w:fill="FFFFFF"/>
          <w:lang w:val="en-US" w:eastAsia="zh-CN"/>
          <w14:textFill>
            <w14:solidFill>
              <w14:schemeClr w14:val="tx1"/>
            </w14:solidFill>
          </w14:textFill>
        </w:rPr>
      </w:pPr>
      <w:r>
        <w:rPr>
          <w:rFonts w:hint="default" w:ascii="Times New Roman" w:hAnsi="Times New Roman" w:cs="Times New Roman"/>
          <w:b/>
          <w:bCs/>
          <w:color w:val="000000" w:themeColor="text1"/>
          <w:kern w:val="0"/>
          <w:sz w:val="32"/>
          <w:szCs w:val="32"/>
          <w:shd w:val="clear" w:color="auto" w:fill="FFFFFF"/>
          <w:lang w:val="en-US" w:eastAsia="zh-CN"/>
          <w14:textFill>
            <w14:solidFill>
              <w14:schemeClr w14:val="tx1"/>
            </w14:solidFill>
          </w14:textFill>
        </w:rPr>
        <w:t>（2）</w:t>
      </w:r>
      <w:r>
        <w:rPr>
          <w:rFonts w:hint="default" w:ascii="Times New Roman" w:hAnsi="Times New Roman" w:eastAsia="仿宋_GB2312" w:cs="Times New Roman"/>
          <w:b/>
          <w:bCs/>
          <w:color w:val="000000" w:themeColor="text1"/>
          <w:kern w:val="0"/>
          <w:sz w:val="32"/>
          <w:szCs w:val="32"/>
          <w:shd w:val="clear" w:color="auto" w:fill="FFFFFF"/>
          <w:lang w:val="en-US" w:eastAsia="zh-CN"/>
          <w14:textFill>
            <w14:solidFill>
              <w14:schemeClr w14:val="tx1"/>
            </w14:solidFill>
          </w14:textFill>
        </w:rPr>
        <w:t>财务岗位设置。</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themeColor="text1"/>
          <w:kern w:val="0"/>
          <w:sz w:val="32"/>
          <w:szCs w:val="32"/>
          <w:shd w:val="clear" w:color="auto" w:fill="FFFFFF"/>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shd w:val="clear" w:color="auto" w:fill="FFFFFF"/>
          <w:lang w:val="en-US" w:eastAsia="zh-CN"/>
          <w14:textFill>
            <w14:solidFill>
              <w14:schemeClr w14:val="tx1"/>
            </w14:solidFill>
          </w14:textFill>
        </w:rPr>
        <w:t>本部门已合理设置财务工作岗位，明确职责权限，并严格实行不相容岗位分离，岗位间职责清晰，各岗位按照工作流程有序进行。</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综上，根据评分标准，该项指标不扣分，得4分。</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themeColor="text1"/>
          <w:kern w:val="0"/>
          <w:sz w:val="32"/>
          <w:szCs w:val="32"/>
          <w:shd w:val="clear" w:color="auto" w:fill="FFFFFF"/>
          <w:lang w:val="en-US" w:eastAsia="zh-CN"/>
          <w14:textFill>
            <w14:solidFill>
              <w14:schemeClr w14:val="tx1"/>
            </w14:solidFill>
          </w14:textFill>
        </w:rPr>
      </w:pPr>
      <w:r>
        <w:rPr>
          <w:rFonts w:hint="default" w:ascii="Times New Roman" w:hAnsi="Times New Roman" w:cs="Times New Roman"/>
          <w:b/>
          <w:bCs/>
          <w:color w:val="000000" w:themeColor="text1"/>
          <w:kern w:val="0"/>
          <w:sz w:val="32"/>
          <w:szCs w:val="32"/>
          <w:shd w:val="clear" w:color="auto" w:fill="FFFFFF"/>
          <w:lang w:val="en-US" w:eastAsia="zh-CN"/>
          <w14:textFill>
            <w14:solidFill>
              <w14:schemeClr w14:val="tx1"/>
            </w14:solidFill>
          </w14:textFill>
        </w:rPr>
        <w:t>（3）</w:t>
      </w:r>
      <w:r>
        <w:rPr>
          <w:rFonts w:hint="default" w:ascii="Times New Roman" w:hAnsi="Times New Roman" w:eastAsia="仿宋_GB2312" w:cs="Times New Roman"/>
          <w:b/>
          <w:bCs/>
          <w:color w:val="000000" w:themeColor="text1"/>
          <w:kern w:val="0"/>
          <w:sz w:val="32"/>
          <w:szCs w:val="32"/>
          <w:shd w:val="clear" w:color="auto" w:fill="FFFFFF"/>
          <w:lang w:val="en-US" w:eastAsia="zh-CN"/>
          <w14:textFill>
            <w14:solidFill>
              <w14:schemeClr w14:val="tx1"/>
            </w14:solidFill>
          </w14:textFill>
        </w:rPr>
        <w:t>资金使用规范。</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themeColor="text1"/>
          <w:kern w:val="0"/>
          <w:sz w:val="32"/>
          <w:szCs w:val="32"/>
          <w:shd w:val="clear" w:color="auto" w:fill="FFFFFF"/>
          <w:lang w:val="en-US" w:eastAsia="zh-CN"/>
          <w14:textFill>
            <w14:solidFill>
              <w14:schemeClr w14:val="tx1"/>
            </w14:solidFill>
          </w14:textFill>
        </w:rPr>
        <w:t>本部门资金严格按照</w:t>
      </w:r>
      <w:r>
        <w:rPr>
          <w:rFonts w:hint="default" w:ascii="Times New Roman" w:hAnsi="Times New Roman" w:eastAsia="仿宋_GB2312" w:cs="Times New Roman"/>
          <w:color w:val="000000"/>
          <w:kern w:val="0"/>
          <w:sz w:val="32"/>
          <w:szCs w:val="32"/>
          <w:shd w:val="clear" w:color="auto" w:fill="FFFFFF"/>
          <w:lang w:val="en-US" w:eastAsia="zh-CN"/>
        </w:rPr>
        <w:t>《攀枝花市人力资源和社会保障局局机关财务管理制度》《攀枝花市人力资源和社会保障局大额资金管理办法（试行）》《关于进一步规范经费管理的通知》《攀枝花市市本级就业创业补助资金支付管理办法》等相关办法进行使用，保证资金使用合法合规。</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综上，根据评分标准，该项指标不扣分，得4分。</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auto"/>
          <w:kern w:val="0"/>
          <w:sz w:val="32"/>
          <w:szCs w:val="32"/>
          <w:shd w:val="clear" w:color="auto" w:fill="FFFFFF"/>
          <w:lang w:val="zh-CN"/>
        </w:rPr>
      </w:pPr>
      <w:r>
        <w:rPr>
          <w:rFonts w:hint="default" w:ascii="Times New Roman" w:hAnsi="Times New Roman" w:eastAsia="仿宋_GB2312" w:cs="Times New Roman"/>
          <w:b/>
          <w:bCs/>
          <w:color w:val="auto"/>
          <w:kern w:val="0"/>
          <w:sz w:val="32"/>
          <w:szCs w:val="32"/>
          <w:shd w:val="clear" w:color="auto" w:fill="FFFFFF"/>
          <w:lang w:val="en-US" w:eastAsia="zh-CN"/>
        </w:rPr>
        <w:t>4.</w:t>
      </w:r>
      <w:r>
        <w:rPr>
          <w:rFonts w:hint="default" w:ascii="Times New Roman" w:hAnsi="Times New Roman" w:eastAsia="仿宋_GB2312" w:cs="Times New Roman"/>
          <w:b/>
          <w:bCs/>
          <w:color w:val="auto"/>
          <w:kern w:val="0"/>
          <w:sz w:val="32"/>
          <w:szCs w:val="32"/>
          <w:shd w:val="clear" w:color="auto" w:fill="FFFFFF"/>
          <w:lang w:val="zh-CN"/>
        </w:rPr>
        <w:t>资产管理。</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eastAsia="仿宋_GB2312" w:cs="Times New Roman"/>
          <w:b/>
          <w:bCs/>
          <w:color w:val="000000"/>
          <w:kern w:val="0"/>
          <w:sz w:val="32"/>
          <w:szCs w:val="32"/>
          <w:shd w:val="clear" w:color="auto" w:fill="FFFFFF"/>
          <w:lang w:val="zh-CN"/>
        </w:rPr>
        <w:t>（</w:t>
      </w:r>
      <w:r>
        <w:rPr>
          <w:rFonts w:hint="default" w:ascii="Times New Roman" w:hAnsi="Times New Roman" w:eastAsia="仿宋_GB2312" w:cs="Times New Roman"/>
          <w:b/>
          <w:bCs/>
          <w:color w:val="000000"/>
          <w:kern w:val="0"/>
          <w:sz w:val="32"/>
          <w:szCs w:val="32"/>
          <w:shd w:val="clear" w:color="auto" w:fill="FFFFFF"/>
          <w:lang w:val="en-US" w:eastAsia="zh-CN"/>
        </w:rPr>
        <w:t>1）人均资产变化率。</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auto"/>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zh-CN"/>
        </w:rPr>
        <w:t>根据决算报表和国有资产年报表，</w:t>
      </w:r>
      <w:r>
        <w:rPr>
          <w:rFonts w:hint="default" w:ascii="Times New Roman" w:hAnsi="Times New Roman" w:eastAsia="仿宋_GB2312" w:cs="Times New Roman"/>
          <w:color w:val="000000"/>
          <w:kern w:val="0"/>
          <w:sz w:val="32"/>
          <w:szCs w:val="32"/>
          <w:shd w:val="clear" w:color="auto" w:fill="FFFFFF"/>
          <w:lang w:val="en-US" w:eastAsia="zh-CN"/>
        </w:rPr>
        <w:t>2024年末编制内实有数为96人，固定资产和无形资产净值合计605.63万元。2025年末编制内实有数为98人，</w:t>
      </w:r>
      <w:bookmarkStart w:id="52" w:name="OLE_LINK2"/>
      <w:r>
        <w:rPr>
          <w:rFonts w:hint="default" w:ascii="Times New Roman" w:hAnsi="Times New Roman" w:eastAsia="仿宋_GB2312" w:cs="Times New Roman"/>
          <w:color w:val="auto"/>
          <w:kern w:val="0"/>
          <w:sz w:val="32"/>
          <w:szCs w:val="32"/>
          <w:shd w:val="clear" w:color="auto" w:fill="FFFFFF"/>
          <w:lang w:val="en-US" w:eastAsia="zh-CN"/>
        </w:rPr>
        <w:t>固定资产和无形资产净值</w:t>
      </w:r>
      <w:bookmarkEnd w:id="52"/>
      <w:r>
        <w:rPr>
          <w:rFonts w:hint="default" w:ascii="Times New Roman" w:hAnsi="Times New Roman" w:eastAsia="仿宋_GB2312" w:cs="Times New Roman"/>
          <w:color w:val="auto"/>
          <w:kern w:val="0"/>
          <w:sz w:val="32"/>
          <w:szCs w:val="32"/>
          <w:shd w:val="clear" w:color="auto" w:fill="FFFFFF"/>
          <w:lang w:val="en-US" w:eastAsia="zh-CN"/>
        </w:rPr>
        <w:t>合计603.95万元。</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根据评价标准，本部门2024年人均占有资产6.31万元/人，人均资产变化率0.09%，人均资产增长率8.98%；2025年人均占有资产</w:t>
      </w:r>
      <w:r>
        <w:rPr>
          <w:rFonts w:hint="default" w:ascii="Times New Roman" w:hAnsi="Times New Roman" w:eastAsia="仿宋_GB2312" w:cs="Times New Roman"/>
          <w:color w:val="auto"/>
          <w:kern w:val="0"/>
          <w:sz w:val="32"/>
          <w:szCs w:val="32"/>
          <w:shd w:val="clear" w:color="auto" w:fill="FFFFFF"/>
          <w:lang w:val="en-US" w:eastAsia="zh-CN"/>
        </w:rPr>
        <w:t>6.16万元/人</w:t>
      </w:r>
      <w:r>
        <w:rPr>
          <w:rFonts w:hint="default" w:ascii="Times New Roman" w:hAnsi="Times New Roman" w:eastAsia="仿宋_GB2312" w:cs="Times New Roman"/>
          <w:color w:val="000000"/>
          <w:kern w:val="0"/>
          <w:sz w:val="32"/>
          <w:szCs w:val="32"/>
          <w:shd w:val="clear" w:color="auto" w:fill="FFFFFF"/>
          <w:lang w:val="en-US" w:eastAsia="zh-CN"/>
        </w:rPr>
        <w:t>，人均资产</w:t>
      </w:r>
      <w:r>
        <w:rPr>
          <w:rFonts w:hint="default" w:ascii="Times New Roman" w:hAnsi="Times New Roman" w:eastAsia="仿宋_GB2312" w:cs="Times New Roman"/>
          <w:color w:val="auto"/>
          <w:kern w:val="0"/>
          <w:sz w:val="32"/>
          <w:szCs w:val="32"/>
          <w:shd w:val="clear" w:color="auto" w:fill="FFFFFF"/>
          <w:lang w:val="en-US" w:eastAsia="zh-CN"/>
        </w:rPr>
        <w:t>变化率0.02%，</w:t>
      </w:r>
      <w:r>
        <w:rPr>
          <w:rFonts w:hint="default" w:ascii="Times New Roman" w:hAnsi="Times New Roman" w:eastAsia="仿宋_GB2312" w:cs="Times New Roman"/>
          <w:color w:val="000000"/>
          <w:kern w:val="0"/>
          <w:sz w:val="32"/>
          <w:szCs w:val="32"/>
          <w:shd w:val="clear" w:color="auto" w:fill="FFFFFF"/>
          <w:lang w:val="en-US" w:eastAsia="zh-CN"/>
        </w:rPr>
        <w:t>人均资产增长率</w:t>
      </w:r>
      <w:r>
        <w:rPr>
          <w:rFonts w:hint="default" w:ascii="Times New Roman" w:hAnsi="Times New Roman" w:eastAsia="仿宋_GB2312" w:cs="Times New Roman"/>
          <w:color w:val="auto"/>
          <w:kern w:val="0"/>
          <w:sz w:val="32"/>
          <w:szCs w:val="32"/>
          <w:shd w:val="clear" w:color="auto" w:fill="FFFFFF"/>
          <w:lang w:val="en-US" w:eastAsia="zh-CN"/>
        </w:rPr>
        <w:t>2.38%</w:t>
      </w:r>
      <w:r>
        <w:rPr>
          <w:rFonts w:hint="default" w:ascii="Times New Roman" w:hAnsi="Times New Roman" w:eastAsia="仿宋_GB2312" w:cs="Times New Roman"/>
          <w:color w:val="000000"/>
          <w:kern w:val="0"/>
          <w:sz w:val="32"/>
          <w:szCs w:val="32"/>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综上，根据评分标准，该项指标扣0.6分，得2.4分。</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cs="Times New Roman"/>
          <w:b/>
          <w:bCs/>
          <w:color w:val="000000"/>
          <w:kern w:val="0"/>
          <w:sz w:val="32"/>
          <w:szCs w:val="32"/>
          <w:shd w:val="clear" w:color="auto" w:fill="FFFFFF"/>
          <w:lang w:val="en-US" w:eastAsia="zh-CN"/>
        </w:rPr>
        <w:t>（2）</w:t>
      </w:r>
      <w:r>
        <w:rPr>
          <w:rFonts w:hint="default" w:ascii="Times New Roman" w:hAnsi="Times New Roman" w:eastAsia="仿宋_GB2312" w:cs="Times New Roman"/>
          <w:b/>
          <w:bCs/>
          <w:color w:val="000000"/>
          <w:kern w:val="0"/>
          <w:sz w:val="32"/>
          <w:szCs w:val="32"/>
          <w:shd w:val="clear" w:color="auto" w:fill="FFFFFF"/>
          <w:lang w:val="en-US" w:eastAsia="zh-CN"/>
        </w:rPr>
        <w:t>资产利用率。</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bookmarkStart w:id="53" w:name="OLE_LINK3"/>
      <w:r>
        <w:rPr>
          <w:rFonts w:hint="default" w:ascii="Times New Roman" w:hAnsi="Times New Roman" w:eastAsia="仿宋_GB2312" w:cs="Times New Roman"/>
          <w:color w:val="000000"/>
          <w:kern w:val="0"/>
          <w:sz w:val="32"/>
          <w:szCs w:val="32"/>
          <w:shd w:val="clear" w:color="auto" w:fill="FFFFFF"/>
          <w:lang w:val="en-US" w:eastAsia="zh-CN"/>
        </w:rPr>
        <w:t>根据资产存量明细查询表，2024年本部门超最低使用年限的办公家具账面价值为13.71万元，办公家具账面价值为68.64万元，办公家具超最低使用年限资产利用率19.97%；2025年本部门超最低使用年限的办公家具账面价值为13.71万元，办公家具账面价值为62.09万元，办公家具超最低使用年限资产利用率22.08%。</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根据资产存量明细查询表，2024年本部门超最低使用年限的办公设备账面价值为244.99万元，办公设备账面价值为300.27万元，办公设备超最低使用年限资产利用率81.59%</w:t>
      </w:r>
      <w:bookmarkEnd w:id="53"/>
      <w:r>
        <w:rPr>
          <w:rFonts w:hint="default" w:ascii="Times New Roman" w:hAnsi="Times New Roman" w:eastAsia="仿宋_GB2312" w:cs="Times New Roman"/>
          <w:color w:val="000000"/>
          <w:kern w:val="0"/>
          <w:sz w:val="32"/>
          <w:szCs w:val="32"/>
          <w:shd w:val="clear" w:color="auto" w:fill="FFFFFF"/>
          <w:lang w:val="en-US" w:eastAsia="zh-CN"/>
        </w:rPr>
        <w:t>；2025年本部门超最低使用年限的办公设备账面价值为407.73万元，办公设备账面价值为612.55万元，办公设备超最低使用年限资产利用率66.56%。</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综上，根据评分标准，该项指标扣0.6分，得2.4分。</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cs="Times New Roman"/>
          <w:b/>
          <w:bCs/>
          <w:color w:val="000000"/>
          <w:kern w:val="0"/>
          <w:sz w:val="32"/>
          <w:szCs w:val="32"/>
          <w:shd w:val="clear" w:color="auto" w:fill="FFFFFF"/>
          <w:lang w:val="en-US" w:eastAsia="zh-CN"/>
        </w:rPr>
        <w:t>（3）</w:t>
      </w:r>
      <w:r>
        <w:rPr>
          <w:rFonts w:hint="default" w:ascii="Times New Roman" w:hAnsi="Times New Roman" w:eastAsia="仿宋_GB2312" w:cs="Times New Roman"/>
          <w:b/>
          <w:bCs/>
          <w:color w:val="000000"/>
          <w:kern w:val="0"/>
          <w:sz w:val="32"/>
          <w:szCs w:val="32"/>
          <w:shd w:val="clear" w:color="auto" w:fill="FFFFFF"/>
          <w:lang w:val="en-US" w:eastAsia="zh-CN"/>
        </w:rPr>
        <w:t>资产盘活率。</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根据行政事业性国有资产报表，本部门本年度和上一年度均无闲置资产。</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综上，根据评分标准，该项指标不扣分，得3分。</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auto"/>
          <w:kern w:val="0"/>
          <w:sz w:val="32"/>
          <w:szCs w:val="32"/>
          <w:shd w:val="clear" w:color="auto" w:fill="FFFFFF"/>
          <w:lang w:val="zh-CN"/>
        </w:rPr>
      </w:pPr>
      <w:r>
        <w:rPr>
          <w:rFonts w:hint="default" w:ascii="Times New Roman" w:hAnsi="Times New Roman" w:cs="Times New Roman"/>
          <w:b/>
          <w:bCs/>
          <w:color w:val="auto"/>
          <w:kern w:val="0"/>
          <w:sz w:val="32"/>
          <w:szCs w:val="32"/>
          <w:shd w:val="clear" w:color="auto" w:fill="FFFFFF"/>
          <w:lang w:val="en-US" w:eastAsia="zh-CN"/>
        </w:rPr>
        <w:t>5.</w:t>
      </w:r>
      <w:r>
        <w:rPr>
          <w:rFonts w:hint="default" w:ascii="Times New Roman" w:hAnsi="Times New Roman" w:eastAsia="仿宋_GB2312" w:cs="Times New Roman"/>
          <w:b/>
          <w:bCs/>
          <w:color w:val="auto"/>
          <w:kern w:val="0"/>
          <w:sz w:val="32"/>
          <w:szCs w:val="32"/>
          <w:shd w:val="clear" w:color="auto" w:fill="FFFFFF"/>
          <w:lang w:val="zh-CN"/>
        </w:rPr>
        <w:t>采购管理。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eastAsia="仿宋_GB2312" w:cs="Times New Roman"/>
          <w:b/>
          <w:bCs/>
          <w:color w:val="000000"/>
          <w:kern w:val="0"/>
          <w:sz w:val="32"/>
          <w:szCs w:val="32"/>
          <w:shd w:val="clear" w:color="auto" w:fill="FFFFFF"/>
          <w:lang w:val="zh-CN"/>
        </w:rPr>
        <w:t>（</w:t>
      </w:r>
      <w:r>
        <w:rPr>
          <w:rFonts w:hint="default" w:ascii="Times New Roman" w:hAnsi="Times New Roman" w:eastAsia="仿宋_GB2312" w:cs="Times New Roman"/>
          <w:b/>
          <w:bCs/>
          <w:color w:val="000000"/>
          <w:kern w:val="0"/>
          <w:sz w:val="32"/>
          <w:szCs w:val="32"/>
          <w:shd w:val="clear" w:color="auto" w:fill="FFFFFF"/>
          <w:lang w:val="en-US" w:eastAsia="zh-CN"/>
        </w:rPr>
        <w:t>1）支持中小企业发展。</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rPr>
      </w:pPr>
      <w:r>
        <w:rPr>
          <w:rFonts w:hint="default" w:ascii="Times New Roman" w:hAnsi="Times New Roman" w:eastAsia="仿宋_GB2312" w:cs="Times New Roman"/>
          <w:color w:val="000000"/>
          <w:kern w:val="0"/>
          <w:sz w:val="32"/>
          <w:szCs w:val="32"/>
          <w:shd w:val="clear" w:color="auto" w:fill="FFFFFF"/>
          <w:lang w:val="en-US" w:eastAsia="zh-CN"/>
        </w:rPr>
        <w:t>本部门已预留采购份额专门面向中小企业采购，并在采购预算中单独列示，根据决算报表，政府采购授予中小企业合同金额为696.55万元。</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综上，根据评分标准，该项指标不扣分，得3分。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cs="Times New Roman"/>
          <w:b/>
          <w:bCs/>
          <w:color w:val="000000"/>
          <w:kern w:val="0"/>
          <w:sz w:val="32"/>
          <w:szCs w:val="32"/>
          <w:shd w:val="clear" w:color="auto" w:fill="FFFFFF"/>
          <w:lang w:val="en-US" w:eastAsia="zh-CN"/>
        </w:rPr>
        <w:t>（2）</w:t>
      </w:r>
      <w:r>
        <w:rPr>
          <w:rFonts w:hint="default" w:ascii="Times New Roman" w:hAnsi="Times New Roman" w:eastAsia="仿宋_GB2312" w:cs="Times New Roman"/>
          <w:b/>
          <w:bCs/>
          <w:color w:val="000000"/>
          <w:kern w:val="0"/>
          <w:sz w:val="32"/>
          <w:szCs w:val="32"/>
          <w:shd w:val="clear" w:color="auto" w:fill="FFFFFF"/>
          <w:lang w:val="en-US" w:eastAsia="zh-CN"/>
        </w:rPr>
        <w:t>采购执行率。</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本部门2025年政府采购实际支付总金额为127.12万元，政府采购总预算数为711.13万元，当年已完成采购项目节约金额为0.90万元。</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综上，根据评分标准，该项指标扣2.46分，得0.54分。</w:t>
      </w:r>
    </w:p>
    <w:p>
      <w:pPr>
        <w:keepNext w:val="0"/>
        <w:keepLines w:val="0"/>
        <w:pageBreakBefore w:val="0"/>
        <w:widowControl/>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楷体_GB2312" w:cs="Times New Roman"/>
          <w:color w:val="000000"/>
          <w:kern w:val="0"/>
          <w:sz w:val="32"/>
          <w:szCs w:val="32"/>
          <w:shd w:val="clear" w:color="auto" w:fill="FFFFFF"/>
        </w:rPr>
      </w:pPr>
      <w:r>
        <w:rPr>
          <w:rFonts w:hint="default" w:ascii="Times New Roman" w:hAnsi="Times New Roman" w:eastAsia="楷体_GB2312" w:cs="Times New Roman"/>
          <w:b/>
          <w:bCs/>
          <w:color w:val="000000"/>
          <w:kern w:val="0"/>
          <w:sz w:val="32"/>
          <w:szCs w:val="32"/>
          <w:shd w:val="clear" w:color="auto" w:fill="FFFFFF"/>
          <w:lang w:val="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default" w:ascii="Times New Roman" w:hAnsi="Times New Roman" w:eastAsia="仿宋_GB2312" w:cs="Times New Roman"/>
          <w:b w:val="0"/>
          <w:bCs w:val="0"/>
          <w:color w:val="auto"/>
          <w:kern w:val="0"/>
          <w:sz w:val="32"/>
          <w:szCs w:val="32"/>
          <w:highlight w:val="none"/>
          <w:shd w:val="clear" w:color="auto" w:fill="FFFFFF"/>
          <w:lang w:val="en-US" w:eastAsia="zh-CN"/>
        </w:rPr>
      </w:pPr>
      <w:r>
        <w:rPr>
          <w:rFonts w:hint="default" w:ascii="Times New Roman" w:hAnsi="Times New Roman" w:eastAsia="仿宋_GB2312" w:cs="Times New Roman"/>
          <w:b w:val="0"/>
          <w:bCs w:val="0"/>
          <w:color w:val="auto"/>
          <w:kern w:val="0"/>
          <w:sz w:val="32"/>
          <w:szCs w:val="32"/>
          <w:highlight w:val="none"/>
          <w:shd w:val="clear" w:color="auto" w:fill="FFFFFF"/>
          <w:lang w:eastAsia="zh-CN"/>
        </w:rPr>
        <w:t>本部门预算</w:t>
      </w:r>
      <w:r>
        <w:rPr>
          <w:rFonts w:hint="default" w:ascii="Times New Roman" w:hAnsi="Times New Roman" w:eastAsia="仿宋_GB2312" w:cs="Times New Roman"/>
          <w:b w:val="0"/>
          <w:bCs w:val="0"/>
          <w:color w:val="auto"/>
          <w:kern w:val="0"/>
          <w:sz w:val="32"/>
          <w:szCs w:val="32"/>
          <w:highlight w:val="none"/>
          <w:shd w:val="clear" w:color="auto" w:fill="FFFFFF"/>
          <w:lang w:val="zh-CN"/>
        </w:rPr>
        <w:t>项目总数</w:t>
      </w: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22</w:t>
      </w:r>
      <w:r>
        <w:rPr>
          <w:rFonts w:hint="default" w:ascii="Times New Roman" w:hAnsi="Times New Roman" w:eastAsia="仿宋_GB2312" w:cs="Times New Roman"/>
          <w:b w:val="0"/>
          <w:bCs w:val="0"/>
          <w:color w:val="auto"/>
          <w:kern w:val="0"/>
          <w:sz w:val="32"/>
          <w:szCs w:val="32"/>
          <w:highlight w:val="none"/>
          <w:shd w:val="clear" w:color="auto" w:fill="FFFFFF"/>
          <w:lang w:val="zh-CN"/>
        </w:rPr>
        <w:t>个，涉及预算总金额</w:t>
      </w: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2782.91</w:t>
      </w:r>
      <w:r>
        <w:rPr>
          <w:rFonts w:hint="default" w:ascii="Times New Roman" w:hAnsi="Times New Roman" w:eastAsia="仿宋_GB2312" w:cs="Times New Roman"/>
          <w:b w:val="0"/>
          <w:bCs w:val="0"/>
          <w:color w:val="auto"/>
          <w:kern w:val="0"/>
          <w:sz w:val="32"/>
          <w:szCs w:val="32"/>
          <w:highlight w:val="none"/>
          <w:shd w:val="clear" w:color="auto" w:fill="FFFFFF"/>
          <w:lang w:val="zh-CN"/>
        </w:rPr>
        <w:t>万元，预算执行率为</w:t>
      </w: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100</w:t>
      </w:r>
      <w:r>
        <w:rPr>
          <w:rFonts w:hint="default" w:ascii="Times New Roman" w:hAnsi="Times New Roman" w:eastAsia="仿宋_GB2312" w:cs="Times New Roman"/>
          <w:b w:val="0"/>
          <w:bCs w:val="0"/>
          <w:color w:val="auto"/>
          <w:kern w:val="0"/>
          <w:sz w:val="32"/>
          <w:szCs w:val="32"/>
          <w:highlight w:val="none"/>
          <w:shd w:val="clear" w:color="auto" w:fill="FFFFFF"/>
          <w:lang w:val="zh-CN"/>
        </w:rPr>
        <w:t>%。其中：常年项目17个736.03万元，阶段（含一次性）项目4个1355.98万元，代发全市人才专项经费项目1个690.9</w:t>
      </w: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0</w:t>
      </w:r>
      <w:r>
        <w:rPr>
          <w:rFonts w:hint="default" w:ascii="Times New Roman" w:hAnsi="Times New Roman" w:eastAsia="仿宋_GB2312" w:cs="Times New Roman"/>
          <w:b w:val="0"/>
          <w:bCs w:val="0"/>
          <w:color w:val="auto"/>
          <w:kern w:val="0"/>
          <w:sz w:val="32"/>
          <w:szCs w:val="32"/>
          <w:highlight w:val="none"/>
          <w:shd w:val="clear" w:color="auto" w:fill="FFFFFF"/>
          <w:lang w:val="zh-CN"/>
        </w:rPr>
        <w:t>万元。常年项目和阶段项目绩效目标完成情况详见附件</w:t>
      </w: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2</w:t>
      </w:r>
      <w:r>
        <w:rPr>
          <w:rFonts w:hint="default" w:ascii="Times New Roman" w:hAnsi="Times New Roman" w:eastAsia="仿宋_GB2312" w:cs="Times New Roman"/>
          <w:i w:val="0"/>
          <w:caps w:val="0"/>
          <w:color w:val="auto"/>
          <w:spacing w:val="0"/>
          <w:sz w:val="32"/>
          <w:szCs w:val="32"/>
          <w:highlight w:val="none"/>
          <w:lang w:eastAsia="zh-CN"/>
        </w:rPr>
        <w:t>部门预算项目支出绩效自评表（</w:t>
      </w:r>
      <w:r>
        <w:rPr>
          <w:rFonts w:hint="default" w:ascii="Times New Roman" w:hAnsi="Times New Roman" w:eastAsia="仿宋_GB2312" w:cs="Times New Roman"/>
          <w:i w:val="0"/>
          <w:caps w:val="0"/>
          <w:color w:val="auto"/>
          <w:spacing w:val="0"/>
          <w:sz w:val="32"/>
          <w:szCs w:val="32"/>
          <w:highlight w:val="none"/>
          <w:lang w:val="en-US" w:eastAsia="zh-CN"/>
        </w:rPr>
        <w:t>2025年度）。</w:t>
      </w:r>
    </w:p>
    <w:p>
      <w:pPr>
        <w:pStyle w:val="2"/>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zh-CN"/>
        </w:rPr>
        <w:t>常年项目绩效分析。该类项目总数</w:t>
      </w:r>
      <w:r>
        <w:rPr>
          <w:rFonts w:hint="default" w:ascii="Times New Roman" w:hAnsi="Times New Roman" w:eastAsia="仿宋_GB2312" w:cs="Times New Roman"/>
          <w:b w:val="0"/>
          <w:bCs w:val="0"/>
          <w:sz w:val="32"/>
          <w:szCs w:val="32"/>
          <w:lang w:val="en-US" w:eastAsia="zh-CN"/>
        </w:rPr>
        <w:t>17个，涉及预算总金额736.03万元，1-12月预算执行总体进度为100%，其中：预算结余率大于10%的项目共计0个。</w:t>
      </w:r>
    </w:p>
    <w:p>
      <w:pPr>
        <w:pStyle w:val="2"/>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阶段（含一次性）项目绩效分析。该类项目总数4个，涉及预算总金额1355.98万元，1-12月预算执行总体进度为100%，其中：预算结余率大于10%的项目共计0个。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zh-CN"/>
        </w:rPr>
      </w:pPr>
      <w:r>
        <w:rPr>
          <w:rFonts w:hint="default" w:ascii="Times New Roman" w:hAnsi="Times New Roman" w:eastAsia="仿宋_GB2312" w:cs="Times New Roman"/>
          <w:b/>
          <w:bCs/>
          <w:color w:val="000000"/>
          <w:kern w:val="0"/>
          <w:sz w:val="32"/>
          <w:szCs w:val="32"/>
          <w:shd w:val="clear" w:color="auto" w:fill="FFFFFF"/>
          <w:lang w:val="en-US" w:eastAsia="zh-CN"/>
        </w:rPr>
        <w:t>1.</w:t>
      </w:r>
      <w:r>
        <w:rPr>
          <w:rFonts w:hint="default" w:ascii="Times New Roman" w:hAnsi="Times New Roman" w:eastAsia="仿宋_GB2312" w:cs="Times New Roman"/>
          <w:b/>
          <w:bCs/>
          <w:color w:val="000000"/>
          <w:kern w:val="0"/>
          <w:sz w:val="32"/>
          <w:szCs w:val="32"/>
          <w:shd w:val="clear" w:color="auto" w:fill="FFFFFF"/>
          <w:lang w:val="zh-CN"/>
        </w:rPr>
        <w:t>项目决策。</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eastAsia="仿宋_GB2312" w:cs="Times New Roman"/>
          <w:b/>
          <w:bCs/>
          <w:color w:val="000000"/>
          <w:kern w:val="0"/>
          <w:sz w:val="32"/>
          <w:szCs w:val="32"/>
          <w:shd w:val="clear" w:color="auto" w:fill="FFFFFF"/>
          <w:lang w:val="en-US" w:eastAsia="zh-CN"/>
        </w:rPr>
        <w:t>（1）决策程序。</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根据可执行情况表，本部门预算阶段项目（含一次性项目）总数为8个，无未履行事前评估程序的部门预算阶段项目。</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综上，根据评分标准，该项指标不扣分，得4分。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cs="Times New Roman"/>
          <w:b/>
          <w:bCs/>
          <w:color w:val="000000"/>
          <w:kern w:val="0"/>
          <w:sz w:val="32"/>
          <w:szCs w:val="32"/>
          <w:shd w:val="clear" w:color="auto" w:fill="FFFFFF"/>
          <w:lang w:val="en-US" w:eastAsia="zh-CN"/>
        </w:rPr>
        <w:t>（2）</w:t>
      </w:r>
      <w:r>
        <w:rPr>
          <w:rFonts w:hint="default" w:ascii="Times New Roman" w:hAnsi="Times New Roman" w:eastAsia="仿宋_GB2312" w:cs="Times New Roman"/>
          <w:b/>
          <w:bCs/>
          <w:color w:val="000000"/>
          <w:kern w:val="0"/>
          <w:sz w:val="32"/>
          <w:szCs w:val="32"/>
          <w:shd w:val="clear" w:color="auto" w:fill="FFFFFF"/>
          <w:lang w:val="en-US" w:eastAsia="zh-CN"/>
        </w:rPr>
        <w:t>目标设置。</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本部门预算阶段项目（含一次性项目）总数为8个，无绩效目标与计划期内的任务量、预算安排不相匹配的部门预算阶段项目（含一次性项目）。</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综上，根据评分标准，该项指标不扣分，得4分。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cs="Times New Roman"/>
          <w:b/>
          <w:bCs/>
          <w:color w:val="000000"/>
          <w:kern w:val="0"/>
          <w:sz w:val="32"/>
          <w:szCs w:val="32"/>
          <w:shd w:val="clear" w:color="auto" w:fill="FFFFFF"/>
          <w:lang w:val="en-US" w:eastAsia="zh-CN"/>
        </w:rPr>
        <w:t>（3）</w:t>
      </w:r>
      <w:r>
        <w:rPr>
          <w:rFonts w:hint="default" w:ascii="Times New Roman" w:hAnsi="Times New Roman" w:eastAsia="仿宋_GB2312" w:cs="Times New Roman"/>
          <w:b/>
          <w:bCs/>
          <w:color w:val="000000"/>
          <w:kern w:val="0"/>
          <w:sz w:val="32"/>
          <w:szCs w:val="32"/>
          <w:shd w:val="clear" w:color="auto" w:fill="FFFFFF"/>
          <w:lang w:val="en-US" w:eastAsia="zh-CN"/>
        </w:rPr>
        <w:t>项目入库。</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本部门预算阶段项目（含一次性项目）总数为8个，均已在规定时间内入财政库。</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综上，根据评分标准，该项指标不扣分，得4分。</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zh-CN"/>
        </w:rPr>
      </w:pPr>
      <w:r>
        <w:rPr>
          <w:rFonts w:hint="default" w:ascii="Times New Roman" w:hAnsi="Times New Roman" w:eastAsia="仿宋_GB2312" w:cs="Times New Roman"/>
          <w:b/>
          <w:bCs/>
          <w:color w:val="000000"/>
          <w:kern w:val="0"/>
          <w:sz w:val="32"/>
          <w:szCs w:val="32"/>
          <w:shd w:val="clear" w:color="auto" w:fill="FFFFFF"/>
          <w:lang w:val="en-US" w:eastAsia="zh-CN"/>
        </w:rPr>
        <w:t>2.</w:t>
      </w:r>
      <w:r>
        <w:rPr>
          <w:rFonts w:hint="default" w:ascii="Times New Roman" w:hAnsi="Times New Roman" w:eastAsia="仿宋_GB2312" w:cs="Times New Roman"/>
          <w:b/>
          <w:bCs/>
          <w:color w:val="000000"/>
          <w:kern w:val="0"/>
          <w:sz w:val="32"/>
          <w:szCs w:val="32"/>
          <w:shd w:val="clear" w:color="auto" w:fill="FFFFFF"/>
        </w:rPr>
        <w:t>项目执行</w:t>
      </w:r>
      <w:r>
        <w:rPr>
          <w:rFonts w:hint="default" w:ascii="Times New Roman" w:hAnsi="Times New Roman" w:eastAsia="仿宋_GB2312" w:cs="Times New Roman"/>
          <w:b/>
          <w:bCs/>
          <w:color w:val="000000"/>
          <w:kern w:val="0"/>
          <w:sz w:val="32"/>
          <w:szCs w:val="32"/>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eastAsia="仿宋_GB2312" w:cs="Times New Roman"/>
          <w:b/>
          <w:bCs/>
          <w:color w:val="000000"/>
          <w:kern w:val="0"/>
          <w:sz w:val="32"/>
          <w:szCs w:val="32"/>
          <w:shd w:val="clear" w:color="auto" w:fill="FFFFFF"/>
          <w:lang w:val="zh-CN"/>
        </w:rPr>
        <w:t>（</w:t>
      </w:r>
      <w:r>
        <w:rPr>
          <w:rFonts w:hint="default" w:ascii="Times New Roman" w:hAnsi="Times New Roman" w:eastAsia="仿宋_GB2312" w:cs="Times New Roman"/>
          <w:b/>
          <w:bCs/>
          <w:color w:val="000000"/>
          <w:kern w:val="0"/>
          <w:sz w:val="32"/>
          <w:szCs w:val="32"/>
          <w:shd w:val="clear" w:color="auto" w:fill="FFFFFF"/>
          <w:lang w:val="en-US" w:eastAsia="zh-CN"/>
        </w:rPr>
        <w:t>1）资金执行同向。</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本部门预算阶段项目（含一次性项目）总数为8个，无实际列支内容与绩效目标设置方向不相符的部门预算阶段项目（含一次性项目）。</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综上，根据评分标准，该项指标不扣分，得4分。</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cs="Times New Roman"/>
          <w:b/>
          <w:bCs/>
          <w:color w:val="000000"/>
          <w:kern w:val="0"/>
          <w:sz w:val="32"/>
          <w:szCs w:val="32"/>
          <w:shd w:val="clear" w:color="auto" w:fill="FFFFFF"/>
          <w:lang w:val="en-US" w:eastAsia="zh-CN"/>
        </w:rPr>
        <w:t>（2）</w:t>
      </w:r>
      <w:r>
        <w:rPr>
          <w:rFonts w:hint="default" w:ascii="Times New Roman" w:hAnsi="Times New Roman" w:eastAsia="仿宋_GB2312" w:cs="Times New Roman"/>
          <w:b/>
          <w:bCs/>
          <w:color w:val="000000"/>
          <w:kern w:val="0"/>
          <w:sz w:val="32"/>
          <w:szCs w:val="32"/>
          <w:shd w:val="clear" w:color="auto" w:fill="FFFFFF"/>
          <w:lang w:val="en-US" w:eastAsia="zh-CN"/>
        </w:rPr>
        <w:t>项目调整。</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本部门应采取收回预算、调整目标等处置措施的部门预算阶段项目（含一次性项目），均按程序进行预算收回和目标调整。</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综上，根据评分标准，该项指标不扣分，得4分。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cs="Times New Roman"/>
          <w:b/>
          <w:bCs/>
          <w:color w:val="000000"/>
          <w:kern w:val="0"/>
          <w:sz w:val="32"/>
          <w:szCs w:val="32"/>
          <w:shd w:val="clear" w:color="auto" w:fill="FFFFFF"/>
          <w:lang w:val="en-US" w:eastAsia="zh-CN"/>
        </w:rPr>
        <w:t>（3）</w:t>
      </w:r>
      <w:r>
        <w:rPr>
          <w:rFonts w:hint="default" w:ascii="Times New Roman" w:hAnsi="Times New Roman" w:eastAsia="仿宋_GB2312" w:cs="Times New Roman"/>
          <w:b/>
          <w:bCs/>
          <w:color w:val="000000"/>
          <w:kern w:val="0"/>
          <w:sz w:val="32"/>
          <w:szCs w:val="32"/>
          <w:shd w:val="clear" w:color="auto" w:fill="FFFFFF"/>
          <w:lang w:val="en-US" w:eastAsia="zh-CN"/>
        </w:rPr>
        <w:t>执行结果。</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zh-CN"/>
        </w:rPr>
      </w:pPr>
      <w:r>
        <w:rPr>
          <w:rFonts w:hint="default" w:ascii="Times New Roman" w:hAnsi="Times New Roman" w:eastAsia="仿宋_GB2312" w:cs="Times New Roman"/>
          <w:color w:val="000000"/>
          <w:kern w:val="0"/>
          <w:sz w:val="32"/>
          <w:szCs w:val="32"/>
          <w:shd w:val="clear" w:color="auto" w:fill="FFFFFF"/>
          <w:lang w:eastAsia="zh-CN"/>
        </w:rPr>
        <w:t>本部门预算常年</w:t>
      </w:r>
      <w:r>
        <w:rPr>
          <w:rFonts w:hint="default" w:ascii="Times New Roman" w:hAnsi="Times New Roman" w:eastAsia="仿宋_GB2312" w:cs="Times New Roman"/>
          <w:color w:val="000000"/>
          <w:kern w:val="0"/>
          <w:sz w:val="32"/>
          <w:szCs w:val="32"/>
          <w:shd w:val="clear" w:color="auto" w:fill="FFFFFF"/>
          <w:lang w:val="zh-CN"/>
        </w:rPr>
        <w:t>项目和阶段项目</w:t>
      </w:r>
      <w:r>
        <w:rPr>
          <w:rFonts w:hint="default" w:ascii="Times New Roman" w:hAnsi="Times New Roman" w:eastAsia="仿宋_GB2312" w:cs="Times New Roman"/>
          <w:color w:val="auto"/>
          <w:kern w:val="0"/>
          <w:sz w:val="32"/>
          <w:szCs w:val="32"/>
          <w:shd w:val="clear" w:color="auto" w:fill="FFFFFF"/>
          <w:lang w:val="zh-CN"/>
        </w:rPr>
        <w:t>总数</w:t>
      </w:r>
      <w:r>
        <w:rPr>
          <w:rFonts w:hint="default" w:ascii="Times New Roman" w:hAnsi="Times New Roman" w:eastAsia="仿宋_GB2312" w:cs="Times New Roman"/>
          <w:color w:val="auto"/>
          <w:kern w:val="0"/>
          <w:sz w:val="32"/>
          <w:szCs w:val="32"/>
          <w:shd w:val="clear" w:color="auto" w:fill="FFFFFF"/>
          <w:lang w:val="en-US" w:eastAsia="zh-CN"/>
        </w:rPr>
        <w:t>21</w:t>
      </w:r>
      <w:r>
        <w:rPr>
          <w:rFonts w:hint="default" w:ascii="Times New Roman" w:hAnsi="Times New Roman" w:eastAsia="仿宋_GB2312" w:cs="Times New Roman"/>
          <w:color w:val="auto"/>
          <w:kern w:val="0"/>
          <w:sz w:val="32"/>
          <w:szCs w:val="32"/>
          <w:shd w:val="clear" w:color="auto" w:fill="FFFFFF"/>
          <w:lang w:val="zh-CN"/>
        </w:rPr>
        <w:t>个，涉及预算总金额</w:t>
      </w:r>
      <w:r>
        <w:rPr>
          <w:rFonts w:hint="default" w:ascii="Times New Roman" w:hAnsi="Times New Roman" w:eastAsia="仿宋_GB2312" w:cs="Times New Roman"/>
          <w:color w:val="auto"/>
          <w:kern w:val="0"/>
          <w:sz w:val="32"/>
          <w:szCs w:val="32"/>
          <w:shd w:val="clear" w:color="auto" w:fill="FFFFFF"/>
          <w:lang w:val="en-US" w:eastAsia="zh-CN"/>
        </w:rPr>
        <w:t>2092.01</w:t>
      </w:r>
      <w:r>
        <w:rPr>
          <w:rFonts w:hint="default" w:ascii="Times New Roman" w:hAnsi="Times New Roman" w:eastAsia="仿宋_GB2312" w:cs="Times New Roman"/>
          <w:color w:val="auto"/>
          <w:kern w:val="0"/>
          <w:sz w:val="32"/>
          <w:szCs w:val="32"/>
          <w:shd w:val="clear" w:color="auto" w:fill="FFFFFF"/>
          <w:lang w:val="zh-CN"/>
        </w:rPr>
        <w:t>万元</w:t>
      </w:r>
      <w:r>
        <w:rPr>
          <w:rFonts w:hint="default" w:ascii="Times New Roman" w:hAnsi="Times New Roman" w:eastAsia="仿宋_GB2312" w:cs="Times New Roman"/>
          <w:color w:val="000000"/>
          <w:kern w:val="0"/>
          <w:sz w:val="32"/>
          <w:szCs w:val="32"/>
          <w:shd w:val="clear" w:color="auto" w:fill="FFFFFF"/>
          <w:lang w:val="zh-CN"/>
        </w:rPr>
        <w:t>，1—1</w:t>
      </w:r>
      <w:r>
        <w:rPr>
          <w:rFonts w:hint="default" w:ascii="Times New Roman" w:hAnsi="Times New Roman" w:eastAsia="仿宋_GB2312" w:cs="Times New Roman"/>
          <w:color w:val="000000"/>
          <w:kern w:val="0"/>
          <w:sz w:val="32"/>
          <w:szCs w:val="32"/>
          <w:shd w:val="clear" w:color="auto" w:fill="FFFFFF"/>
        </w:rPr>
        <w:t>2</w:t>
      </w:r>
      <w:r>
        <w:rPr>
          <w:rFonts w:hint="default" w:ascii="Times New Roman" w:hAnsi="Times New Roman" w:eastAsia="仿宋_GB2312" w:cs="Times New Roman"/>
          <w:color w:val="000000"/>
          <w:kern w:val="0"/>
          <w:sz w:val="32"/>
          <w:szCs w:val="32"/>
          <w:shd w:val="clear" w:color="auto" w:fill="FFFFFF"/>
          <w:lang w:val="zh-CN"/>
        </w:rPr>
        <w:t>月预算执行总体进度为</w:t>
      </w:r>
      <w:r>
        <w:rPr>
          <w:rFonts w:hint="default" w:ascii="Times New Roman" w:hAnsi="Times New Roman" w:eastAsia="仿宋_GB2312" w:cs="Times New Roman"/>
          <w:color w:val="000000"/>
          <w:kern w:val="0"/>
          <w:sz w:val="32"/>
          <w:szCs w:val="32"/>
          <w:shd w:val="clear" w:color="auto" w:fill="FFFFFF"/>
          <w:lang w:val="en-US" w:eastAsia="zh-CN"/>
        </w:rPr>
        <w:t>100</w:t>
      </w:r>
      <w:r>
        <w:rPr>
          <w:rFonts w:hint="default" w:ascii="Times New Roman" w:hAnsi="Times New Roman" w:eastAsia="仿宋_GB2312" w:cs="Times New Roman"/>
          <w:color w:val="000000"/>
          <w:kern w:val="0"/>
          <w:sz w:val="32"/>
          <w:szCs w:val="32"/>
          <w:shd w:val="clear" w:color="auto" w:fill="FFFFFF"/>
          <w:lang w:val="zh-CN"/>
        </w:rPr>
        <w:t>%，其中：预算结余率小于</w:t>
      </w:r>
      <w:r>
        <w:rPr>
          <w:rFonts w:hint="default" w:ascii="Times New Roman" w:hAnsi="Times New Roman" w:eastAsia="仿宋_GB2312" w:cs="Times New Roman"/>
          <w:color w:val="000000"/>
          <w:kern w:val="0"/>
          <w:sz w:val="32"/>
          <w:szCs w:val="32"/>
          <w:shd w:val="clear" w:color="auto" w:fill="FFFFFF"/>
        </w:rPr>
        <w:t>10%</w:t>
      </w:r>
      <w:r>
        <w:rPr>
          <w:rFonts w:hint="default" w:ascii="Times New Roman" w:hAnsi="Times New Roman" w:eastAsia="仿宋_GB2312" w:cs="Times New Roman"/>
          <w:color w:val="000000"/>
          <w:kern w:val="0"/>
          <w:sz w:val="32"/>
          <w:szCs w:val="32"/>
          <w:shd w:val="clear" w:color="auto" w:fill="FFFFFF"/>
          <w:lang w:val="zh-CN"/>
        </w:rPr>
        <w:t>的项目共计</w:t>
      </w:r>
      <w:r>
        <w:rPr>
          <w:rFonts w:hint="default" w:ascii="Times New Roman" w:hAnsi="Times New Roman" w:eastAsia="仿宋_GB2312" w:cs="Times New Roman"/>
          <w:color w:val="000000"/>
          <w:kern w:val="0"/>
          <w:sz w:val="32"/>
          <w:szCs w:val="32"/>
          <w:shd w:val="clear" w:color="auto" w:fill="FFFFFF"/>
          <w:lang w:val="en-US" w:eastAsia="zh-CN"/>
        </w:rPr>
        <w:t>21</w:t>
      </w:r>
      <w:r>
        <w:rPr>
          <w:rFonts w:hint="default" w:ascii="Times New Roman" w:hAnsi="Times New Roman" w:eastAsia="仿宋_GB2312" w:cs="Times New Roman"/>
          <w:color w:val="000000"/>
          <w:kern w:val="0"/>
          <w:sz w:val="32"/>
          <w:szCs w:val="32"/>
          <w:shd w:val="clear" w:color="auto" w:fill="FFFFFF"/>
          <w:lang w:val="zh-CN"/>
        </w:rPr>
        <w:t>个。</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综上，根据评分标准，该项指标不扣分，得4分。</w:t>
      </w:r>
    </w:p>
    <w:p>
      <w:pPr>
        <w:keepNext w:val="0"/>
        <w:keepLines w:val="0"/>
        <w:pageBreakBefore w:val="0"/>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zh-CN"/>
        </w:rPr>
      </w:pPr>
      <w:r>
        <w:rPr>
          <w:rFonts w:hint="default" w:ascii="Times New Roman" w:hAnsi="Times New Roman" w:eastAsia="仿宋_GB2312" w:cs="Times New Roman"/>
          <w:b/>
          <w:bCs/>
          <w:color w:val="000000"/>
          <w:kern w:val="0"/>
          <w:sz w:val="32"/>
          <w:szCs w:val="32"/>
          <w:shd w:val="clear" w:color="auto" w:fill="FFFFFF"/>
        </w:rPr>
        <w:t>3.</w:t>
      </w:r>
      <w:r>
        <w:rPr>
          <w:rFonts w:hint="default" w:ascii="Times New Roman" w:hAnsi="Times New Roman" w:eastAsia="仿宋_GB2312" w:cs="Times New Roman"/>
          <w:b/>
          <w:bCs/>
          <w:color w:val="000000"/>
          <w:kern w:val="0"/>
          <w:sz w:val="32"/>
          <w:szCs w:val="32"/>
          <w:shd w:val="clear" w:color="auto" w:fill="FFFFFF"/>
          <w:lang w:val="zh-CN"/>
        </w:rPr>
        <w:t>目标实现。</w:t>
      </w:r>
    </w:p>
    <w:p>
      <w:pPr>
        <w:keepNext w:val="0"/>
        <w:keepLines w:val="0"/>
        <w:pageBreakBefore w:val="0"/>
        <w:kinsoku/>
        <w:wordWrap/>
        <w:overflowPunct/>
        <w:topLinePunct w:val="0"/>
        <w:autoSpaceDE/>
        <w:autoSpaceDN/>
        <w:bidi w:val="0"/>
        <w:snapToGrid w:val="0"/>
        <w:spacing w:line="360" w:lineRule="auto"/>
        <w:ind w:firstLine="643" w:firstLineChars="200"/>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eastAsia="仿宋_GB2312" w:cs="Times New Roman"/>
          <w:b/>
          <w:bCs/>
          <w:color w:val="000000"/>
          <w:kern w:val="0"/>
          <w:sz w:val="32"/>
          <w:szCs w:val="32"/>
          <w:shd w:val="clear" w:color="auto" w:fill="FFFFFF"/>
          <w:lang w:val="zh-CN"/>
        </w:rPr>
        <w:t>（</w:t>
      </w:r>
      <w:r>
        <w:rPr>
          <w:rFonts w:hint="default" w:ascii="Times New Roman" w:hAnsi="Times New Roman" w:eastAsia="仿宋_GB2312" w:cs="Times New Roman"/>
          <w:b/>
          <w:bCs/>
          <w:color w:val="000000"/>
          <w:kern w:val="0"/>
          <w:sz w:val="32"/>
          <w:szCs w:val="32"/>
          <w:shd w:val="clear" w:color="auto" w:fill="FFFFFF"/>
          <w:lang w:val="en-US" w:eastAsia="zh-CN"/>
        </w:rPr>
        <w:t>1）目标完成。</w:t>
      </w:r>
    </w:p>
    <w:p>
      <w:pPr>
        <w:keepNext w:val="0"/>
        <w:keepLines w:val="0"/>
        <w:pageBreakBefore w:val="0"/>
        <w:kinsoku/>
        <w:wordWrap/>
        <w:overflowPunct/>
        <w:topLinePunct w:val="0"/>
        <w:autoSpaceDE/>
        <w:autoSpaceDN/>
        <w:bidi w:val="0"/>
        <w:snapToGrid w:val="0"/>
        <w:spacing w:line="360" w:lineRule="auto"/>
        <w:ind w:firstLine="640" w:firstLineChars="200"/>
        <w:jc w:val="both"/>
        <w:textAlignment w:val="auto"/>
        <w:rPr>
          <w:rFonts w:hint="default" w:ascii="Times New Roman" w:hAnsi="Times New Roman" w:eastAsia="仿宋_GB2312" w:cs="Times New Roman"/>
          <w:b w:val="0"/>
          <w:bCs w:val="0"/>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本部门预算阶段项目（含一次性项目）总数为8个，已完成绩效目标数量指标的部门预算阶段项目（含一次性项目）数量为8个。</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综上，根据评分标准，该项指标不扣分，得4分。</w:t>
      </w:r>
    </w:p>
    <w:p>
      <w:pPr>
        <w:keepNext w:val="0"/>
        <w:keepLines w:val="0"/>
        <w:pageBreakBefore w:val="0"/>
        <w:numPr>
          <w:ilvl w:val="0"/>
          <w:numId w:val="0"/>
        </w:numPr>
        <w:kinsoku/>
        <w:wordWrap/>
        <w:overflowPunct/>
        <w:topLinePunct w:val="0"/>
        <w:autoSpaceDE/>
        <w:autoSpaceDN/>
        <w:bidi w:val="0"/>
        <w:snapToGrid w:val="0"/>
        <w:spacing w:line="360" w:lineRule="auto"/>
        <w:ind w:firstLine="643" w:firstLineChars="200"/>
        <w:jc w:val="both"/>
        <w:textAlignment w:val="auto"/>
        <w:rPr>
          <w:rFonts w:hint="default" w:ascii="Times New Roman" w:hAnsi="Times New Roman" w:eastAsia="仿宋_GB2312" w:cs="Times New Roman"/>
          <w:b/>
          <w:bCs/>
          <w:color w:val="auto"/>
          <w:kern w:val="0"/>
          <w:sz w:val="32"/>
          <w:szCs w:val="32"/>
          <w:highlight w:val="none"/>
          <w:shd w:val="clear" w:color="auto" w:fill="FFFFFF"/>
          <w:lang w:val="en-US" w:eastAsia="zh-CN"/>
        </w:rPr>
      </w:pPr>
      <w:r>
        <w:rPr>
          <w:rFonts w:hint="default" w:ascii="Times New Roman" w:hAnsi="Times New Roman" w:cs="Times New Roman"/>
          <w:b/>
          <w:bCs/>
          <w:color w:val="auto"/>
          <w:kern w:val="0"/>
          <w:sz w:val="32"/>
          <w:szCs w:val="32"/>
          <w:highlight w:val="none"/>
          <w:shd w:val="clear" w:color="auto" w:fill="FFFFFF"/>
          <w:lang w:val="en-US" w:eastAsia="zh-CN"/>
        </w:rPr>
        <w:t>（2）</w:t>
      </w:r>
      <w:r>
        <w:rPr>
          <w:rFonts w:hint="default" w:ascii="Times New Roman" w:hAnsi="Times New Roman" w:eastAsia="仿宋_GB2312" w:cs="Times New Roman"/>
          <w:b/>
          <w:bCs/>
          <w:color w:val="auto"/>
          <w:kern w:val="0"/>
          <w:sz w:val="32"/>
          <w:szCs w:val="32"/>
          <w:highlight w:val="none"/>
          <w:shd w:val="clear" w:color="auto" w:fill="FFFFFF"/>
          <w:lang w:val="en-US" w:eastAsia="zh-CN"/>
        </w:rPr>
        <w:t>目标偏离。</w:t>
      </w:r>
    </w:p>
    <w:p>
      <w:pPr>
        <w:keepNext w:val="0"/>
        <w:keepLines w:val="0"/>
        <w:pageBreakBefore w:val="0"/>
        <w:numPr>
          <w:ilvl w:val="0"/>
          <w:numId w:val="0"/>
        </w:numPr>
        <w:kinsoku/>
        <w:wordWrap/>
        <w:overflowPunct/>
        <w:topLinePunct w:val="0"/>
        <w:autoSpaceDE/>
        <w:autoSpaceDN/>
        <w:bidi w:val="0"/>
        <w:snapToGrid w:val="0"/>
        <w:spacing w:line="360" w:lineRule="auto"/>
        <w:ind w:firstLine="640" w:firstLineChars="200"/>
        <w:jc w:val="both"/>
        <w:textAlignment w:val="auto"/>
        <w:rPr>
          <w:rFonts w:hint="default" w:ascii="Times New Roman" w:hAnsi="Times New Roman" w:eastAsia="仿宋_GB2312" w:cs="Times New Roman"/>
          <w:b w:val="0"/>
          <w:bCs w:val="0"/>
          <w:color w:val="auto"/>
          <w:kern w:val="0"/>
          <w:sz w:val="32"/>
          <w:szCs w:val="32"/>
          <w:highlight w:val="none"/>
          <w:shd w:val="clear" w:color="auto" w:fill="FFFFFF"/>
          <w:lang w:val="en-US" w:eastAsia="zh-CN"/>
        </w:rPr>
      </w:pP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本部门</w:t>
      </w:r>
      <w:r>
        <w:rPr>
          <w:rFonts w:hint="default" w:ascii="Times New Roman" w:hAnsi="Times New Roman" w:eastAsia="仿宋_GB2312" w:cs="Times New Roman"/>
          <w:color w:val="auto"/>
          <w:kern w:val="0"/>
          <w:sz w:val="32"/>
          <w:szCs w:val="32"/>
          <w:highlight w:val="none"/>
          <w:shd w:val="clear" w:color="auto" w:fill="FFFFFF"/>
          <w:lang w:val="en-US" w:eastAsia="zh-CN"/>
        </w:rPr>
        <w:t>预算阶段项目（含一次性项目）</w:t>
      </w: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预期指标值的数量指标个数为13个，已完成预期指标值的数量指标中偏离度在30%内的指标个数为12个。</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auto"/>
          <w:kern w:val="0"/>
          <w:sz w:val="32"/>
          <w:szCs w:val="32"/>
          <w:highlight w:val="none"/>
          <w:shd w:val="clear" w:color="auto" w:fill="FFFFFF"/>
          <w:lang w:val="en-US" w:eastAsia="zh-CN"/>
        </w:rPr>
      </w:pPr>
      <w:r>
        <w:rPr>
          <w:rFonts w:hint="default" w:ascii="Times New Roman" w:hAnsi="Times New Roman" w:eastAsia="仿宋_GB2312" w:cs="Times New Roman"/>
          <w:color w:val="auto"/>
          <w:kern w:val="0"/>
          <w:sz w:val="32"/>
          <w:szCs w:val="32"/>
          <w:highlight w:val="none"/>
          <w:shd w:val="clear" w:color="auto" w:fill="FFFFFF"/>
          <w:lang w:val="en-US" w:eastAsia="zh-CN"/>
        </w:rPr>
        <w:t>综上，根据评分标准，该项指标扣0.31分，得3.69分。</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firstLine="643" w:firstLineChars="200"/>
        <w:jc w:val="both"/>
        <w:textAlignment w:val="auto"/>
        <w:rPr>
          <w:rFonts w:hint="default" w:ascii="Times New Roman" w:hAnsi="Times New Roman" w:eastAsia="仿宋_GB2312" w:cs="Times New Roman"/>
          <w:b/>
          <w:bCs/>
          <w:color w:val="000000"/>
          <w:kern w:val="0"/>
          <w:sz w:val="32"/>
          <w:szCs w:val="32"/>
          <w:shd w:val="clear" w:color="auto" w:fill="FFFFFF"/>
          <w:lang w:val="en-US" w:eastAsia="zh-CN"/>
        </w:rPr>
      </w:pPr>
      <w:r>
        <w:rPr>
          <w:rFonts w:hint="default" w:ascii="Times New Roman" w:hAnsi="Times New Roman" w:cs="Times New Roman"/>
          <w:b/>
          <w:bCs/>
          <w:color w:val="000000"/>
          <w:kern w:val="0"/>
          <w:sz w:val="32"/>
          <w:szCs w:val="32"/>
          <w:shd w:val="clear" w:color="auto" w:fill="FFFFFF"/>
          <w:lang w:val="en-US" w:eastAsia="zh-CN"/>
        </w:rPr>
        <w:t>（3）</w:t>
      </w:r>
      <w:r>
        <w:rPr>
          <w:rFonts w:hint="default" w:ascii="Times New Roman" w:hAnsi="Times New Roman" w:eastAsia="仿宋_GB2312" w:cs="Times New Roman"/>
          <w:b/>
          <w:bCs/>
          <w:color w:val="000000"/>
          <w:kern w:val="0"/>
          <w:sz w:val="32"/>
          <w:szCs w:val="32"/>
          <w:shd w:val="clear" w:color="auto" w:fill="FFFFFF"/>
          <w:lang w:val="en-US" w:eastAsia="zh-CN"/>
        </w:rPr>
        <w:t>实现效果。</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b w:val="0"/>
          <w:bCs w:val="0"/>
          <w:color w:val="000000"/>
          <w:kern w:val="0"/>
          <w:sz w:val="32"/>
          <w:szCs w:val="32"/>
          <w:shd w:val="clear" w:color="auto" w:fill="FFFFFF"/>
          <w:lang w:val="en-US" w:eastAsia="zh-CN"/>
        </w:rPr>
        <w:t>本部门</w:t>
      </w:r>
      <w:r>
        <w:rPr>
          <w:rFonts w:hint="default" w:ascii="Times New Roman" w:hAnsi="Times New Roman" w:eastAsia="仿宋_GB2312" w:cs="Times New Roman"/>
          <w:color w:val="000000"/>
          <w:kern w:val="0"/>
          <w:sz w:val="32"/>
          <w:szCs w:val="32"/>
          <w:shd w:val="clear" w:color="auto" w:fill="FFFFFF"/>
          <w:lang w:val="en-US" w:eastAsia="zh-CN"/>
        </w:rPr>
        <w:t>预算阶段项目（含一次性项目）总数为8个，完成绩效目标效益指标的</w:t>
      </w:r>
      <w:r>
        <w:rPr>
          <w:rFonts w:hint="default" w:ascii="Times New Roman" w:hAnsi="Times New Roman" w:eastAsia="仿宋_GB2312" w:cs="Times New Roman"/>
          <w:b w:val="0"/>
          <w:bCs w:val="0"/>
          <w:color w:val="000000"/>
          <w:kern w:val="0"/>
          <w:sz w:val="32"/>
          <w:szCs w:val="32"/>
          <w:shd w:val="clear" w:color="auto" w:fill="FFFFFF"/>
          <w:lang w:val="en-US" w:eastAsia="zh-CN"/>
        </w:rPr>
        <w:t>部门</w:t>
      </w:r>
      <w:r>
        <w:rPr>
          <w:rFonts w:hint="default" w:ascii="Times New Roman" w:hAnsi="Times New Roman" w:eastAsia="仿宋_GB2312" w:cs="Times New Roman"/>
          <w:color w:val="000000"/>
          <w:kern w:val="0"/>
          <w:sz w:val="32"/>
          <w:szCs w:val="32"/>
          <w:shd w:val="clear" w:color="auto" w:fill="FFFFFF"/>
          <w:lang w:val="en-US" w:eastAsia="zh-CN"/>
        </w:rPr>
        <w:t>预算阶段项目（含一次性项目）数量为8个，本部门预算项目绩效目标效益指标实施效果较好，均已达到设定指标值。</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综上，根据评分标准，该项指标不扣分，得3分。</w:t>
      </w:r>
    </w:p>
    <w:p>
      <w:pPr>
        <w:keepNext w:val="0"/>
        <w:keepLines w:val="0"/>
        <w:pageBreakBefore w:val="0"/>
        <w:numPr>
          <w:ilvl w:val="0"/>
          <w:numId w:val="0"/>
        </w:numPr>
        <w:kinsoku/>
        <w:wordWrap/>
        <w:overflowPunct/>
        <w:topLinePunct w:val="0"/>
        <w:autoSpaceDE/>
        <w:autoSpaceDN/>
        <w:bidi w:val="0"/>
        <w:snapToGrid w:val="0"/>
        <w:spacing w:line="360" w:lineRule="auto"/>
        <w:ind w:firstLine="643" w:firstLineChars="200"/>
        <w:jc w:val="both"/>
        <w:textAlignment w:val="auto"/>
        <w:rPr>
          <w:rFonts w:hint="default" w:ascii="Times New Roman" w:hAnsi="Times New Roman" w:eastAsia="楷体_GB2312" w:cs="Times New Roman"/>
          <w:color w:val="000000"/>
          <w:kern w:val="0"/>
          <w:sz w:val="32"/>
          <w:szCs w:val="32"/>
          <w:shd w:val="clear" w:color="auto" w:fill="FFFFFF"/>
          <w:lang w:val="zh-CN"/>
        </w:rPr>
      </w:pPr>
      <w:r>
        <w:rPr>
          <w:rFonts w:hint="default" w:ascii="Times New Roman" w:hAnsi="Times New Roman" w:eastAsia="楷体_GB2312" w:cs="Times New Roman"/>
          <w:b/>
          <w:bCs/>
          <w:sz w:val="32"/>
          <w:szCs w:val="32"/>
          <w:lang w:val="zh-CN"/>
        </w:rPr>
        <w:t>（三）绩效结果应用情况。</w:t>
      </w:r>
    </w:p>
    <w:p>
      <w:pPr>
        <w:keepNext w:val="0"/>
        <w:keepLines w:val="0"/>
        <w:pageBreakBefore w:val="0"/>
        <w:kinsoku/>
        <w:wordWrap/>
        <w:overflowPunct/>
        <w:topLinePunct w:val="0"/>
        <w:autoSpaceDE/>
        <w:autoSpaceDN/>
        <w:bidi w:val="0"/>
        <w:adjustRightInd w:val="0"/>
        <w:snapToGrid w:val="0"/>
        <w:spacing w:line="360" w:lineRule="auto"/>
        <w:ind w:firstLine="643" w:firstLineChars="200"/>
        <w:jc w:val="both"/>
        <w:textAlignment w:val="auto"/>
        <w:rPr>
          <w:rFonts w:hint="default" w:ascii="Times New Roman" w:hAnsi="Times New Roman" w:eastAsia="仿宋_GB2312" w:cs="Times New Roman"/>
          <w:b/>
          <w:bCs w:val="0"/>
          <w:snapToGrid w:val="0"/>
          <w:kern w:val="0"/>
          <w:sz w:val="32"/>
          <w:szCs w:val="32"/>
          <w:shd w:val="clear" w:color="auto" w:fill="FFFFFF"/>
          <w:lang w:val="zh-CN"/>
        </w:rPr>
      </w:pPr>
      <w:r>
        <w:rPr>
          <w:rFonts w:hint="default" w:ascii="Times New Roman" w:hAnsi="Times New Roman" w:eastAsia="仿宋_GB2312" w:cs="Times New Roman"/>
          <w:b/>
          <w:bCs w:val="0"/>
          <w:snapToGrid w:val="0"/>
          <w:kern w:val="0"/>
          <w:sz w:val="32"/>
          <w:szCs w:val="32"/>
          <w:shd w:val="clear" w:color="auto" w:fill="FFFFFF"/>
          <w:lang w:val="zh-CN"/>
        </w:rPr>
        <w:t>1.内部应用。</w:t>
      </w:r>
    </w:p>
    <w:p>
      <w:pPr>
        <w:keepNext w:val="0"/>
        <w:keepLines w:val="0"/>
        <w:pageBreakBefore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snapToGrid w:val="0"/>
          <w:kern w:val="0"/>
          <w:sz w:val="32"/>
          <w:szCs w:val="32"/>
          <w:shd w:val="clear" w:color="auto" w:fill="FFFFFF"/>
          <w:lang w:val="zh-CN"/>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将202</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4</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年预算执行及评价结果运用到202</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5</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年部门预算编制中，优化了项目支出结构。</w:t>
      </w:r>
      <w:r>
        <w:rPr>
          <w:rFonts w:hint="default" w:ascii="Times New Roman" w:hAnsi="Times New Roman" w:eastAsia="仿宋_GB2312" w:cs="Times New Roman"/>
          <w:bCs/>
          <w:snapToGrid w:val="0"/>
          <w:kern w:val="0"/>
          <w:sz w:val="32"/>
          <w:szCs w:val="32"/>
          <w:shd w:val="clear" w:color="auto" w:fill="FFFFFF"/>
          <w:lang w:val="zh-CN"/>
        </w:rPr>
        <w:t>项目绩效与预算资金安排挂钩；项目实施不及效果、预算执行进度不符合要求的，进行通报；对于造成</w:t>
      </w:r>
      <w:r>
        <w:rPr>
          <w:rFonts w:hint="default" w:ascii="Times New Roman" w:hAnsi="Times New Roman" w:eastAsia="仿宋_GB2312" w:cs="Times New Roman"/>
          <w:b w:val="0"/>
          <w:bCs/>
          <w:snapToGrid w:val="0"/>
          <w:kern w:val="0"/>
          <w:sz w:val="32"/>
          <w:szCs w:val="32"/>
          <w:shd w:val="clear" w:color="auto" w:fill="FFFFFF"/>
          <w:lang w:val="zh-CN"/>
        </w:rPr>
        <w:t>财政资金损失的，按照有关规定追究责任。</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3" w:firstLineChars="200"/>
        <w:jc w:val="both"/>
        <w:textAlignment w:val="auto"/>
        <w:rPr>
          <w:rFonts w:hint="default" w:ascii="Times New Roman" w:hAnsi="Times New Roman" w:eastAsia="仿宋_GB2312" w:cs="Times New Roman"/>
          <w:b/>
          <w:bCs w:val="0"/>
          <w:snapToGrid w:val="0"/>
          <w:kern w:val="0"/>
          <w:sz w:val="32"/>
          <w:szCs w:val="32"/>
          <w:shd w:val="clear" w:color="auto" w:fill="FFFFFF"/>
          <w:lang w:val="zh-CN"/>
        </w:rPr>
      </w:pPr>
      <w:r>
        <w:rPr>
          <w:rFonts w:hint="default" w:ascii="Times New Roman" w:hAnsi="Times New Roman" w:cs="Times New Roman"/>
          <w:b/>
          <w:bCs w:val="0"/>
          <w:snapToGrid w:val="0"/>
          <w:kern w:val="0"/>
          <w:sz w:val="32"/>
          <w:szCs w:val="32"/>
          <w:shd w:val="clear" w:color="auto" w:fill="FFFFFF"/>
          <w:lang w:val="en-US" w:eastAsia="zh-CN"/>
        </w:rPr>
        <w:t>2.</w:t>
      </w:r>
      <w:r>
        <w:rPr>
          <w:rFonts w:hint="default" w:ascii="Times New Roman" w:hAnsi="Times New Roman" w:eastAsia="仿宋_GB2312" w:cs="Times New Roman"/>
          <w:b/>
          <w:bCs w:val="0"/>
          <w:snapToGrid w:val="0"/>
          <w:kern w:val="0"/>
          <w:sz w:val="32"/>
          <w:szCs w:val="32"/>
          <w:shd w:val="clear" w:color="auto" w:fill="FFFFFF"/>
          <w:lang w:val="zh-CN"/>
        </w:rPr>
        <w:t>信息公开。</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snapToGrid w:val="0"/>
          <w:kern w:val="0"/>
          <w:sz w:val="32"/>
          <w:szCs w:val="32"/>
          <w:shd w:val="clear" w:color="auto" w:fill="FFFFFF"/>
          <w:lang w:val="zh-CN"/>
        </w:rPr>
      </w:pPr>
      <w:r>
        <w:rPr>
          <w:rFonts w:hint="default" w:ascii="Times New Roman" w:hAnsi="Times New Roman" w:eastAsia="仿宋_GB2312" w:cs="Times New Roman"/>
          <w:b w:val="0"/>
          <w:bCs/>
          <w:snapToGrid w:val="0"/>
          <w:kern w:val="0"/>
          <w:sz w:val="32"/>
          <w:szCs w:val="32"/>
          <w:shd w:val="clear" w:color="auto" w:fill="FFFFFF"/>
          <w:lang w:val="zh-CN"/>
        </w:rPr>
        <w:t>本部门严格按照预算法及预算法实施条例规定，经批复的项目绩效目标、绩效评价结果按规定向社会公开。202</w:t>
      </w:r>
      <w:r>
        <w:rPr>
          <w:rFonts w:hint="default" w:ascii="Times New Roman" w:hAnsi="Times New Roman" w:eastAsia="仿宋_GB2312" w:cs="Times New Roman"/>
          <w:b w:val="0"/>
          <w:bCs/>
          <w:snapToGrid w:val="0"/>
          <w:kern w:val="0"/>
          <w:sz w:val="32"/>
          <w:szCs w:val="32"/>
          <w:shd w:val="clear" w:color="auto" w:fill="FFFFFF"/>
          <w:lang w:val="en-US" w:eastAsia="zh-CN"/>
        </w:rPr>
        <w:t>5</w:t>
      </w:r>
      <w:r>
        <w:rPr>
          <w:rFonts w:hint="default" w:ascii="Times New Roman" w:hAnsi="Times New Roman" w:eastAsia="仿宋_GB2312" w:cs="Times New Roman"/>
          <w:b w:val="0"/>
          <w:bCs/>
          <w:snapToGrid w:val="0"/>
          <w:kern w:val="0"/>
          <w:sz w:val="32"/>
          <w:szCs w:val="32"/>
          <w:shd w:val="clear" w:color="auto" w:fill="FFFFFF"/>
          <w:lang w:val="zh-CN"/>
        </w:rPr>
        <w:t>年在局门户网站上公开的202</w:t>
      </w:r>
      <w:r>
        <w:rPr>
          <w:rFonts w:hint="default" w:ascii="Times New Roman" w:hAnsi="Times New Roman" w:eastAsia="仿宋_GB2312" w:cs="Times New Roman"/>
          <w:b w:val="0"/>
          <w:bCs/>
          <w:snapToGrid w:val="0"/>
          <w:kern w:val="0"/>
          <w:sz w:val="32"/>
          <w:szCs w:val="32"/>
          <w:shd w:val="clear" w:color="auto" w:fill="FFFFFF"/>
          <w:lang w:val="en-US" w:eastAsia="zh-CN"/>
        </w:rPr>
        <w:t>5</w:t>
      </w:r>
      <w:r>
        <w:rPr>
          <w:rFonts w:hint="default" w:ascii="Times New Roman" w:hAnsi="Times New Roman" w:eastAsia="仿宋_GB2312" w:cs="Times New Roman"/>
          <w:b w:val="0"/>
          <w:bCs/>
          <w:snapToGrid w:val="0"/>
          <w:kern w:val="0"/>
          <w:sz w:val="32"/>
          <w:szCs w:val="32"/>
          <w:shd w:val="clear" w:color="auto" w:fill="FFFFFF"/>
          <w:lang w:val="zh-CN"/>
        </w:rPr>
        <w:t>年部门预算中同步公开了绩效目标。</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firstLine="643" w:firstLineChars="200"/>
        <w:jc w:val="both"/>
        <w:textAlignment w:val="auto"/>
        <w:rPr>
          <w:rFonts w:hint="default" w:ascii="Times New Roman" w:hAnsi="Times New Roman" w:eastAsia="仿宋_GB2312" w:cs="Times New Roman"/>
          <w:b/>
          <w:bCs w:val="0"/>
          <w:snapToGrid w:val="0"/>
          <w:kern w:val="0"/>
          <w:sz w:val="32"/>
          <w:szCs w:val="32"/>
          <w:shd w:val="clear" w:color="auto" w:fill="FFFFFF"/>
          <w:lang w:val="zh-CN"/>
        </w:rPr>
      </w:pPr>
      <w:r>
        <w:rPr>
          <w:rFonts w:hint="default" w:ascii="Times New Roman" w:hAnsi="Times New Roman" w:cs="Times New Roman"/>
          <w:b/>
          <w:bCs w:val="0"/>
          <w:snapToGrid w:val="0"/>
          <w:kern w:val="0"/>
          <w:sz w:val="32"/>
          <w:szCs w:val="32"/>
          <w:shd w:val="clear" w:color="auto" w:fill="FFFFFF"/>
          <w:lang w:val="en-US" w:eastAsia="zh-CN"/>
        </w:rPr>
        <w:t>3.</w:t>
      </w:r>
      <w:r>
        <w:rPr>
          <w:rFonts w:hint="default" w:ascii="Times New Roman" w:hAnsi="Times New Roman" w:eastAsia="仿宋_GB2312" w:cs="Times New Roman"/>
          <w:b/>
          <w:bCs w:val="0"/>
          <w:snapToGrid w:val="0"/>
          <w:kern w:val="0"/>
          <w:sz w:val="32"/>
          <w:szCs w:val="32"/>
          <w:shd w:val="clear" w:color="auto" w:fill="FFFFFF"/>
          <w:lang w:val="zh-CN"/>
        </w:rPr>
        <w:t>问题整改和应用反馈。</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val="zh-CN"/>
        </w:rPr>
      </w:pPr>
      <w:r>
        <w:rPr>
          <w:rFonts w:hint="default" w:ascii="Times New Roman" w:hAnsi="Times New Roman" w:eastAsia="仿宋_GB2312" w:cs="Times New Roman"/>
          <w:bCs/>
          <w:snapToGrid w:val="0"/>
          <w:kern w:val="0"/>
          <w:sz w:val="32"/>
          <w:szCs w:val="32"/>
          <w:shd w:val="clear" w:color="auto" w:fill="FFFFFF"/>
          <w:lang w:val="zh-CN"/>
        </w:rPr>
        <w:t>在预算执行中充分运用动态“双监控”，并做好结果通报提示；组织局属各单位分析预算绩效目标实现预期，梳理因政策变化无法执行的项目进行预算调整；及时向财政部门报送绩效监控、绩效自评、结果应用等绩效结果报告。</w:t>
      </w:r>
    </w:p>
    <w:p>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both"/>
        <w:textAlignment w:val="auto"/>
        <w:rPr>
          <w:rFonts w:hint="default" w:ascii="Times New Roman" w:hAnsi="Times New Roman" w:eastAsia="黑体" w:cs="Times New Roman"/>
          <w:color w:val="000000"/>
          <w:kern w:val="0"/>
          <w:sz w:val="32"/>
          <w:szCs w:val="32"/>
          <w:shd w:val="clear" w:color="auto" w:fill="FFFFFF"/>
        </w:rPr>
      </w:pPr>
      <w:r>
        <w:rPr>
          <w:rFonts w:hint="default" w:ascii="Times New Roman" w:hAnsi="Times New Roman" w:eastAsia="黑体" w:cs="Times New Roman"/>
          <w:color w:val="000000"/>
          <w:kern w:val="0"/>
          <w:sz w:val="32"/>
          <w:szCs w:val="32"/>
          <w:shd w:val="clear" w:color="auto" w:fill="FFFFFF"/>
        </w:rPr>
        <w:t>四、评价结论及建议</w:t>
      </w:r>
    </w:p>
    <w:p>
      <w:pPr>
        <w:keepNext w:val="0"/>
        <w:keepLines w:val="0"/>
        <w:pageBreakBefore w:val="0"/>
        <w:widowControl/>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b/>
          <w:bCs/>
          <w:color w:val="000000"/>
          <w:kern w:val="0"/>
          <w:sz w:val="32"/>
          <w:szCs w:val="32"/>
          <w:shd w:val="clear" w:color="auto" w:fill="FFFFFF"/>
          <w:lang w:val="zh-CN"/>
        </w:rPr>
        <w:t>（一）评价结论。</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6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本部门履职效果和预算管理效果较好，财务管理、资产管理、采购管理规范，项目决策程序严格，项目执行进度和绩效目标实现程度良好，严格按照</w:t>
      </w:r>
      <w:r>
        <w:rPr>
          <w:rFonts w:hint="default" w:ascii="Times New Roman" w:hAnsi="Times New Roman" w:eastAsia="仿宋_GB2312" w:cs="Times New Roman"/>
          <w:sz w:val="32"/>
          <w:szCs w:val="32"/>
        </w:rPr>
        <w:t>《攀枝花市财政局关于开展</w:t>
      </w:r>
      <w:r>
        <w:rPr>
          <w:rFonts w:hint="default" w:ascii="Times New Roman" w:hAnsi="Times New Roman" w:eastAsia="仿宋_GB2312" w:cs="Times New Roman"/>
          <w:sz w:val="32"/>
          <w:szCs w:val="32"/>
          <w:lang w:eastAsia="zh-CN"/>
        </w:rPr>
        <w:t>市本级</w:t>
      </w:r>
      <w:r>
        <w:rPr>
          <w:rFonts w:hint="default" w:ascii="Times New Roman" w:hAnsi="Times New Roman" w:eastAsia="仿宋_GB2312" w:cs="Times New Roman"/>
          <w:sz w:val="32"/>
          <w:szCs w:val="32"/>
        </w:rPr>
        <w:t>预算绩效自评工作的通知》（攀财绩〔202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号）</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要求，完成项目绩效目标自评表的填报，实现部门预算项目自评全覆盖。根据《部门预算绩效评价指标体系》，</w:t>
      </w:r>
      <w:r>
        <w:rPr>
          <w:rFonts w:hint="default" w:ascii="Times New Roman" w:hAnsi="Times New Roman" w:eastAsia="仿宋_GB2312" w:cs="Times New Roman"/>
          <w:i w:val="0"/>
          <w:caps w:val="0"/>
          <w:color w:val="auto"/>
          <w:spacing w:val="0"/>
          <w:sz w:val="32"/>
          <w:szCs w:val="32"/>
          <w:lang w:val="en-US" w:eastAsia="zh-CN"/>
        </w:rPr>
        <w:t>本</w:t>
      </w:r>
      <w:r>
        <w:rPr>
          <w:rFonts w:hint="default" w:ascii="Times New Roman" w:hAnsi="Times New Roman" w:eastAsia="仿宋_GB2312" w:cs="Times New Roman"/>
          <w:i w:val="0"/>
          <w:caps w:val="0"/>
          <w:color w:val="auto"/>
          <w:spacing w:val="0"/>
          <w:sz w:val="32"/>
          <w:szCs w:val="32"/>
        </w:rPr>
        <w:t>部门</w:t>
      </w:r>
      <w:r>
        <w:rPr>
          <w:rFonts w:hint="default" w:ascii="Times New Roman" w:hAnsi="Times New Roman" w:eastAsia="仿宋_GB2312" w:cs="Times New Roman"/>
          <w:i w:val="0"/>
          <w:caps w:val="0"/>
          <w:color w:val="auto"/>
          <w:spacing w:val="0"/>
          <w:sz w:val="32"/>
          <w:szCs w:val="32"/>
          <w:lang w:eastAsia="zh-CN"/>
        </w:rPr>
        <w:t>自评得分为</w:t>
      </w:r>
      <w:r>
        <w:rPr>
          <w:rFonts w:hint="default" w:ascii="Times New Roman" w:hAnsi="Times New Roman" w:eastAsia="仿宋_GB2312" w:cs="Times New Roman"/>
          <w:i w:val="0"/>
          <w:caps w:val="0"/>
          <w:color w:val="auto"/>
          <w:spacing w:val="0"/>
          <w:sz w:val="32"/>
          <w:szCs w:val="32"/>
          <w:lang w:val="en-US" w:eastAsia="zh-CN"/>
        </w:rPr>
        <w:t>85.87</w:t>
      </w:r>
      <w:r>
        <w:rPr>
          <w:rFonts w:hint="default" w:ascii="Times New Roman" w:hAnsi="Times New Roman" w:eastAsia="仿宋_GB2312" w:cs="Times New Roman"/>
          <w:i w:val="0"/>
          <w:caps w:val="0"/>
          <w:color w:val="auto"/>
          <w:spacing w:val="0"/>
          <w:sz w:val="32"/>
          <w:szCs w:val="32"/>
          <w:lang w:eastAsia="zh-CN"/>
        </w:rPr>
        <w:t>分</w:t>
      </w:r>
      <w:r>
        <w:rPr>
          <w:rFonts w:hint="default" w:ascii="Times New Roman" w:hAnsi="Times New Roman" w:eastAsia="仿宋_GB2312" w:cs="Times New Roman"/>
          <w:i w:val="0"/>
          <w:caps w:val="0"/>
          <w:color w:val="auto"/>
          <w:spacing w:val="0"/>
          <w:sz w:val="32"/>
          <w:szCs w:val="32"/>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bCs/>
          <w:color w:val="000000"/>
          <w:kern w:val="0"/>
          <w:sz w:val="32"/>
          <w:szCs w:val="32"/>
          <w:shd w:val="clear" w:color="auto" w:fill="FFFFFF"/>
          <w:lang w:val="zh-CN"/>
        </w:rPr>
      </w:pPr>
      <w:r>
        <w:rPr>
          <w:rFonts w:hint="default" w:ascii="Times New Roman" w:hAnsi="Times New Roman" w:eastAsia="仿宋_GB2312" w:cs="Times New Roman"/>
          <w:b/>
          <w:bCs/>
          <w:color w:val="000000"/>
          <w:kern w:val="0"/>
          <w:sz w:val="32"/>
          <w:szCs w:val="32"/>
          <w:shd w:val="clear" w:color="auto" w:fill="FFFFFF"/>
          <w:lang w:val="zh-CN"/>
        </w:rPr>
        <w:t>（二）存在问题。</w:t>
      </w:r>
      <w:bookmarkStart w:id="54" w:name="OLE_LINK4"/>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bCs w:val="0"/>
          <w:sz w:val="32"/>
          <w:szCs w:val="32"/>
          <w:lang w:val="en-US" w:eastAsia="zh-CN"/>
        </w:rPr>
        <w:t>1.财政拨款预算、政府采购预算偏离度偏高。</w:t>
      </w:r>
      <w:r>
        <w:rPr>
          <w:rFonts w:hint="default" w:ascii="Times New Roman" w:hAnsi="Times New Roman" w:eastAsia="仿宋_GB2312" w:cs="Times New Roman"/>
          <w:b w:val="0"/>
          <w:bCs/>
          <w:sz w:val="32"/>
          <w:szCs w:val="32"/>
          <w:lang w:val="en-US" w:eastAsia="zh-CN"/>
        </w:rPr>
        <w:t>本部门财政拨款年初预算数2430.05万元，执行数5291.77万元，偏离度1.18；政府采购年初预算数7.32万元，执行数71.11万元，偏离度8.71。主要原因是：预算编制阶段，本部门已按照“应报尽报”原则申报预算。因本级财政财力紧张，部分特定目标类项目未纳入年初预算安排，相关资金均通过年中追加方式予以保障，导致预算偏离度偏高。按照相关评分标准，本部门预算编制质量8分指标未获得得分。</w:t>
      </w:r>
    </w:p>
    <w:bookmarkEnd w:id="54"/>
    <w:p>
      <w:pPr>
        <w:pStyle w:val="4"/>
        <w:keepNext w:val="0"/>
        <w:keepLines w:val="0"/>
        <w:pageBreakBefore w:val="0"/>
        <w:kinsoku/>
        <w:wordWrap/>
        <w:overflowPunct/>
        <w:topLinePunct w:val="0"/>
        <w:autoSpaceDE/>
        <w:autoSpaceDN/>
        <w:bidi w:val="0"/>
        <w:spacing w:after="0" w:line="360" w:lineRule="auto"/>
        <w:ind w:firstLine="643" w:firstLineChars="200"/>
        <w:jc w:val="both"/>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2.整体支出进度不均衡。</w:t>
      </w:r>
      <w:r>
        <w:rPr>
          <w:rFonts w:hint="default" w:ascii="Times New Roman" w:hAnsi="Times New Roman" w:eastAsia="仿宋_GB2312" w:cs="Times New Roman"/>
          <w:color w:val="000000"/>
          <w:kern w:val="0"/>
          <w:sz w:val="32"/>
          <w:szCs w:val="32"/>
          <w:highlight w:val="none"/>
          <w:shd w:val="clear" w:color="auto" w:fill="FFFFFF"/>
          <w:lang w:val="en-US" w:eastAsia="zh-CN"/>
        </w:rPr>
        <w:t>本部门1-6月执行进度为77.04%，达到50%序时进度要求；1-10月执行进度为77.74%，未达到83.33%序时进度要求。主要原因是：部分特定目标类项目受财力紧张影响，执行进度较缓；部分项目资金按照合同约定比例分阶段或定期一次性付清，执行进度不均衡。</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643" w:firstLineChars="200"/>
        <w:contextualSpacing/>
        <w:jc w:val="both"/>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（三）改进建议。</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6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kern w:val="0"/>
          <w:sz w:val="32"/>
          <w:szCs w:val="32"/>
          <w:lang w:eastAsia="zh-CN"/>
        </w:rPr>
        <w:t>本部门将深化预算绩效管理，加强预算执行跟踪，确保支出规范高效。一是严格按市财政局《推进财政绩效监督“三管三必须”落实见效实施细则》（攀财办〔</w:t>
      </w:r>
      <w:r>
        <w:rPr>
          <w:rFonts w:hint="default" w:ascii="Times New Roman" w:hAnsi="Times New Roman" w:eastAsia="仿宋_GB2312" w:cs="Times New Roman"/>
          <w:kern w:val="0"/>
          <w:sz w:val="32"/>
          <w:szCs w:val="32"/>
          <w:lang w:val="en-US" w:eastAsia="zh-CN"/>
        </w:rPr>
        <w:t>2025</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6号）要求，进一步加强全方位、全过程、全覆盖的预算绩效管理。二是对绩效目标实现程度和预算执行进度开展动态“双监控”，</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梳理各阶段实施情况，分析执行过程存在的偏差，及时纠偏整改，加强对各单位资金使用规范性指导，强化预算及财经纪律刚性约束。</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　　</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附表：部门预算项目支出绩效自评表（</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2025年度</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）见附件</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－攀枝花市人力资源和社会保障局2025年度部门预算项目支出绩效自评表</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rPr>
        <w:t>附件2</w:t>
      </w:r>
    </w:p>
    <w:p>
      <w:pPr>
        <w:pStyle w:val="19"/>
        <w:spacing w:line="600" w:lineRule="exact"/>
        <w:jc w:val="center"/>
        <w:rPr>
          <w:rFonts w:ascii="Times New Roman" w:hAnsi="Times New Roman" w:eastAsia="方正小标宋简体" w:cs="Times New Roman"/>
          <w:color w:val="auto"/>
          <w:kern w:val="2"/>
          <w:sz w:val="40"/>
          <w:szCs w:val="40"/>
        </w:rPr>
      </w:pPr>
    </w:p>
    <w:p>
      <w:pPr>
        <w:pStyle w:val="19"/>
        <w:spacing w:line="600" w:lineRule="exact"/>
        <w:jc w:val="center"/>
        <w:rPr>
          <w:rFonts w:ascii="Times New Roman" w:hAnsi="Times New Roman" w:eastAsia="方正小标宋简体" w:cs="Times New Roman"/>
          <w:color w:val="auto"/>
          <w:kern w:val="2"/>
          <w:sz w:val="40"/>
          <w:szCs w:val="40"/>
        </w:rPr>
      </w:pPr>
      <w:r>
        <w:rPr>
          <w:rFonts w:ascii="Times New Roman" w:hAnsi="Times New Roman" w:eastAsia="方正小标宋简体" w:cs="Times New Roman"/>
          <w:color w:val="auto"/>
          <w:kern w:val="2"/>
          <w:sz w:val="40"/>
          <w:szCs w:val="40"/>
        </w:rPr>
        <w:t>专项预算项目支出绩效自评报告</w:t>
      </w:r>
    </w:p>
    <w:p>
      <w:pPr>
        <w:pStyle w:val="19"/>
        <w:spacing w:line="600" w:lineRule="exact"/>
        <w:jc w:val="center"/>
        <w:rPr>
          <w:rFonts w:ascii="Times New Roman" w:hAnsi="Times New Roman" w:eastAsia="仿宋_GB2312" w:cs="Times New Roman"/>
          <w:color w:val="auto"/>
          <w:kern w:val="2"/>
          <w:sz w:val="32"/>
          <w:szCs w:val="32"/>
        </w:rPr>
      </w:pPr>
      <w:r>
        <w:rPr>
          <w:rFonts w:ascii="Times New Roman" w:hAnsi="Times New Roman" w:eastAsia="仿宋_GB2312" w:cs="Times New Roman"/>
          <w:color w:val="auto"/>
          <w:kern w:val="2"/>
          <w:sz w:val="32"/>
          <w:szCs w:val="32"/>
        </w:rPr>
        <w:t>（</w:t>
      </w:r>
      <w:r>
        <w:rPr>
          <w:rFonts w:hint="default" w:ascii="Times New Roman" w:hAnsi="Times New Roman" w:eastAsia="仿宋_GB2312" w:cs="Times New Roman"/>
          <w:color w:val="auto"/>
          <w:kern w:val="2"/>
          <w:sz w:val="32"/>
          <w:szCs w:val="32"/>
        </w:rPr>
        <w:t>就业创业补助资金</w:t>
      </w:r>
      <w:r>
        <w:rPr>
          <w:rFonts w:ascii="Times New Roman" w:hAnsi="Times New Roman" w:eastAsia="仿宋_GB2312" w:cs="Times New Roman"/>
          <w:color w:val="auto"/>
          <w:kern w:val="2"/>
          <w:sz w:val="32"/>
          <w:szCs w:val="32"/>
        </w:rPr>
        <w:t>）</w:t>
      </w:r>
    </w:p>
    <w:p>
      <w:pPr>
        <w:pStyle w:val="19"/>
        <w:spacing w:line="600" w:lineRule="exact"/>
        <w:ind w:firstLine="640"/>
        <w:jc w:val="center"/>
        <w:rPr>
          <w:rFonts w:ascii="Times New Roman" w:hAnsi="Times New Roman" w:cs="Times New Roman"/>
          <w:color w:val="auto"/>
          <w:kern w:val="2"/>
          <w:sz w:val="32"/>
          <w:szCs w:val="32"/>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方正黑体_GBK" w:cs="Times New Roman"/>
          <w:i w:val="0"/>
          <w:caps w:val="0"/>
          <w:color w:val="000000" w:themeColor="text1"/>
          <w:spacing w:val="0"/>
          <w:sz w:val="32"/>
          <w:szCs w:val="32"/>
          <w:lang w:val="zh-CN" w:eastAsia="zh-CN"/>
          <w14:textFill>
            <w14:solidFill>
              <w14:schemeClr w14:val="tx1"/>
            </w14:solidFill>
          </w14:textFill>
        </w:rPr>
      </w:pPr>
      <w:r>
        <w:rPr>
          <w:rFonts w:hint="default" w:ascii="Times New Roman" w:hAnsi="Times New Roman" w:eastAsia="方正黑体_GBK" w:cs="Times New Roman"/>
          <w:i w:val="0"/>
          <w:caps w:val="0"/>
          <w:color w:val="000000" w:themeColor="text1"/>
          <w:spacing w:val="0"/>
          <w:sz w:val="32"/>
          <w:szCs w:val="32"/>
          <w:lang w:val="en-US" w:eastAsia="zh-CN"/>
          <w14:textFill>
            <w14:solidFill>
              <w14:schemeClr w14:val="tx1"/>
            </w14:solidFill>
          </w14:textFill>
        </w:rPr>
        <w:t>一、</w:t>
      </w:r>
      <w:r>
        <w:rPr>
          <w:rFonts w:hint="default" w:ascii="Times New Roman" w:hAnsi="Times New Roman" w:eastAsia="方正黑体_GBK" w:cs="Times New Roman"/>
          <w:i w:val="0"/>
          <w:caps w:val="0"/>
          <w:color w:val="000000" w:themeColor="text1"/>
          <w:spacing w:val="0"/>
          <w:sz w:val="32"/>
          <w:szCs w:val="32"/>
          <w:lang w:val="zh-CN" w:eastAsia="zh-CN"/>
          <w14:textFill>
            <w14:solidFill>
              <w14:schemeClr w14:val="tx1"/>
            </w14:solidFill>
          </w14:textFill>
        </w:rPr>
        <w:t>项目概况</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left"/>
        <w:textAlignment w:val="auto"/>
        <w:rPr>
          <w:rFonts w:hint="default" w:ascii="Times New Roman" w:hAnsi="Times New Roman" w:eastAsia="仿宋_GB2312" w:cs="Times New Roman"/>
          <w:b/>
          <w:bCs/>
          <w:i w:val="0"/>
          <w:caps w:val="0"/>
          <w:color w:val="000000" w:themeColor="text1"/>
          <w:spacing w:val="0"/>
          <w:sz w:val="32"/>
          <w:szCs w:val="32"/>
          <w:lang w:val="zh-CN" w:eastAsia="zh-CN"/>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2"/>
          <w:szCs w:val="32"/>
          <w:lang w:val="zh-CN" w:eastAsia="zh-CN"/>
          <w14:textFill>
            <w14:solidFill>
              <w14:schemeClr w14:val="tx1"/>
            </w14:solidFill>
          </w14:textFill>
        </w:rPr>
        <w:t>（一）项目基本情况。</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t>1.</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市人力资源社会保障局负责提出资金分配建议方案，并加强项目管理，会同同级财政部门如实准确做好项目申报、审核和基础数据报送，对申报信息的准确性、真实性、完整性负责；牵头组织项目实施、监管和具体绩效管理等。</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t>2.按照《四川省财政厅</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 xml:space="preserve"> 四川省人力资源社会保障厅关于印发中央和省级财政就业创业补助资金管理办法的通知</w:t>
      </w:r>
      <w:r>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t>》（川财规〔2025〕2号），开展各项资金的申报及拨付工作。</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t>3.</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按</w:t>
      </w:r>
      <w:r>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t>《四川省财政厅</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 xml:space="preserve"> 四川省人力资源社会保障厅关于印发中央和省级财政就业创业补助资金管理办法的通知</w:t>
      </w:r>
      <w:r>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t>》（川财规〔2025〕2号）</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，针对各项补贴制定实施细则。</w:t>
      </w:r>
      <w:r>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t>支持具体项目的条件、范围与支持方式</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按</w:t>
      </w:r>
      <w:r>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t>（川财规〔2025〕2号）</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执行。</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t>4.注重普惠，重点倾斜。落实各项就业创业扶持政策，</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t>重点支持就业困难人员，防止返贫监测对象，大学生，退役军人，农民工等群体就业创业，同时兼顾其他各类群体，促进劳动者平等就业，推动地区间就业协同发展。</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资金按项目分配、因素分配结合的方式进行。优先进行项目分配后，市人力资源社会保障局按因素分配剩余的90%，市财政局分配剩下的10%。</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left"/>
        <w:textAlignment w:val="auto"/>
        <w:rPr>
          <w:rFonts w:hint="default" w:ascii="Times New Roman" w:hAnsi="Times New Roman" w:eastAsia="仿宋_GB2312" w:cs="Times New Roman"/>
          <w:b/>
          <w:bCs/>
          <w:i w:val="0"/>
          <w:caps w:val="0"/>
          <w:color w:val="000000" w:themeColor="text1"/>
          <w:spacing w:val="0"/>
          <w:sz w:val="32"/>
          <w:szCs w:val="32"/>
          <w:lang w:val="zh-CN" w:eastAsia="zh-CN"/>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2"/>
          <w:szCs w:val="32"/>
          <w:lang w:val="zh-CN" w:eastAsia="zh-CN"/>
          <w14:textFill>
            <w14:solidFill>
              <w14:schemeClr w14:val="tx1"/>
            </w14:solidFill>
          </w14:textFill>
        </w:rPr>
        <w:t>（二）项目绩效目标。</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t>1.</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2025年全市为符合条件的人员兑现了以下几类补贴：职业培训补贴、社会保险补贴及岗位补贴、就业见习补贴、求职创业补贴、创业补贴、吸纳就业补贴、就业创业服务补助及其他支出等补贴。</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t>2.项目应实现的具体绩效目标（</w:t>
      </w:r>
      <w:r>
        <w:rPr>
          <w:rFonts w:hint="default"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见下表</w:t>
      </w:r>
      <w:r>
        <w:rPr>
          <w:rFonts w:hint="default" w:ascii="Times New Roman" w:hAnsi="Times New Roman" w:eastAsia="仿宋_GB2312" w:cs="Times New Roman"/>
          <w:i w:val="0"/>
          <w:caps w:val="0"/>
          <w:color w:val="000000" w:themeColor="text1"/>
          <w:spacing w:val="0"/>
          <w:sz w:val="32"/>
          <w:szCs w:val="32"/>
          <w:lang w:val="zh-CN" w:eastAsia="zh-CN"/>
          <w14:textFill>
            <w14:solidFill>
              <w14:schemeClr w14:val="tx1"/>
            </w14:solidFill>
          </w14:textFill>
        </w:rPr>
        <w:t>）</w:t>
      </w:r>
    </w:p>
    <w:tbl>
      <w:tblPr>
        <w:tblStyle w:val="12"/>
        <w:tblW w:w="544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2"/>
        <w:gridCol w:w="723"/>
        <w:gridCol w:w="905"/>
        <w:gridCol w:w="2442"/>
        <w:gridCol w:w="1543"/>
        <w:gridCol w:w="1481"/>
        <w:gridCol w:w="1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281" w:type="pct"/>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指标值</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全年实际完成值</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未完成原因和改进措施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标</w:t>
            </w:r>
          </w:p>
        </w:tc>
        <w:tc>
          <w:tcPr>
            <w:tcW w:w="4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享受职业培训补贴人次数</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≥0.8万人次</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1.17万人次</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享受社会保险补贴人数</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≥0.3万人次</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0.16万人次</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因未限制申报时间，用人单位社保补贴、灵活就业社保多选择一次性申报，导致补贴人次数不足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享受就业见习补贴人数</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≥0.065万人次</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0.089万人次</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国家级高技能人才培训基地建设数量</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按人社厅正式文件规定</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国家级技能大师工作室建设数量</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按人社厅正式文件规定</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省级高技能人才培训基地建设数量</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按人社厅正式文件规定</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省级技能大师工作室建设数量</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按人社厅正式文件规定</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质量指标</w:t>
            </w: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毕业年度高校毕业生享受一次性求职补贴人数</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≥0.135万人</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0.178万人次</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就业困难人员享受公益性岗位补贴人数</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≥0.23万人</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0.22万人次</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资金缺口较大，控制公益性岗位开发规模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时效指标</w:t>
            </w: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资金在规定时间内下达率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≥98%</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≥98%</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成本指标</w:t>
            </w: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社会保险补贴人均标准</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原则上灵活就业社保补贴不超过其社会保险费实际缴费金额的三分之二</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养老保险按其缴纳的不超过1档缴费的三分之二，医疗保险为单建统筹的三分之二</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公益性岗位补贴人均标准</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原则上不高于当地最低工资标准</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2330元/月</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标</w:t>
            </w:r>
          </w:p>
        </w:tc>
        <w:tc>
          <w:tcPr>
            <w:tcW w:w="4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经济效益指标</w:t>
            </w: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城镇新增就业人数</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≥1.4万人</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1.8万人</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城镇调查失业率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5.5%左右</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5.50%</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年末高校毕业生就业帮扶率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95.34%</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失业人员再就业人数</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≥0.5万人</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0.7万人</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就业困难人员就业人数</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≥0.12万人</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0.15万人</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社会效益指标</w:t>
            </w: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零就业家庭帮扶率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≥98%</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因就业问题发生重大群体性事件数量</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0起</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生态效益指标</w:t>
            </w: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可持续影响指标</w:t>
            </w: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满意度指标</w:t>
            </w: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服务对象满意度指标</w:t>
            </w:r>
          </w:p>
        </w:tc>
        <w:tc>
          <w:tcPr>
            <w:tcW w:w="1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就业政策满意度</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20"/>
                <w:szCs w:val="20"/>
                <w:u w:val="none"/>
              </w:rPr>
            </w:pPr>
          </w:p>
        </w:tc>
      </w:tr>
    </w:tbl>
    <w:p>
      <w:pPr>
        <w:ind w:firstLine="640" w:firstLineChars="200"/>
        <w:rPr>
          <w:rFonts w:hint="default" w:ascii="Times New Roman" w:hAnsi="Times New Roman" w:eastAsia="方正仿宋_GBK" w:cs="Times New Roman"/>
          <w:sz w:val="32"/>
          <w:szCs w:val="32"/>
          <w:lang w:val="zh-CN"/>
        </w:rPr>
      </w:pPr>
    </w:p>
    <w:p>
      <w:pPr>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3.评价申报内容与实际相符，资金使用和效果达到了预期</w:t>
      </w:r>
      <w:r>
        <w:rPr>
          <w:rFonts w:hint="default" w:ascii="Times New Roman" w:hAnsi="Times New Roman" w:eastAsia="方正仿宋_GBK" w:cs="Times New Roman"/>
          <w:sz w:val="32"/>
          <w:szCs w:val="32"/>
          <w:lang w:val="en-US" w:eastAsia="zh-CN"/>
        </w:rPr>
        <w:t>指标，</w:t>
      </w:r>
      <w:r>
        <w:rPr>
          <w:rFonts w:hint="default" w:ascii="Times New Roman" w:hAnsi="Times New Roman" w:eastAsia="方正仿宋_GBK" w:cs="Times New Roman"/>
          <w:sz w:val="32"/>
          <w:szCs w:val="32"/>
          <w:lang w:val="zh-CN"/>
        </w:rPr>
        <w:t>申报目标合理可行。</w:t>
      </w:r>
    </w:p>
    <w:p>
      <w:pPr>
        <w:ind w:firstLine="643" w:firstLineChars="200"/>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zh-CN"/>
        </w:rPr>
        <w:t>（三）项目自评步骤及方法。</w:t>
      </w:r>
    </w:p>
    <w:p>
      <w:pPr>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本次绩效自评工作严格按照省财政厅通知要求，采取“分级自评、逐级审核、按时报送”的方式有序推进。首先是区县自评阶段。3月6日前，各县（区）</w:t>
      </w:r>
      <w:r>
        <w:rPr>
          <w:rFonts w:hint="default" w:ascii="Times New Roman" w:hAnsi="Times New Roman" w:eastAsia="方正仿宋_GBK" w:cs="Times New Roman"/>
          <w:sz w:val="32"/>
          <w:szCs w:val="32"/>
          <w:lang w:val="en-US" w:eastAsia="zh-CN"/>
        </w:rPr>
        <w:t>人力资源社会保障局</w:t>
      </w:r>
      <w:r>
        <w:rPr>
          <w:rFonts w:hint="default" w:ascii="Times New Roman" w:hAnsi="Times New Roman" w:eastAsia="方正仿宋_GBK" w:cs="Times New Roman"/>
          <w:sz w:val="32"/>
          <w:szCs w:val="32"/>
          <w:lang w:val="zh-CN"/>
        </w:rPr>
        <w:t>对照年初绩效目标，对各项资金支出进度、使用效益进行全面梳理，分项填报绩效自评表，自评表经同级财政部门进行审核</w:t>
      </w:r>
      <w:r>
        <w:rPr>
          <w:rFonts w:hint="default" w:ascii="Times New Roman" w:hAnsi="Times New Roman" w:eastAsia="方正仿宋_GBK" w:cs="Times New Roman"/>
          <w:sz w:val="32"/>
          <w:szCs w:val="32"/>
          <w:lang w:val="en-US"/>
        </w:rPr>
        <w:t>通过</w:t>
      </w:r>
      <w:r>
        <w:rPr>
          <w:rFonts w:hint="default" w:ascii="Times New Roman" w:hAnsi="Times New Roman" w:eastAsia="方正仿宋_GBK" w:cs="Times New Roman"/>
          <w:sz w:val="32"/>
          <w:szCs w:val="32"/>
          <w:lang w:val="zh-CN"/>
        </w:rPr>
        <w:t>后报送市人力资源社会保障局。其次市</w:t>
      </w:r>
      <w:r>
        <w:rPr>
          <w:rFonts w:hint="default" w:ascii="Times New Roman" w:hAnsi="Times New Roman" w:eastAsia="方正仿宋_GBK" w:cs="Times New Roman"/>
          <w:sz w:val="32"/>
          <w:szCs w:val="32"/>
          <w:lang w:val="en-US" w:eastAsia="zh-CN"/>
        </w:rPr>
        <w:t>人力资源社会保障局</w:t>
      </w:r>
      <w:r>
        <w:rPr>
          <w:rFonts w:hint="default" w:ascii="Times New Roman" w:hAnsi="Times New Roman" w:eastAsia="方正仿宋_GBK" w:cs="Times New Roman"/>
          <w:sz w:val="32"/>
          <w:szCs w:val="32"/>
          <w:lang w:val="zh-CN"/>
        </w:rPr>
        <w:t>收到各县（</w:t>
      </w:r>
      <w:r>
        <w:rPr>
          <w:rFonts w:hint="default" w:ascii="Times New Roman" w:hAnsi="Times New Roman" w:eastAsia="方正仿宋_GBK" w:cs="Times New Roman"/>
          <w:sz w:val="32"/>
          <w:szCs w:val="32"/>
          <w:lang w:val="en-US" w:eastAsia="zh-CN"/>
        </w:rPr>
        <w:t>区</w:t>
      </w:r>
      <w:r>
        <w:rPr>
          <w:rFonts w:hint="default" w:ascii="Times New Roman" w:hAnsi="Times New Roman" w:eastAsia="方正仿宋_GBK" w:cs="Times New Roman"/>
          <w:sz w:val="32"/>
          <w:szCs w:val="32"/>
          <w:lang w:val="zh-CN"/>
        </w:rPr>
        <w:t>）报送材料后，对照</w:t>
      </w:r>
      <w:r>
        <w:rPr>
          <w:rFonts w:hint="default" w:ascii="Times New Roman" w:hAnsi="Times New Roman" w:eastAsia="方正仿宋_GBK" w:cs="Times New Roman"/>
          <w:sz w:val="32"/>
          <w:szCs w:val="32"/>
          <w:lang w:val="en-US" w:eastAsia="zh-CN"/>
        </w:rPr>
        <w:t>我</w:t>
      </w:r>
      <w:r>
        <w:rPr>
          <w:rFonts w:hint="default" w:ascii="Times New Roman" w:hAnsi="Times New Roman" w:eastAsia="方正仿宋_GBK" w:cs="Times New Roman"/>
          <w:sz w:val="32"/>
          <w:szCs w:val="32"/>
          <w:lang w:val="zh-CN"/>
        </w:rPr>
        <w:t>市绩效目标总表进行分类汇总、逻辑复核，以及与市财政局进行对数审核，重点审核数据一致性、指标口径统一性，汇总形成全市各项资金支付绩效自评总表。经市</w:t>
      </w:r>
      <w:r>
        <w:rPr>
          <w:rFonts w:hint="default" w:ascii="Times New Roman" w:hAnsi="Times New Roman" w:eastAsia="方正仿宋_GBK" w:cs="Times New Roman"/>
          <w:sz w:val="32"/>
          <w:szCs w:val="32"/>
          <w:lang w:val="en-US" w:eastAsia="zh-CN"/>
        </w:rPr>
        <w:t>人力资源社会保障局</w:t>
      </w:r>
      <w:r>
        <w:rPr>
          <w:rFonts w:hint="default" w:ascii="Times New Roman" w:hAnsi="Times New Roman" w:eastAsia="方正仿宋_GBK" w:cs="Times New Roman"/>
          <w:sz w:val="32"/>
          <w:szCs w:val="32"/>
          <w:lang w:val="zh-CN"/>
        </w:rPr>
        <w:t>和市财政局</w:t>
      </w:r>
      <w:r>
        <w:rPr>
          <w:rFonts w:hint="default" w:ascii="Times New Roman" w:hAnsi="Times New Roman" w:eastAsia="方正仿宋_GBK" w:cs="Times New Roman"/>
          <w:sz w:val="32"/>
          <w:szCs w:val="32"/>
          <w:lang w:val="en-US" w:eastAsia="zh-CN"/>
        </w:rPr>
        <w:t>校验一致后</w:t>
      </w:r>
      <w:r>
        <w:rPr>
          <w:rFonts w:hint="default" w:ascii="Times New Roman" w:hAnsi="Times New Roman" w:eastAsia="方正仿宋_GBK" w:cs="Times New Roman"/>
          <w:sz w:val="32"/>
          <w:szCs w:val="32"/>
          <w:lang w:val="zh-CN"/>
        </w:rPr>
        <w:t>，按规定将全市绩效自评汇总材料报送</w:t>
      </w:r>
      <w:r>
        <w:rPr>
          <w:rFonts w:hint="default" w:ascii="Times New Roman" w:hAnsi="Times New Roman" w:eastAsia="方正仿宋_GBK" w:cs="Times New Roman"/>
          <w:sz w:val="32"/>
          <w:szCs w:val="32"/>
          <w:lang w:val="en-US" w:eastAsia="zh-CN"/>
        </w:rPr>
        <w:t>人力资源社会保障</w:t>
      </w:r>
      <w:r>
        <w:rPr>
          <w:rFonts w:hint="default" w:ascii="Times New Roman" w:hAnsi="Times New Roman" w:eastAsia="方正仿宋_GBK" w:cs="Times New Roman"/>
          <w:sz w:val="32"/>
          <w:szCs w:val="32"/>
          <w:lang w:val="zh-CN"/>
        </w:rPr>
        <w:t>厅。</w:t>
      </w:r>
    </w:p>
    <w:p>
      <w:pPr>
        <w:ind w:firstLine="640" w:firstLineChars="200"/>
        <w:rPr>
          <w:rFonts w:hint="default" w:ascii="Times New Roman" w:hAnsi="Times New Roman" w:eastAsia="方正黑体_GBK" w:cs="Times New Roman"/>
          <w:sz w:val="32"/>
          <w:szCs w:val="32"/>
          <w:lang w:val="zh-CN"/>
        </w:rPr>
      </w:pPr>
      <w:r>
        <w:rPr>
          <w:rFonts w:hint="default" w:ascii="Times New Roman" w:hAnsi="Times New Roman" w:eastAsia="方正黑体_GBK" w:cs="Times New Roman"/>
          <w:sz w:val="32"/>
          <w:szCs w:val="32"/>
          <w:lang w:val="zh-CN"/>
        </w:rPr>
        <w:t>二、项目资金申报及使用情况</w:t>
      </w:r>
    </w:p>
    <w:p>
      <w:pPr>
        <w:ind w:firstLine="643" w:firstLineChars="200"/>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zh-CN"/>
        </w:rPr>
        <w:t>（一）项目资金申报及批复情况。</w:t>
      </w:r>
    </w:p>
    <w:p>
      <w:pPr>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我市就业创业专项资金严格遵循财政预算管理和就业补助资金管理办法，规范执行各项程序。每年省级根据</w:t>
      </w:r>
      <w:r>
        <w:rPr>
          <w:rFonts w:hint="default" w:ascii="Times New Roman" w:hAnsi="Times New Roman" w:eastAsia="方正仿宋_GBK" w:cs="Times New Roman"/>
          <w:sz w:val="32"/>
          <w:szCs w:val="32"/>
          <w:lang w:val="en-US" w:eastAsia="zh-CN"/>
        </w:rPr>
        <w:t>因素和项目分配法测算后</w:t>
      </w:r>
      <w:r>
        <w:rPr>
          <w:rFonts w:hint="default" w:ascii="Times New Roman" w:hAnsi="Times New Roman" w:eastAsia="方正仿宋_GBK" w:cs="Times New Roman"/>
          <w:sz w:val="32"/>
          <w:szCs w:val="32"/>
          <w:lang w:val="zh-CN"/>
        </w:rPr>
        <w:t>下达</w:t>
      </w:r>
      <w:r>
        <w:rPr>
          <w:rFonts w:hint="default" w:ascii="Times New Roman" w:hAnsi="Times New Roman" w:eastAsia="方正仿宋_GBK" w:cs="Times New Roman"/>
          <w:sz w:val="32"/>
          <w:szCs w:val="32"/>
          <w:lang w:val="en-US" w:eastAsia="zh-CN"/>
        </w:rPr>
        <w:t>年度中央、省级资金总额和绩效</w:t>
      </w:r>
      <w:r>
        <w:rPr>
          <w:rFonts w:hint="default" w:ascii="Times New Roman" w:hAnsi="Times New Roman" w:eastAsia="方正仿宋_GBK" w:cs="Times New Roman"/>
          <w:sz w:val="32"/>
          <w:szCs w:val="32"/>
          <w:lang w:val="zh-CN"/>
        </w:rPr>
        <w:t>目标任务，</w:t>
      </w:r>
      <w:r>
        <w:rPr>
          <w:rFonts w:hint="default" w:ascii="Times New Roman" w:hAnsi="Times New Roman" w:eastAsia="方正仿宋_GBK" w:cs="Times New Roman"/>
          <w:sz w:val="32"/>
          <w:szCs w:val="32"/>
          <w:lang w:val="en-US" w:eastAsia="zh-CN"/>
        </w:rPr>
        <w:t>并在民生项目中，下达市县（区）财政配套资金总额，不涉及</w:t>
      </w:r>
      <w:r>
        <w:rPr>
          <w:rFonts w:hint="default" w:ascii="Times New Roman" w:hAnsi="Times New Roman" w:eastAsia="方正仿宋_GBK" w:cs="Times New Roman"/>
          <w:sz w:val="32"/>
          <w:szCs w:val="32"/>
          <w:lang w:val="zh-CN"/>
        </w:rPr>
        <w:t>项目资金申报、批复及预算调整等</w:t>
      </w:r>
      <w:r>
        <w:rPr>
          <w:rFonts w:hint="default" w:ascii="Times New Roman" w:hAnsi="Times New Roman" w:eastAsia="方正仿宋_GBK" w:cs="Times New Roman"/>
          <w:sz w:val="32"/>
          <w:szCs w:val="32"/>
          <w:lang w:val="en-US" w:eastAsia="zh-CN"/>
        </w:rPr>
        <w:t>内容</w:t>
      </w:r>
      <w:r>
        <w:rPr>
          <w:rFonts w:hint="default" w:ascii="Times New Roman" w:hAnsi="Times New Roman" w:eastAsia="方正仿宋_GBK" w:cs="Times New Roman"/>
          <w:sz w:val="32"/>
          <w:szCs w:val="32"/>
          <w:lang w:val="zh-CN"/>
        </w:rPr>
        <w:t>。</w:t>
      </w:r>
    </w:p>
    <w:p>
      <w:pPr>
        <w:ind w:firstLine="643" w:firstLineChars="200"/>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zh-CN"/>
        </w:rPr>
        <w:t>（二）资金计划、到位及使用情况。</w:t>
      </w:r>
    </w:p>
    <w:p>
      <w:pPr>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zh-CN"/>
        </w:rPr>
        <w:t>资金计划。202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zh-CN"/>
        </w:rPr>
        <w:t>年</w:t>
      </w:r>
      <w:r>
        <w:rPr>
          <w:rFonts w:hint="default" w:ascii="Times New Roman" w:hAnsi="Times New Roman" w:eastAsia="方正仿宋_GBK" w:cs="Times New Roman"/>
          <w:sz w:val="32"/>
          <w:szCs w:val="32"/>
          <w:lang w:val="zh-CN" w:eastAsia="zh-CN"/>
        </w:rPr>
        <w:t>全市</w:t>
      </w:r>
      <w:r>
        <w:rPr>
          <w:rFonts w:hint="default" w:ascii="Times New Roman" w:hAnsi="Times New Roman" w:eastAsia="方正仿宋_GBK" w:cs="Times New Roman"/>
          <w:sz w:val="32"/>
          <w:szCs w:val="32"/>
          <w:lang w:val="zh-CN"/>
        </w:rPr>
        <w:t>收到</w:t>
      </w:r>
      <w:r>
        <w:rPr>
          <w:rFonts w:hint="default" w:ascii="Times New Roman" w:hAnsi="Times New Roman" w:eastAsia="方正仿宋_GBK" w:cs="Times New Roman"/>
          <w:sz w:val="32"/>
          <w:szCs w:val="32"/>
          <w:lang w:val="en-US" w:eastAsia="zh-CN"/>
        </w:rPr>
        <w:t>省级</w:t>
      </w:r>
      <w:r>
        <w:rPr>
          <w:rFonts w:hint="default" w:ascii="Times New Roman" w:hAnsi="Times New Roman" w:eastAsia="方正仿宋_GBK" w:cs="Times New Roman"/>
          <w:sz w:val="32"/>
          <w:szCs w:val="32"/>
          <w:lang w:val="zh-CN"/>
        </w:rPr>
        <w:t>财政下拨</w:t>
      </w:r>
      <w:r>
        <w:rPr>
          <w:rFonts w:hint="default" w:ascii="Times New Roman" w:hAnsi="Times New Roman" w:eastAsia="方正仿宋_GBK" w:cs="Times New Roman"/>
          <w:sz w:val="32"/>
          <w:szCs w:val="32"/>
          <w:lang w:val="zh-CN" w:eastAsia="zh-CN"/>
        </w:rPr>
        <w:t>中央、</w:t>
      </w:r>
      <w:r>
        <w:rPr>
          <w:rFonts w:hint="default" w:ascii="Times New Roman" w:hAnsi="Times New Roman" w:eastAsia="方正仿宋_GBK" w:cs="Times New Roman"/>
          <w:sz w:val="32"/>
          <w:szCs w:val="32"/>
          <w:lang w:val="en-US" w:eastAsia="zh-CN"/>
        </w:rPr>
        <w:t>省级</w:t>
      </w:r>
      <w:r>
        <w:rPr>
          <w:rFonts w:hint="default" w:ascii="Times New Roman" w:hAnsi="Times New Roman" w:eastAsia="方正仿宋_GBK" w:cs="Times New Roman"/>
          <w:sz w:val="32"/>
          <w:szCs w:val="32"/>
          <w:lang w:val="zh-CN"/>
        </w:rPr>
        <w:t>就业创业补助资金</w:t>
      </w:r>
      <w:r>
        <w:rPr>
          <w:rFonts w:hint="default" w:ascii="Times New Roman" w:hAnsi="Times New Roman" w:eastAsia="方正仿宋_GBK" w:cs="Times New Roman"/>
          <w:sz w:val="32"/>
          <w:szCs w:val="32"/>
          <w:lang w:val="en-US" w:eastAsia="zh-CN"/>
        </w:rPr>
        <w:t>7624.34</w:t>
      </w:r>
      <w:r>
        <w:rPr>
          <w:rFonts w:hint="default" w:ascii="Times New Roman" w:hAnsi="Times New Roman" w:eastAsia="方正仿宋_GBK" w:cs="Times New Roman"/>
          <w:sz w:val="32"/>
          <w:szCs w:val="32"/>
          <w:lang w:val="zh-CN"/>
        </w:rPr>
        <w:t>万元，市、县（区）财政配套</w:t>
      </w:r>
      <w:r>
        <w:rPr>
          <w:rFonts w:hint="default" w:ascii="Times New Roman" w:hAnsi="Times New Roman" w:eastAsia="方正仿宋_GBK" w:cs="Times New Roman"/>
          <w:sz w:val="32"/>
          <w:szCs w:val="32"/>
          <w:lang w:val="en-US" w:eastAsia="zh-CN"/>
        </w:rPr>
        <w:t>及其它资金</w:t>
      </w:r>
      <w:r>
        <w:rPr>
          <w:rFonts w:hint="default" w:ascii="Times New Roman" w:hAnsi="Times New Roman" w:eastAsia="方正仿宋_GBK" w:cs="Times New Roman"/>
          <w:sz w:val="32"/>
          <w:szCs w:val="32"/>
          <w:lang w:val="zh-CN" w:eastAsia="zh-CN"/>
        </w:rPr>
        <w:t>（含追退资金、</w:t>
      </w:r>
      <w:r>
        <w:rPr>
          <w:rFonts w:hint="default" w:ascii="Times New Roman" w:hAnsi="Times New Roman" w:eastAsia="方正仿宋_GBK" w:cs="Times New Roman"/>
          <w:sz w:val="32"/>
          <w:szCs w:val="32"/>
          <w:lang w:val="en-US" w:eastAsia="zh-CN"/>
        </w:rPr>
        <w:t>利息收入</w:t>
      </w:r>
      <w:r>
        <w:rPr>
          <w:rFonts w:hint="default" w:ascii="Times New Roman" w:hAnsi="Times New Roman" w:eastAsia="方正仿宋_GBK" w:cs="Times New Roman"/>
          <w:sz w:val="32"/>
          <w:szCs w:val="32"/>
          <w:lang w:val="zh-CN" w:eastAsia="zh-CN"/>
        </w:rPr>
        <w:t>）</w:t>
      </w:r>
      <w:r>
        <w:rPr>
          <w:rFonts w:hint="default" w:ascii="Times New Roman" w:hAnsi="Times New Roman" w:eastAsia="方正仿宋_GBK" w:cs="Times New Roman"/>
          <w:sz w:val="32"/>
          <w:szCs w:val="32"/>
          <w:lang w:val="en-US" w:eastAsia="zh-CN"/>
        </w:rPr>
        <w:t>322.38</w:t>
      </w:r>
      <w:r>
        <w:rPr>
          <w:rFonts w:hint="default" w:ascii="Times New Roman" w:hAnsi="Times New Roman" w:eastAsia="方正仿宋_GBK" w:cs="Times New Roman"/>
          <w:sz w:val="32"/>
          <w:szCs w:val="32"/>
          <w:lang w:val="zh-CN"/>
        </w:rPr>
        <w:t>万元，202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zh-CN"/>
        </w:rPr>
        <w:t>年结转的就业创业补助资金</w:t>
      </w:r>
      <w:r>
        <w:rPr>
          <w:rFonts w:hint="default" w:ascii="Times New Roman" w:hAnsi="Times New Roman" w:eastAsia="方正仿宋_GBK" w:cs="Times New Roman"/>
          <w:sz w:val="32"/>
          <w:szCs w:val="32"/>
          <w:lang w:val="en-US" w:eastAsia="zh-CN"/>
        </w:rPr>
        <w:t>595.77</w:t>
      </w:r>
      <w:r>
        <w:rPr>
          <w:rFonts w:hint="default" w:ascii="Times New Roman" w:hAnsi="Times New Roman" w:eastAsia="方正仿宋_GBK" w:cs="Times New Roman"/>
          <w:sz w:val="32"/>
          <w:szCs w:val="32"/>
          <w:lang w:val="zh-CN"/>
        </w:rPr>
        <w:t>万元，202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zh-CN"/>
        </w:rPr>
        <w:t>年就业创业补助资金共计</w:t>
      </w:r>
      <w:r>
        <w:rPr>
          <w:rFonts w:hint="default" w:ascii="Times New Roman" w:hAnsi="Times New Roman" w:eastAsia="方正仿宋_GBK" w:cs="Times New Roman"/>
          <w:sz w:val="32"/>
          <w:szCs w:val="32"/>
          <w:lang w:val="en-US" w:eastAsia="zh-CN"/>
        </w:rPr>
        <w:t>8542.49</w:t>
      </w:r>
      <w:r>
        <w:rPr>
          <w:rFonts w:hint="default" w:ascii="Times New Roman" w:hAnsi="Times New Roman" w:eastAsia="方正仿宋_GBK" w:cs="Times New Roman"/>
          <w:sz w:val="32"/>
          <w:szCs w:val="32"/>
          <w:lang w:val="zh-CN"/>
        </w:rPr>
        <w:t>万元。</w:t>
      </w:r>
    </w:p>
    <w:p>
      <w:pPr>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zh-CN"/>
        </w:rPr>
        <w:t>资金到位。202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zh-CN"/>
        </w:rPr>
        <w:t>年</w:t>
      </w:r>
      <w:r>
        <w:rPr>
          <w:rFonts w:hint="default" w:ascii="Times New Roman" w:hAnsi="Times New Roman" w:eastAsia="方正仿宋_GBK" w:cs="Times New Roman"/>
          <w:sz w:val="32"/>
          <w:szCs w:val="32"/>
          <w:lang w:val="zh-CN" w:eastAsia="zh-CN"/>
        </w:rPr>
        <w:t>资金全部到位。</w:t>
      </w:r>
    </w:p>
    <w:p>
      <w:pPr>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val="zh-CN"/>
        </w:rPr>
        <w:t>资金使用。全市审核各项补贴累计人数</w:t>
      </w:r>
      <w:r>
        <w:rPr>
          <w:rFonts w:hint="default" w:ascii="Times New Roman" w:hAnsi="Times New Roman" w:eastAsia="方正仿宋_GBK" w:cs="Times New Roman"/>
          <w:sz w:val="32"/>
          <w:szCs w:val="32"/>
          <w:lang w:val="en-US"/>
        </w:rPr>
        <w:t>24997</w:t>
      </w:r>
      <w:r>
        <w:rPr>
          <w:rFonts w:hint="default" w:ascii="Times New Roman" w:hAnsi="Times New Roman" w:eastAsia="方正仿宋_GBK" w:cs="Times New Roman"/>
          <w:sz w:val="32"/>
          <w:szCs w:val="32"/>
          <w:lang w:val="zh-CN"/>
        </w:rPr>
        <w:t>人次，补贴资金</w:t>
      </w:r>
      <w:r>
        <w:rPr>
          <w:rFonts w:hint="default" w:ascii="Times New Roman" w:hAnsi="Times New Roman" w:eastAsia="方正仿宋_GBK" w:cs="Times New Roman"/>
          <w:sz w:val="32"/>
          <w:szCs w:val="32"/>
          <w:lang w:val="en-US"/>
        </w:rPr>
        <w:t>7830.39</w:t>
      </w:r>
      <w:r>
        <w:rPr>
          <w:rFonts w:hint="default" w:ascii="Times New Roman" w:hAnsi="Times New Roman" w:eastAsia="方正仿宋_GBK" w:cs="Times New Roman"/>
          <w:sz w:val="32"/>
          <w:szCs w:val="32"/>
          <w:lang w:val="zh-CN"/>
        </w:rPr>
        <w:t>万元。</w:t>
      </w:r>
      <w:r>
        <w:rPr>
          <w:rFonts w:hint="default" w:ascii="Times New Roman" w:hAnsi="Times New Roman" w:eastAsia="方正仿宋_GBK" w:cs="Times New Roman"/>
          <w:sz w:val="32"/>
          <w:szCs w:val="32"/>
          <w:lang w:val="en-US" w:eastAsia="zh-CN"/>
        </w:rPr>
        <w:t>相关补贴均按</w:t>
      </w:r>
      <w:r>
        <w:rPr>
          <w:rFonts w:hint="default" w:ascii="Times New Roman" w:hAnsi="Times New Roman" w:eastAsia="方正仿宋_GBK" w:cs="Times New Roman"/>
          <w:sz w:val="32"/>
          <w:szCs w:val="32"/>
          <w:lang w:val="zh-CN"/>
        </w:rPr>
        <w:t>（川财规〔2025〕2号）</w:t>
      </w:r>
      <w:r>
        <w:rPr>
          <w:rFonts w:hint="default" w:ascii="Times New Roman" w:hAnsi="Times New Roman" w:eastAsia="方正仿宋_GBK" w:cs="Times New Roman"/>
          <w:sz w:val="32"/>
          <w:szCs w:val="32"/>
          <w:lang w:val="en-US" w:eastAsia="zh-CN"/>
        </w:rPr>
        <w:t>及相应的实施细则规定的范围进行审核，</w:t>
      </w:r>
      <w:r>
        <w:rPr>
          <w:rFonts w:hint="default" w:ascii="Times New Roman" w:hAnsi="Times New Roman" w:eastAsia="方正仿宋_GBK" w:cs="Times New Roman"/>
          <w:sz w:val="32"/>
          <w:szCs w:val="32"/>
          <w:lang w:val="zh-CN"/>
        </w:rPr>
        <w:t>资金</w:t>
      </w:r>
      <w:r>
        <w:rPr>
          <w:rFonts w:hint="default" w:ascii="Times New Roman" w:hAnsi="Times New Roman" w:eastAsia="方正仿宋_GBK" w:cs="Times New Roman"/>
          <w:sz w:val="32"/>
          <w:szCs w:val="32"/>
          <w:lang w:val="en-US" w:eastAsia="zh-CN"/>
        </w:rPr>
        <w:t>按对应补贴标准进行支付，均拨付至享受政策的单位银行账户或个人社保卡，</w:t>
      </w:r>
      <w:r>
        <w:rPr>
          <w:rFonts w:hint="default" w:ascii="Times New Roman" w:hAnsi="Times New Roman" w:eastAsia="方正仿宋_GBK" w:cs="Times New Roman"/>
          <w:sz w:val="32"/>
          <w:szCs w:val="32"/>
          <w:lang w:val="zh-CN"/>
        </w:rPr>
        <w:t>使用安全性、规范性及有效性，</w:t>
      </w:r>
      <w:r>
        <w:rPr>
          <w:rFonts w:hint="default" w:ascii="Times New Roman" w:hAnsi="Times New Roman" w:eastAsia="方正仿宋_GBK" w:cs="Times New Roman"/>
          <w:sz w:val="32"/>
          <w:szCs w:val="32"/>
          <w:lang w:val="en-US" w:eastAsia="zh-CN"/>
        </w:rPr>
        <w:t>符合相关政策规定和</w:t>
      </w:r>
      <w:r>
        <w:rPr>
          <w:rFonts w:hint="default" w:ascii="Times New Roman" w:hAnsi="Times New Roman" w:eastAsia="方正仿宋_GBK" w:cs="Times New Roman"/>
          <w:sz w:val="32"/>
          <w:szCs w:val="32"/>
          <w:lang w:val="zh-CN"/>
        </w:rPr>
        <w:t>预算</w:t>
      </w:r>
      <w:r>
        <w:rPr>
          <w:rFonts w:hint="default" w:ascii="Times New Roman" w:hAnsi="Times New Roman" w:eastAsia="方正仿宋_GBK" w:cs="Times New Roman"/>
          <w:sz w:val="32"/>
          <w:szCs w:val="32"/>
          <w:lang w:val="en-US" w:eastAsia="zh-CN"/>
        </w:rPr>
        <w:t>要求</w:t>
      </w:r>
      <w:r>
        <w:rPr>
          <w:rFonts w:hint="default" w:ascii="Times New Roman" w:hAnsi="Times New Roman" w:eastAsia="方正仿宋_GBK" w:cs="Times New Roman"/>
          <w:sz w:val="32"/>
          <w:szCs w:val="32"/>
          <w:lang w:val="zh-CN"/>
        </w:rPr>
        <w:t>。</w:t>
      </w:r>
    </w:p>
    <w:p>
      <w:pPr>
        <w:ind w:firstLine="643" w:firstLineChars="200"/>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zh-CN"/>
        </w:rPr>
        <w:t>（三）项目财务管理情况。</w:t>
      </w:r>
    </w:p>
    <w:p>
      <w:pPr>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各级公共就业服务机构能认真落实中央、省、市就业创业补助资金管理规定，建立健全了就业创业补助资金财务管理制度，我市制定了《攀枝花市公益性岗位补贴和岗位补贴审核、拨付管理制度》《攀枝花市社保补贴审核管理制度》《攀枝花市就业专项资金监督管理制度》《攀枝花市就业专项资金统计管理制度》《攀枝花市就业服务管理局廉政风险防控手册》，就业创业补助资金实行专户管理，专款专用。资金使用做到不滞留、不截停，及时兑现就业创业政策。</w:t>
      </w:r>
    </w:p>
    <w:p>
      <w:pPr>
        <w:ind w:firstLine="640" w:firstLineChars="200"/>
        <w:rPr>
          <w:rFonts w:hint="default" w:ascii="Times New Roman" w:hAnsi="Times New Roman" w:eastAsia="方正黑体_GBK" w:cs="Times New Roman"/>
          <w:sz w:val="32"/>
          <w:szCs w:val="32"/>
          <w:lang w:val="zh-CN"/>
        </w:rPr>
      </w:pPr>
      <w:r>
        <w:rPr>
          <w:rFonts w:hint="default" w:ascii="Times New Roman" w:hAnsi="Times New Roman" w:eastAsia="方正黑体_GBK" w:cs="Times New Roman"/>
          <w:sz w:val="32"/>
          <w:szCs w:val="32"/>
          <w:lang w:val="zh-CN"/>
        </w:rPr>
        <w:t>三、项目实施及管理情况</w:t>
      </w:r>
    </w:p>
    <w:p>
      <w:pPr>
        <w:ind w:firstLine="643" w:firstLineChars="200"/>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zh-CN"/>
        </w:rPr>
        <w:t>（一）项目组织架构及实施流程。</w:t>
      </w:r>
    </w:p>
    <w:p>
      <w:pPr>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zh-CN"/>
        </w:rPr>
        <w:t>市</w:t>
      </w:r>
      <w:r>
        <w:rPr>
          <w:rFonts w:hint="default" w:ascii="Times New Roman" w:hAnsi="Times New Roman" w:eastAsia="方正仿宋_GBK" w:cs="Times New Roman"/>
          <w:sz w:val="32"/>
          <w:szCs w:val="32"/>
          <w:lang w:val="en-US" w:eastAsia="zh-CN"/>
        </w:rPr>
        <w:t>人力资源社会保障局负责政策制定，</w:t>
      </w:r>
      <w:r>
        <w:rPr>
          <w:rFonts w:hint="default" w:ascii="Times New Roman" w:hAnsi="Times New Roman" w:eastAsia="方正仿宋_GBK" w:cs="Times New Roman"/>
          <w:sz w:val="32"/>
          <w:szCs w:val="32"/>
          <w:lang w:val="zh-CN"/>
        </w:rPr>
        <w:t>市</w:t>
      </w:r>
      <w:r>
        <w:rPr>
          <w:rFonts w:hint="default" w:ascii="Times New Roman" w:hAnsi="Times New Roman" w:eastAsia="方正仿宋_GBK" w:cs="Times New Roman"/>
          <w:sz w:val="32"/>
          <w:szCs w:val="32"/>
          <w:lang w:val="en-US" w:eastAsia="zh-CN"/>
        </w:rPr>
        <w:t>、县（区）人力资源社会保障局业务指导和监督检查，市、县（区）财政局负责资金保障和预算审核；各市、县（区）就业创业中心承担本级资金申报、审核和发放职责；街道乡镇人社服务平台、院校协助开展政策宣传和部分业务受理。</w:t>
      </w:r>
    </w:p>
    <w:p>
      <w:pPr>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项目实施流程严格规范，符合申报条件的单位或个人分类向所在地就业创业中心提交申请材料进行申报；经就业创业中心审核通过，在政府网站或省就业V3.0平台公示不少于5个工作日；公示无异议的，由同级财政部门按规定将资金拨付至申请单位（人）账户；资金发放完成后，相关材料及时整理归档，确保全程留痕、有据可查。各环节紧密衔接，保障资金安全高效运行。</w:t>
      </w:r>
    </w:p>
    <w:p>
      <w:pPr>
        <w:ind w:firstLine="643"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b/>
          <w:bCs/>
          <w:sz w:val="32"/>
          <w:szCs w:val="32"/>
          <w:lang w:val="zh-CN"/>
        </w:rPr>
        <w:t>（二）项目管理情况。</w:t>
      </w:r>
      <w:r>
        <w:rPr>
          <w:rFonts w:hint="default" w:ascii="Times New Roman" w:hAnsi="Times New Roman" w:eastAsia="方正仿宋_GBK" w:cs="Times New Roman"/>
          <w:sz w:val="32"/>
          <w:szCs w:val="32"/>
          <w:lang w:val="zh-CN"/>
        </w:rPr>
        <w:t>我市就业创业</w:t>
      </w:r>
      <w:r>
        <w:rPr>
          <w:rFonts w:hint="default" w:ascii="Times New Roman" w:hAnsi="Times New Roman" w:eastAsia="方正仿宋_GBK" w:cs="Times New Roman"/>
          <w:sz w:val="32"/>
          <w:szCs w:val="32"/>
          <w:lang w:val="en-US" w:eastAsia="zh-CN"/>
        </w:rPr>
        <w:t>补助资金</w:t>
      </w:r>
      <w:r>
        <w:rPr>
          <w:rFonts w:hint="default" w:ascii="Times New Roman" w:hAnsi="Times New Roman" w:eastAsia="方正仿宋_GBK" w:cs="Times New Roman"/>
          <w:sz w:val="32"/>
          <w:szCs w:val="32"/>
          <w:lang w:val="zh-CN"/>
        </w:rPr>
        <w:t>严格</w:t>
      </w:r>
      <w:r>
        <w:rPr>
          <w:rFonts w:hint="default" w:ascii="Times New Roman" w:hAnsi="Times New Roman" w:eastAsia="方正仿宋_GBK" w:cs="Times New Roman"/>
          <w:sz w:val="32"/>
          <w:szCs w:val="32"/>
          <w:lang w:val="en-US" w:eastAsia="zh-CN"/>
        </w:rPr>
        <w:t>按</w:t>
      </w:r>
      <w:r>
        <w:rPr>
          <w:rFonts w:hint="default" w:ascii="Times New Roman" w:hAnsi="Times New Roman" w:eastAsia="方正仿宋_GBK" w:cs="Times New Roman"/>
          <w:sz w:val="32"/>
          <w:szCs w:val="32"/>
          <w:lang w:val="zh-CN"/>
        </w:rPr>
        <w:t>（川财规〔2025〕2号）</w:t>
      </w:r>
      <w:r>
        <w:rPr>
          <w:rFonts w:hint="default" w:ascii="Times New Roman" w:hAnsi="Times New Roman" w:eastAsia="方正仿宋_GBK" w:cs="Times New Roman"/>
          <w:sz w:val="32"/>
          <w:szCs w:val="32"/>
          <w:lang w:val="en-US" w:eastAsia="zh-CN"/>
        </w:rPr>
        <w:t>及相应的实施细则规定的范围进行审核、支付。所有补贴项目，均通过省就业V3.0平台进行受理、审核，同步审核、留存纸质资料。</w:t>
      </w:r>
      <w:r>
        <w:rPr>
          <w:rFonts w:hint="default" w:ascii="Times New Roman" w:hAnsi="Times New Roman" w:eastAsia="方正仿宋_GBK" w:cs="Times New Roman"/>
          <w:sz w:val="32"/>
          <w:szCs w:val="32"/>
          <w:lang w:val="zh-CN"/>
        </w:rPr>
        <w:t>对涉及政府购买服务的就业创业服务补助项目，严格按规定开展政府采购或竞争性谈判，择优确定承接主体。</w:t>
      </w:r>
      <w:r>
        <w:rPr>
          <w:rFonts w:hint="default" w:ascii="Times New Roman" w:hAnsi="Times New Roman" w:eastAsia="方正仿宋_GBK" w:cs="Times New Roman"/>
          <w:sz w:val="32"/>
          <w:szCs w:val="32"/>
          <w:lang w:val="en-US" w:eastAsia="zh-CN"/>
        </w:rPr>
        <w:t>按规定</w:t>
      </w:r>
      <w:r>
        <w:rPr>
          <w:rFonts w:hint="default" w:ascii="Times New Roman" w:hAnsi="Times New Roman" w:eastAsia="方正仿宋_GBK" w:cs="Times New Roman"/>
          <w:sz w:val="32"/>
          <w:szCs w:val="32"/>
          <w:lang w:val="zh-CN"/>
        </w:rPr>
        <w:t>实</w:t>
      </w:r>
      <w:r>
        <w:rPr>
          <w:rFonts w:hint="default" w:ascii="Times New Roman" w:hAnsi="Times New Roman" w:eastAsia="方正仿宋_GBK" w:cs="Times New Roman"/>
          <w:sz w:val="32"/>
          <w:szCs w:val="32"/>
          <w:lang w:val="en-US" w:eastAsia="zh-CN"/>
        </w:rPr>
        <w:t>施</w:t>
      </w:r>
      <w:r>
        <w:rPr>
          <w:rFonts w:hint="default" w:ascii="Times New Roman" w:hAnsi="Times New Roman" w:eastAsia="方正仿宋_GBK" w:cs="Times New Roman"/>
          <w:sz w:val="32"/>
          <w:szCs w:val="32"/>
          <w:lang w:val="zh-CN"/>
        </w:rPr>
        <w:t>公示制</w:t>
      </w:r>
      <w:r>
        <w:rPr>
          <w:rFonts w:hint="default" w:ascii="Times New Roman" w:hAnsi="Times New Roman" w:eastAsia="方正仿宋_GBK" w:cs="Times New Roman"/>
          <w:sz w:val="32"/>
          <w:szCs w:val="32"/>
          <w:lang w:val="en-US" w:eastAsia="zh-CN"/>
        </w:rPr>
        <w:t>度</w:t>
      </w:r>
      <w:r>
        <w:rPr>
          <w:rFonts w:hint="default" w:ascii="Times New Roman" w:hAnsi="Times New Roman" w:eastAsia="方正仿宋_GBK" w:cs="Times New Roman"/>
          <w:sz w:val="32"/>
          <w:szCs w:val="32"/>
          <w:lang w:val="zh-CN"/>
        </w:rPr>
        <w:t>，主动接受社会监督。</w:t>
      </w:r>
      <w:r>
        <w:rPr>
          <w:rFonts w:hint="default" w:ascii="Times New Roman" w:hAnsi="Times New Roman" w:eastAsia="方正仿宋_GBK" w:cs="Times New Roman"/>
          <w:sz w:val="32"/>
          <w:szCs w:val="32"/>
          <w:lang w:val="en-US" w:eastAsia="zh-CN"/>
        </w:rPr>
        <w:t>每年开展资金使用情况业务检查，接受审核、纪检相关检查。</w:t>
      </w:r>
    </w:p>
    <w:p>
      <w:pPr>
        <w:ind w:firstLine="643"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b/>
          <w:bCs/>
          <w:sz w:val="32"/>
          <w:szCs w:val="32"/>
          <w:lang w:val="zh-CN"/>
        </w:rPr>
        <w:t>（三）项目监管情况。</w:t>
      </w:r>
      <w:r>
        <w:rPr>
          <w:rFonts w:hint="default" w:ascii="Times New Roman" w:hAnsi="Times New Roman" w:eastAsia="方正仿宋_GBK" w:cs="Times New Roman"/>
          <w:sz w:val="32"/>
          <w:szCs w:val="32"/>
          <w:lang w:val="zh-CN"/>
        </w:rPr>
        <w:t>对各类补贴资金严格执行“经办人初审、科室负责人复核、分管领导审批”三级审核制度，确保申报材料真实、程序合规、发放准确，对求职创业补贴等实行院校初审、市级复审双重把关；</w:t>
      </w:r>
      <w:r>
        <w:rPr>
          <w:rFonts w:hint="default" w:ascii="Times New Roman" w:hAnsi="Times New Roman" w:eastAsia="方正仿宋_GBK" w:cs="Times New Roman"/>
          <w:sz w:val="32"/>
          <w:szCs w:val="32"/>
          <w:lang w:val="en-US" w:eastAsia="zh-CN"/>
        </w:rPr>
        <w:t>每年对市、县（区）资金使用部门开展资金使用情况业务检查，</w:t>
      </w:r>
      <w:r>
        <w:rPr>
          <w:rFonts w:hint="default" w:ascii="Times New Roman" w:hAnsi="Times New Roman" w:eastAsia="方正仿宋_GBK" w:cs="Times New Roman"/>
          <w:sz w:val="32"/>
          <w:szCs w:val="32"/>
          <w:lang w:val="zh-CN"/>
        </w:rPr>
        <w:t>对发现问题及时整改，未发生重大资金违规问题，确保就业创业资金使用安全高效。</w:t>
      </w:r>
    </w:p>
    <w:p>
      <w:pPr>
        <w:ind w:firstLine="640" w:firstLineChars="200"/>
        <w:rPr>
          <w:rFonts w:hint="default" w:ascii="Times New Roman" w:hAnsi="Times New Roman" w:eastAsia="方正黑体_GBK" w:cs="Times New Roman"/>
          <w:sz w:val="32"/>
          <w:szCs w:val="32"/>
          <w:lang w:val="zh-CN"/>
        </w:rPr>
      </w:pPr>
      <w:r>
        <w:rPr>
          <w:rFonts w:hint="default" w:ascii="Times New Roman" w:hAnsi="Times New Roman" w:eastAsia="方正黑体_GBK" w:cs="Times New Roman"/>
          <w:sz w:val="32"/>
          <w:szCs w:val="32"/>
          <w:lang w:val="zh-CN"/>
        </w:rPr>
        <w:t>四、项目绩效情况</w:t>
      </w:r>
      <w:r>
        <w:rPr>
          <w:rFonts w:hint="default" w:ascii="Times New Roman" w:hAnsi="Times New Roman" w:eastAsia="方正黑体_GBK" w:cs="Times New Roman"/>
          <w:sz w:val="32"/>
          <w:szCs w:val="32"/>
          <w:lang w:val="zh-CN"/>
        </w:rPr>
        <w:tab/>
      </w:r>
    </w:p>
    <w:p>
      <w:pPr>
        <w:ind w:firstLine="643" w:firstLineChars="200"/>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zh-CN"/>
        </w:rPr>
        <w:t>（一）项目完成情况。</w:t>
      </w:r>
    </w:p>
    <w:p>
      <w:pPr>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eastAsia="zh-CN"/>
        </w:rPr>
        <w:t>全市</w:t>
      </w:r>
      <w:r>
        <w:rPr>
          <w:rFonts w:hint="default" w:ascii="Times New Roman" w:hAnsi="Times New Roman" w:eastAsia="方正仿宋_GBK" w:cs="Times New Roman"/>
          <w:sz w:val="32"/>
          <w:szCs w:val="32"/>
          <w:lang w:val="en-US" w:eastAsia="zh-CN"/>
        </w:rPr>
        <w:t>共发放</w:t>
      </w:r>
      <w:r>
        <w:rPr>
          <w:rFonts w:hint="default" w:ascii="Times New Roman" w:hAnsi="Times New Roman" w:eastAsia="方正仿宋_GBK" w:cs="Times New Roman"/>
          <w:sz w:val="32"/>
          <w:szCs w:val="32"/>
          <w:lang w:val="zh-CN"/>
        </w:rPr>
        <w:t>职业培训补贴</w:t>
      </w:r>
      <w:r>
        <w:rPr>
          <w:rFonts w:hint="default" w:ascii="Times New Roman" w:hAnsi="Times New Roman" w:eastAsia="方正仿宋_GBK" w:cs="Times New Roman"/>
          <w:sz w:val="32"/>
          <w:szCs w:val="32"/>
          <w:lang w:val="en-US" w:eastAsia="zh-CN"/>
        </w:rPr>
        <w:t>1.17万</w:t>
      </w:r>
      <w:r>
        <w:rPr>
          <w:rFonts w:hint="default" w:ascii="Times New Roman" w:hAnsi="Times New Roman" w:eastAsia="方正仿宋_GBK" w:cs="Times New Roman"/>
          <w:sz w:val="32"/>
          <w:szCs w:val="32"/>
          <w:lang w:val="zh-CN"/>
        </w:rPr>
        <w:t>人次</w:t>
      </w:r>
      <w:r>
        <w:rPr>
          <w:rFonts w:hint="default" w:ascii="Times New Roman" w:hAnsi="Times New Roman" w:eastAsia="方正仿宋_GBK" w:cs="Times New Roman"/>
          <w:sz w:val="32"/>
          <w:szCs w:val="32"/>
          <w:lang w:val="zh-CN" w:eastAsia="zh-CN"/>
        </w:rPr>
        <w:t>、社会保险</w:t>
      </w:r>
      <w:r>
        <w:rPr>
          <w:rFonts w:hint="default" w:ascii="Times New Roman" w:hAnsi="Times New Roman" w:eastAsia="方正仿宋_GBK" w:cs="Times New Roman"/>
          <w:sz w:val="32"/>
          <w:szCs w:val="32"/>
          <w:lang w:val="zh-CN"/>
        </w:rPr>
        <w:t>补贴</w:t>
      </w:r>
      <w:r>
        <w:rPr>
          <w:rFonts w:hint="default" w:ascii="Times New Roman" w:hAnsi="Times New Roman" w:eastAsia="方正仿宋_GBK" w:cs="Times New Roman"/>
          <w:sz w:val="32"/>
          <w:szCs w:val="32"/>
          <w:lang w:val="en-US" w:eastAsia="zh-CN"/>
        </w:rPr>
        <w:t>0.16万</w:t>
      </w:r>
      <w:r>
        <w:rPr>
          <w:rFonts w:hint="default" w:ascii="Times New Roman" w:hAnsi="Times New Roman" w:eastAsia="方正仿宋_GBK" w:cs="Times New Roman"/>
          <w:sz w:val="32"/>
          <w:szCs w:val="32"/>
          <w:lang w:val="zh-CN"/>
        </w:rPr>
        <w:t>人</w:t>
      </w:r>
      <w:r>
        <w:rPr>
          <w:rFonts w:hint="default" w:ascii="Times New Roman" w:hAnsi="Times New Roman" w:eastAsia="方正仿宋_GBK" w:cs="Times New Roman"/>
          <w:sz w:val="32"/>
          <w:szCs w:val="32"/>
          <w:lang w:val="zh-CN" w:eastAsia="zh-CN"/>
        </w:rPr>
        <w:t>次、</w:t>
      </w:r>
      <w:r>
        <w:rPr>
          <w:rFonts w:hint="default" w:ascii="Times New Roman" w:hAnsi="Times New Roman" w:eastAsia="方正仿宋_GBK" w:cs="Times New Roman"/>
          <w:sz w:val="32"/>
          <w:szCs w:val="32"/>
          <w:lang w:val="zh-CN"/>
        </w:rPr>
        <w:t>就业见习补贴</w:t>
      </w:r>
      <w:r>
        <w:rPr>
          <w:rFonts w:hint="default" w:ascii="Times New Roman" w:hAnsi="Times New Roman" w:eastAsia="方正仿宋_GBK" w:cs="Times New Roman"/>
          <w:sz w:val="32"/>
          <w:szCs w:val="32"/>
          <w:lang w:val="en-US" w:eastAsia="zh-CN"/>
        </w:rPr>
        <w:t>0.089万</w:t>
      </w:r>
      <w:r>
        <w:rPr>
          <w:rFonts w:hint="default" w:ascii="Times New Roman" w:hAnsi="Times New Roman" w:eastAsia="方正仿宋_GBK" w:cs="Times New Roman"/>
          <w:sz w:val="32"/>
          <w:szCs w:val="32"/>
          <w:lang w:val="zh-CN"/>
        </w:rPr>
        <w:t>人次</w:t>
      </w:r>
      <w:r>
        <w:rPr>
          <w:rFonts w:hint="default" w:ascii="Times New Roman" w:hAnsi="Times New Roman" w:eastAsia="方正仿宋_GBK" w:cs="Times New Roman"/>
          <w:sz w:val="32"/>
          <w:szCs w:val="32"/>
          <w:lang w:val="zh-CN" w:eastAsia="zh-CN"/>
        </w:rPr>
        <w:t>、</w:t>
      </w:r>
      <w:r>
        <w:rPr>
          <w:rFonts w:hint="default" w:ascii="Times New Roman" w:hAnsi="Times New Roman" w:eastAsia="方正仿宋_GBK" w:cs="Times New Roman"/>
          <w:sz w:val="32"/>
          <w:szCs w:val="32"/>
          <w:lang w:val="zh-CN"/>
        </w:rPr>
        <w:t>求职创业补贴</w:t>
      </w:r>
      <w:r>
        <w:rPr>
          <w:rFonts w:hint="default" w:ascii="Times New Roman" w:hAnsi="Times New Roman" w:eastAsia="方正仿宋_GBK" w:cs="Times New Roman"/>
          <w:sz w:val="32"/>
          <w:szCs w:val="32"/>
          <w:lang w:val="en-US" w:eastAsia="zh-CN"/>
        </w:rPr>
        <w:t>0.178万</w:t>
      </w:r>
      <w:r>
        <w:rPr>
          <w:rFonts w:hint="default" w:ascii="Times New Roman" w:hAnsi="Times New Roman" w:eastAsia="方正仿宋_GBK" w:cs="Times New Roman"/>
          <w:sz w:val="32"/>
          <w:szCs w:val="32"/>
          <w:lang w:val="zh-CN"/>
        </w:rPr>
        <w:t>人次</w:t>
      </w:r>
      <w:r>
        <w:rPr>
          <w:rFonts w:hint="default" w:ascii="Times New Roman" w:hAnsi="Times New Roman" w:eastAsia="方正仿宋_GBK" w:cs="Times New Roman"/>
          <w:sz w:val="32"/>
          <w:szCs w:val="32"/>
          <w:lang w:val="zh-CN" w:eastAsia="zh-CN"/>
        </w:rPr>
        <w:t>、公益性岗位补贴</w:t>
      </w:r>
      <w:r>
        <w:rPr>
          <w:rFonts w:hint="default" w:ascii="Times New Roman" w:hAnsi="Times New Roman" w:eastAsia="方正仿宋_GBK" w:cs="Times New Roman"/>
          <w:sz w:val="32"/>
          <w:szCs w:val="32"/>
          <w:lang w:val="en-US" w:eastAsia="zh-CN"/>
        </w:rPr>
        <w:t>0.22万</w:t>
      </w:r>
      <w:r>
        <w:rPr>
          <w:rFonts w:hint="default" w:ascii="Times New Roman" w:hAnsi="Times New Roman" w:eastAsia="方正仿宋_GBK" w:cs="Times New Roman"/>
          <w:sz w:val="32"/>
          <w:szCs w:val="32"/>
          <w:lang w:val="zh-CN"/>
        </w:rPr>
        <w:t>人次</w:t>
      </w:r>
      <w:r>
        <w:rPr>
          <w:rFonts w:hint="default" w:ascii="Times New Roman" w:hAnsi="Times New Roman" w:eastAsia="方正仿宋_GBK" w:cs="Times New Roman"/>
          <w:sz w:val="32"/>
          <w:szCs w:val="32"/>
          <w:lang w:val="zh-CN" w:eastAsia="zh-CN"/>
        </w:rPr>
        <w:t>、</w:t>
      </w:r>
      <w:r>
        <w:rPr>
          <w:rFonts w:hint="default" w:ascii="Times New Roman" w:hAnsi="Times New Roman" w:eastAsia="方正仿宋_GBK" w:cs="Times New Roman"/>
          <w:sz w:val="32"/>
          <w:szCs w:val="32"/>
          <w:lang w:val="zh-CN"/>
        </w:rPr>
        <w:t>国家级高技能人才培训基地项目</w:t>
      </w:r>
      <w:r>
        <w:rPr>
          <w:rFonts w:hint="default" w:ascii="Times New Roman" w:hAnsi="Times New Roman" w:eastAsia="方正仿宋_GBK" w:cs="Times New Roman"/>
          <w:sz w:val="32"/>
          <w:szCs w:val="32"/>
          <w:lang w:val="en-US" w:eastAsia="zh-CN"/>
        </w:rPr>
        <w:t>奖补</w:t>
      </w:r>
      <w:r>
        <w:rPr>
          <w:rFonts w:hint="default" w:ascii="Times New Roman" w:hAnsi="Times New Roman" w:eastAsia="方正仿宋_GBK" w:cs="Times New Roman"/>
          <w:sz w:val="32"/>
          <w:szCs w:val="32"/>
          <w:lang w:val="zh-CN"/>
        </w:rPr>
        <w:t>1个</w:t>
      </w:r>
      <w:r>
        <w:rPr>
          <w:rFonts w:hint="default" w:ascii="Times New Roman" w:hAnsi="Times New Roman" w:eastAsia="方正仿宋_GBK" w:cs="Times New Roman"/>
          <w:sz w:val="32"/>
          <w:szCs w:val="32"/>
          <w:lang w:val="zh-CN" w:eastAsia="zh-CN"/>
        </w:rPr>
        <w:t>、</w:t>
      </w:r>
      <w:r>
        <w:rPr>
          <w:rFonts w:hint="default" w:ascii="Times New Roman" w:hAnsi="Times New Roman" w:eastAsia="方正仿宋_GBK" w:cs="Times New Roman"/>
          <w:sz w:val="32"/>
          <w:szCs w:val="32"/>
          <w:lang w:val="en-US" w:eastAsia="zh-CN"/>
        </w:rPr>
        <w:t>技能大师工作室奖补4个</w:t>
      </w:r>
      <w:r>
        <w:rPr>
          <w:rFonts w:hint="default" w:ascii="Times New Roman" w:hAnsi="Times New Roman" w:eastAsia="方正仿宋_GBK" w:cs="Times New Roman"/>
          <w:sz w:val="32"/>
          <w:szCs w:val="32"/>
          <w:lang w:val="zh-CN"/>
        </w:rPr>
        <w:t>。截至202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zh-CN"/>
        </w:rPr>
        <w:t>年12月31日，已经全部</w:t>
      </w:r>
      <w:r>
        <w:rPr>
          <w:rFonts w:hint="default" w:ascii="Times New Roman" w:hAnsi="Times New Roman" w:eastAsia="方正仿宋_GBK" w:cs="Times New Roman"/>
          <w:sz w:val="32"/>
          <w:szCs w:val="32"/>
          <w:lang w:val="en-US" w:eastAsia="zh-CN"/>
        </w:rPr>
        <w:t>发放</w:t>
      </w:r>
      <w:r>
        <w:rPr>
          <w:rFonts w:hint="default" w:ascii="Times New Roman" w:hAnsi="Times New Roman" w:eastAsia="方正仿宋_GBK" w:cs="Times New Roman"/>
          <w:sz w:val="32"/>
          <w:szCs w:val="32"/>
          <w:lang w:val="zh-CN"/>
        </w:rPr>
        <w:t>完申报的各项就业创业补贴。资金审核、资金拨付、使用监督、公示和资金使用跟踪反馈情况等方面运行管理规范，制度建设完善，台账资料完整真实，资金使用有依有据，做到专账专户、专款专用，所有专项资金全部用于兑现补贴及符合政策范围规定的支出。</w:t>
      </w:r>
    </w:p>
    <w:p>
      <w:pPr>
        <w:ind w:firstLine="643" w:firstLineChars="200"/>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zh-CN"/>
        </w:rPr>
        <w:t>（二）项目效益情况。</w:t>
      </w:r>
    </w:p>
    <w:p>
      <w:pPr>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（1）项目实施的经济效益分析</w:t>
      </w:r>
      <w:r>
        <w:rPr>
          <w:rFonts w:hint="default" w:ascii="Times New Roman" w:hAnsi="Times New Roman" w:eastAsia="方正仿宋_GBK" w:cs="Times New Roman"/>
          <w:sz w:val="32"/>
          <w:szCs w:val="32"/>
          <w:lang w:val="zh-CN" w:eastAsia="zh-CN"/>
        </w:rPr>
        <w:t>。</w:t>
      </w:r>
      <w:r>
        <w:rPr>
          <w:rFonts w:hint="default" w:ascii="Times New Roman" w:hAnsi="Times New Roman" w:eastAsia="方正仿宋_GBK" w:cs="Times New Roman"/>
          <w:sz w:val="32"/>
          <w:szCs w:val="32"/>
          <w:lang w:val="zh-CN"/>
        </w:rPr>
        <w:t>完成全市相关就业创业工作，</w:t>
      </w:r>
      <w:r>
        <w:rPr>
          <w:rFonts w:hint="default" w:ascii="Times New Roman" w:hAnsi="Times New Roman" w:eastAsia="方正仿宋_GBK" w:cs="Times New Roman"/>
          <w:sz w:val="32"/>
          <w:szCs w:val="32"/>
          <w:lang w:val="en-US" w:eastAsia="zh-CN"/>
        </w:rPr>
        <w:t>实现</w:t>
      </w:r>
      <w:r>
        <w:rPr>
          <w:rFonts w:hint="default" w:ascii="Times New Roman" w:hAnsi="Times New Roman" w:eastAsia="方正仿宋_GBK" w:cs="Times New Roman"/>
          <w:sz w:val="32"/>
          <w:szCs w:val="32"/>
          <w:lang w:val="zh-CN"/>
        </w:rPr>
        <w:t>促进城镇新增就业</w:t>
      </w:r>
      <w:r>
        <w:rPr>
          <w:rFonts w:hint="default" w:ascii="Times New Roman" w:hAnsi="Times New Roman" w:eastAsia="方正仿宋_GBK" w:cs="Times New Roman"/>
          <w:sz w:val="32"/>
          <w:szCs w:val="32"/>
          <w:lang w:val="en-US" w:eastAsia="zh-CN"/>
        </w:rPr>
        <w:t>1.8万</w:t>
      </w:r>
      <w:r>
        <w:rPr>
          <w:rFonts w:hint="default" w:ascii="Times New Roman" w:hAnsi="Times New Roman" w:eastAsia="方正仿宋_GBK" w:cs="Times New Roman"/>
          <w:sz w:val="32"/>
          <w:szCs w:val="32"/>
          <w:lang w:val="zh-CN"/>
        </w:rPr>
        <w:t>人，控制我市城镇</w:t>
      </w:r>
      <w:r>
        <w:rPr>
          <w:rFonts w:hint="default" w:ascii="Times New Roman" w:hAnsi="Times New Roman" w:eastAsia="方正仿宋_GBK" w:cs="Times New Roman"/>
          <w:sz w:val="32"/>
          <w:szCs w:val="32"/>
          <w:lang w:val="zh-CN" w:eastAsia="zh-CN"/>
        </w:rPr>
        <w:t>调查失业</w:t>
      </w:r>
      <w:r>
        <w:rPr>
          <w:rFonts w:hint="default" w:ascii="Times New Roman" w:hAnsi="Times New Roman" w:eastAsia="方正仿宋_GBK" w:cs="Times New Roman"/>
          <w:sz w:val="32"/>
          <w:szCs w:val="32"/>
          <w:lang w:val="zh-CN"/>
        </w:rPr>
        <w:t>率</w:t>
      </w:r>
      <w:r>
        <w:rPr>
          <w:rFonts w:hint="default" w:ascii="Times New Roman" w:hAnsi="Times New Roman" w:eastAsia="方正仿宋_GBK" w:cs="Times New Roman"/>
          <w:sz w:val="32"/>
          <w:szCs w:val="32"/>
          <w:lang w:val="en-US" w:eastAsia="zh-CN"/>
        </w:rPr>
        <w:t>5.5</w:t>
      </w:r>
      <w:r>
        <w:rPr>
          <w:rFonts w:hint="default" w:ascii="Times New Roman" w:hAnsi="Times New Roman" w:eastAsia="方正仿宋_GBK" w:cs="Times New Roman"/>
          <w:sz w:val="32"/>
          <w:szCs w:val="32"/>
          <w:lang w:val="zh-CN"/>
        </w:rPr>
        <w:t>%,高校毕业生总体就业率保持基本稳定，城镇失业人员再就业</w:t>
      </w:r>
      <w:r>
        <w:rPr>
          <w:rFonts w:hint="default" w:ascii="Times New Roman" w:hAnsi="Times New Roman" w:eastAsia="方正仿宋_GBK" w:cs="Times New Roman"/>
          <w:sz w:val="32"/>
          <w:szCs w:val="32"/>
          <w:lang w:val="en-US" w:eastAsia="zh-CN"/>
        </w:rPr>
        <w:t>0.7万</w:t>
      </w:r>
      <w:r>
        <w:rPr>
          <w:rFonts w:hint="default" w:ascii="Times New Roman" w:hAnsi="Times New Roman" w:eastAsia="方正仿宋_GBK" w:cs="Times New Roman"/>
          <w:sz w:val="32"/>
          <w:szCs w:val="32"/>
          <w:lang w:val="zh-CN"/>
        </w:rPr>
        <w:t>人，就业困难人员就业</w:t>
      </w:r>
      <w:r>
        <w:rPr>
          <w:rFonts w:hint="default" w:ascii="Times New Roman" w:hAnsi="Times New Roman" w:eastAsia="方正仿宋_GBK" w:cs="Times New Roman"/>
          <w:sz w:val="32"/>
          <w:szCs w:val="32"/>
          <w:lang w:val="en-US" w:eastAsia="zh-CN"/>
        </w:rPr>
        <w:t>0.15万</w:t>
      </w:r>
      <w:r>
        <w:rPr>
          <w:rFonts w:hint="default" w:ascii="Times New Roman" w:hAnsi="Times New Roman" w:eastAsia="方正仿宋_GBK" w:cs="Times New Roman"/>
          <w:sz w:val="32"/>
          <w:szCs w:val="32"/>
          <w:lang w:val="zh-CN"/>
        </w:rPr>
        <w:t>人。</w:t>
      </w:r>
    </w:p>
    <w:p>
      <w:pPr>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（2）项目实施的社会效益分析。对零就业家庭帮扶率超过9</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val="zh-CN"/>
        </w:rPr>
        <w:t>%，无因就业问题发生重大群体性事件。</w:t>
      </w:r>
    </w:p>
    <w:p>
      <w:pPr>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zh-CN"/>
        </w:rPr>
        <w:t>（3）满意度指标完成情况分析。公共就业服务满意度超过9</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zh-CN"/>
        </w:rPr>
        <w:t>%</w:t>
      </w:r>
      <w:r>
        <w:rPr>
          <w:rFonts w:hint="default" w:ascii="Times New Roman" w:hAnsi="Times New Roman" w:eastAsia="方正仿宋_GBK" w:cs="Times New Roman"/>
          <w:sz w:val="32"/>
          <w:szCs w:val="32"/>
          <w:lang w:val="zh-CN" w:eastAsia="zh-CN"/>
        </w:rPr>
        <w:t>。</w:t>
      </w:r>
    </w:p>
    <w:p>
      <w:pPr>
        <w:ind w:firstLine="640" w:firstLineChars="200"/>
        <w:rPr>
          <w:rFonts w:hint="default" w:ascii="Times New Roman" w:hAnsi="Times New Roman" w:eastAsia="方正黑体_GBK" w:cs="Times New Roman"/>
          <w:sz w:val="32"/>
          <w:szCs w:val="32"/>
          <w:lang w:val="zh-CN"/>
        </w:rPr>
      </w:pPr>
      <w:r>
        <w:rPr>
          <w:rFonts w:hint="default" w:ascii="Times New Roman" w:hAnsi="Times New Roman" w:eastAsia="方正黑体_GBK" w:cs="Times New Roman"/>
          <w:sz w:val="32"/>
          <w:szCs w:val="32"/>
          <w:lang w:val="zh-CN"/>
        </w:rPr>
        <w:t>五、评价结论及建议</w:t>
      </w:r>
    </w:p>
    <w:p>
      <w:pPr>
        <w:ind w:firstLine="643" w:firstLineChars="200"/>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zh-CN"/>
        </w:rPr>
        <w:t>（一）评价结论。</w:t>
      </w:r>
    </w:p>
    <w:p>
      <w:pPr>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2025年度攀枝花市就业创业补助资金绩效总体良好。资金总额8542.49万元，执行7830.39万元，预算执行率91.66%，其中中央财政资金执行率达99.24%，拨付及时合规。绩效指标完成度较高，职业培训补贴覆盖1.17万人次，超目标完成46.25%、城镇新增就业1.8万人超目标完成28.57%、高校毕业生就业帮扶率95.34%，就业政策满意度超95%。资金管理规范，按川财规﹝2025﹞2号文件执行，有效保障重点群体就业稳定，提升劳动者技能水平。</w:t>
      </w:r>
    </w:p>
    <w:p>
      <w:pPr>
        <w:ind w:firstLine="643" w:firstLineChars="200"/>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zh-CN"/>
        </w:rPr>
        <w:t>（二）存在的问题。</w:t>
      </w:r>
    </w:p>
    <w:p>
      <w:pPr>
        <w:ind w:firstLine="640" w:firstLineChars="200"/>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因未限制申报时间，用人单位和灵活就业人员多选择一次性申报社会保险补贴，</w:t>
      </w:r>
      <w:r>
        <w:rPr>
          <w:rFonts w:hint="default" w:ascii="Times New Roman" w:hAnsi="Times New Roman" w:eastAsia="方正仿宋_GBK" w:cs="Times New Roman"/>
          <w:sz w:val="32"/>
          <w:szCs w:val="32"/>
          <w:lang w:val="en-US" w:eastAsia="zh-CN"/>
        </w:rPr>
        <w:t>导致兑现人数</w:t>
      </w:r>
      <w:r>
        <w:rPr>
          <w:rFonts w:hint="default" w:ascii="Times New Roman" w:hAnsi="Times New Roman" w:eastAsia="方正仿宋_GBK" w:cs="Times New Roman"/>
          <w:sz w:val="32"/>
          <w:szCs w:val="32"/>
          <w:lang w:val="zh-CN"/>
        </w:rPr>
        <w:t>未达0.3万人次目标；因资金</w:t>
      </w:r>
      <w:r>
        <w:rPr>
          <w:rFonts w:hint="default" w:ascii="Times New Roman" w:hAnsi="Times New Roman" w:eastAsia="方正仿宋_GBK" w:cs="Times New Roman"/>
          <w:sz w:val="32"/>
          <w:szCs w:val="32"/>
          <w:lang w:val="en-US" w:eastAsia="zh-CN"/>
        </w:rPr>
        <w:t>总量不足，控制</w:t>
      </w:r>
      <w:r>
        <w:rPr>
          <w:rFonts w:hint="default" w:ascii="Times New Roman" w:hAnsi="Times New Roman" w:eastAsia="方正仿宋_GBK" w:cs="Times New Roman"/>
          <w:sz w:val="32"/>
          <w:szCs w:val="32"/>
          <w:lang w:val="zh-CN"/>
        </w:rPr>
        <w:t>公益性岗位</w:t>
      </w:r>
      <w:r>
        <w:rPr>
          <w:rFonts w:hint="default" w:ascii="Times New Roman" w:hAnsi="Times New Roman" w:eastAsia="方正仿宋_GBK" w:cs="Times New Roman"/>
          <w:sz w:val="32"/>
          <w:szCs w:val="32"/>
          <w:lang w:val="en-US" w:eastAsia="zh-CN"/>
        </w:rPr>
        <w:t>开发规模，导致兑现人数</w:t>
      </w:r>
      <w:r>
        <w:rPr>
          <w:rFonts w:hint="default" w:ascii="Times New Roman" w:hAnsi="Times New Roman" w:eastAsia="方正仿宋_GBK" w:cs="Times New Roman"/>
          <w:sz w:val="32"/>
          <w:szCs w:val="32"/>
          <w:lang w:val="zh-CN"/>
        </w:rPr>
        <w:t>未达0.23万人目标。</w:t>
      </w:r>
    </w:p>
    <w:p>
      <w:pPr>
        <w:ind w:firstLine="643" w:firstLineChars="200"/>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zh-CN"/>
        </w:rPr>
        <w:t>（三）相关建议。</w:t>
      </w:r>
    </w:p>
    <w:p>
      <w:pPr>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rPr>
        <w:t>一是</w:t>
      </w:r>
      <w:r>
        <w:rPr>
          <w:rFonts w:hint="default" w:ascii="Times New Roman" w:hAnsi="Times New Roman" w:eastAsia="方正仿宋_GBK" w:cs="Times New Roman"/>
          <w:sz w:val="32"/>
          <w:szCs w:val="32"/>
          <w:lang w:val="en-US" w:eastAsia="zh-CN"/>
        </w:rPr>
        <w:t>加强政策宣传</w:t>
      </w:r>
      <w:r>
        <w:rPr>
          <w:rFonts w:hint="default" w:ascii="Times New Roman" w:hAnsi="Times New Roman" w:eastAsia="方正仿宋_GBK" w:cs="Times New Roman"/>
          <w:sz w:val="32"/>
          <w:szCs w:val="32"/>
          <w:lang w:val="zh-CN"/>
        </w:rPr>
        <w:t>，</w:t>
      </w:r>
      <w:r>
        <w:rPr>
          <w:rFonts w:hint="default" w:ascii="Times New Roman" w:hAnsi="Times New Roman" w:eastAsia="方正仿宋_GBK" w:cs="Times New Roman"/>
          <w:sz w:val="32"/>
          <w:szCs w:val="32"/>
          <w:lang w:val="en-US" w:eastAsia="zh-CN"/>
        </w:rPr>
        <w:t>鼓励符合条件的单位和个人</w:t>
      </w:r>
      <w:r>
        <w:rPr>
          <w:rFonts w:hint="default" w:ascii="Times New Roman" w:hAnsi="Times New Roman" w:eastAsia="方正仿宋_GBK" w:cs="Times New Roman"/>
          <w:sz w:val="32"/>
          <w:szCs w:val="32"/>
          <w:lang w:val="zh-CN" w:eastAsia="zh-CN"/>
        </w:rPr>
        <w:t>分阶段申报社会保险补贴，避免集中申报导致的统计缺口。二是</w:t>
      </w:r>
      <w:r>
        <w:rPr>
          <w:rFonts w:hint="default" w:ascii="Times New Roman" w:hAnsi="Times New Roman" w:eastAsia="方正仿宋_GBK" w:cs="Times New Roman"/>
          <w:sz w:val="32"/>
          <w:szCs w:val="32"/>
          <w:lang w:val="en-US" w:eastAsia="zh-CN"/>
        </w:rPr>
        <w:t>结合资金规模，合理扩大公益性岗位开发规模，增加政策覆盖人数</w:t>
      </w:r>
      <w:r>
        <w:rPr>
          <w:rFonts w:hint="default" w:ascii="Times New Roman" w:hAnsi="Times New Roman" w:eastAsia="方正仿宋_GBK" w:cs="Times New Roman"/>
          <w:sz w:val="32"/>
          <w:szCs w:val="32"/>
          <w:lang w:val="zh-CN" w:eastAsia="zh-CN"/>
        </w:rPr>
        <w:t>。</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_GB2312" w:cs="Times New Roman"/>
          <w:i w:val="0"/>
          <w:caps w:val="0"/>
          <w:color w:val="auto"/>
          <w:spacing w:val="0"/>
          <w:sz w:val="32"/>
          <w:szCs w:val="32"/>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_GB2312" w:cs="Times New Roman"/>
          <w:i w:val="0"/>
          <w:caps w:val="0"/>
          <w:color w:val="auto"/>
          <w:spacing w:val="0"/>
          <w:sz w:val="32"/>
          <w:szCs w:val="32"/>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_GB2312" w:cs="Times New Roman"/>
          <w:i w:val="0"/>
          <w:caps w:val="0"/>
          <w:color w:val="auto"/>
          <w:spacing w:val="0"/>
          <w:sz w:val="32"/>
          <w:szCs w:val="32"/>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_GB2312" w:cs="Times New Roman"/>
          <w:i w:val="0"/>
          <w:caps w:val="0"/>
          <w:color w:val="auto"/>
          <w:spacing w:val="0"/>
          <w:sz w:val="32"/>
          <w:szCs w:val="32"/>
        </w:rPr>
      </w:pPr>
      <w:bookmarkStart w:id="83" w:name="_GoBack"/>
      <w:bookmarkEnd w:id="83"/>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_GB2312" w:cs="Times New Roman"/>
          <w:i w:val="0"/>
          <w:caps w:val="0"/>
          <w:color w:val="auto"/>
          <w:spacing w:val="0"/>
          <w:sz w:val="32"/>
          <w:szCs w:val="32"/>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_GB2312" w:cs="Times New Roman"/>
          <w:i w:val="0"/>
          <w:caps w:val="0"/>
          <w:color w:val="auto"/>
          <w:spacing w:val="0"/>
          <w:sz w:val="32"/>
          <w:szCs w:val="32"/>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_GB2312" w:cs="Times New Roman"/>
          <w:i w:val="0"/>
          <w:caps w:val="0"/>
          <w:color w:val="auto"/>
          <w:spacing w:val="0"/>
          <w:sz w:val="32"/>
          <w:szCs w:val="32"/>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eastAsia="黑体" w:cs="Times New Roman"/>
          <w:color w:val="000000" w:themeColor="text1"/>
          <w:sz w:val="44"/>
          <w:szCs w:val="44"/>
          <w14:textFill>
            <w14:solidFill>
              <w14:schemeClr w14:val="tx1"/>
            </w14:solidFill>
          </w14:textFill>
        </w:rPr>
      </w:pPr>
      <w:bookmarkStart w:id="55" w:name="_Toc12069_WPSOffice_Level1"/>
      <w:bookmarkStart w:id="56" w:name="_Toc4375_WPSOffice_Level1"/>
      <w:r>
        <w:rPr>
          <w:rFonts w:hint="default" w:ascii="Times New Roman" w:hAnsi="Times New Roman" w:eastAsia="黑体" w:cs="Times New Roman"/>
          <w:i w:val="0"/>
          <w:caps w:val="0"/>
          <w:color w:val="000000" w:themeColor="text1"/>
          <w:spacing w:val="0"/>
          <w:sz w:val="44"/>
          <w:szCs w:val="44"/>
          <w14:textFill>
            <w14:solidFill>
              <w14:schemeClr w14:val="tx1"/>
            </w14:solidFill>
          </w14:textFill>
        </w:rPr>
        <w:t>第五部分 附表</w:t>
      </w:r>
      <w:bookmarkEnd w:id="55"/>
      <w:bookmarkEnd w:id="56"/>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i w:val="0"/>
          <w:caps w:val="0"/>
          <w:color w:val="000000" w:themeColor="text1"/>
          <w:spacing w:val="0"/>
          <w:sz w:val="10"/>
          <w:szCs w:val="10"/>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　</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57" w:name="_Toc21718_WPSOffice_Level2"/>
      <w:bookmarkStart w:id="58" w:name="_Toc25784_WPSOffice_Level2"/>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一、收入支出决算总表</w:t>
      </w:r>
      <w:bookmarkEnd w:id="57"/>
      <w:bookmarkEnd w:id="58"/>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59" w:name="_Toc15036_WPSOffice_Level2"/>
      <w:bookmarkStart w:id="60" w:name="_Toc21740_WPSOffice_Level2"/>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二、收入决算表</w:t>
      </w:r>
      <w:bookmarkEnd w:id="59"/>
      <w:bookmarkEnd w:id="60"/>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61" w:name="_Toc29332_WPSOffice_Level2"/>
      <w:bookmarkStart w:id="62" w:name="_Toc14665_WPSOffice_Level2"/>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三、支出决算表</w:t>
      </w:r>
      <w:bookmarkEnd w:id="61"/>
      <w:bookmarkEnd w:id="62"/>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63" w:name="_Toc4484_WPSOffice_Level2"/>
      <w:bookmarkStart w:id="64" w:name="_Toc30607_WPSOffice_Level2"/>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四、财政拨款收入支出决算总表</w:t>
      </w:r>
      <w:bookmarkEnd w:id="63"/>
      <w:bookmarkEnd w:id="64"/>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65" w:name="_Toc26553_WPSOffice_Level2"/>
      <w:bookmarkStart w:id="66" w:name="_Toc19482_WPSOffice_Level2"/>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五、财政拨款支出决算明细表</w:t>
      </w:r>
      <w:bookmarkEnd w:id="65"/>
      <w:bookmarkEnd w:id="66"/>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67" w:name="_Toc3864_WPSOffice_Level2"/>
      <w:bookmarkStart w:id="68" w:name="_Toc21940_WPSOffice_Level2"/>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六、一般公共预算财政拨款支出决算表</w:t>
      </w:r>
      <w:bookmarkEnd w:id="67"/>
      <w:bookmarkEnd w:id="68"/>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69" w:name="_Toc4564_WPSOffice_Level2"/>
      <w:bookmarkStart w:id="70" w:name="_Toc17221_WPSOffice_Level2"/>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七、一般公共预算财政拨款支出决算明细表</w:t>
      </w:r>
      <w:bookmarkEnd w:id="69"/>
      <w:bookmarkEnd w:id="70"/>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71" w:name="_Toc30757_WPSOffice_Level2"/>
      <w:bookmarkStart w:id="72" w:name="_Toc15816_WPSOffice_Level2"/>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八、一般公共预算财政拨款基本支出决算表</w:t>
      </w:r>
      <w:bookmarkEnd w:id="71"/>
      <w:bookmarkEnd w:id="72"/>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73" w:name="_Toc19134_WPSOffice_Level2"/>
      <w:bookmarkStart w:id="74" w:name="_Toc355_WPSOffice_Level2"/>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九、一般公共预算财政拨款项目支出决算表</w:t>
      </w:r>
      <w:bookmarkEnd w:id="73"/>
      <w:bookmarkEnd w:id="74"/>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bookmarkStart w:id="75" w:name="_Toc371_WPSOffice_Level2"/>
      <w:bookmarkStart w:id="76" w:name="_Toc29787_WPSOffice_Level2"/>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十、</w:t>
      </w:r>
      <w:bookmarkEnd w:id="75"/>
      <w:bookmarkStart w:id="77" w:name="_Toc2886_WPSOffice_Level2"/>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政府性基金预算财政拨款收入支出决算表</w:t>
      </w:r>
      <w:bookmarkEnd w:id="76"/>
      <w:bookmarkEnd w:id="77"/>
      <w:bookmarkStart w:id="78" w:name="_Toc25989_WPSOffice_Level2"/>
      <w:bookmarkStart w:id="79" w:name="_Toc6621_WPSOffice_Level2"/>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十</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一</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、国有资本经营预算财政拨款收入支出决算表（</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此</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表无数据）</w:t>
      </w:r>
      <w:bookmarkEnd w:id="78"/>
      <w:bookmarkEnd w:id="79"/>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bookmarkStart w:id="80" w:name="_Toc11872_WPSOffice_Level2"/>
      <w:bookmarkStart w:id="81" w:name="_Toc27012_WPSOffice_Level2"/>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十</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二</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、国有资本经营预算财政拨款支出决算表（</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此</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表无数据）</w:t>
      </w:r>
      <w:bookmarkEnd w:id="80"/>
      <w:bookmarkEnd w:id="81"/>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bookmarkStart w:id="82" w:name="_Toc30214_WPSOffice_Level2"/>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十三、</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财政拨款“三公”经费支出决算表</w:t>
      </w:r>
      <w:bookmarkEnd w:id="82"/>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DF05F6"/>
    <w:multiLevelType w:val="singleLevel"/>
    <w:tmpl w:val="BEDF05F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lMGRiMmViNTc5YmZjMGZjYTcxNzY5OWVkZDY2MGIifQ=="/>
  </w:docVars>
  <w:rsids>
    <w:rsidRoot w:val="61577DE1"/>
    <w:rsid w:val="04E20F1A"/>
    <w:rsid w:val="079A3108"/>
    <w:rsid w:val="0B1D50BA"/>
    <w:rsid w:val="0BA17513"/>
    <w:rsid w:val="0BEA70E2"/>
    <w:rsid w:val="0D9A5543"/>
    <w:rsid w:val="0DD147E7"/>
    <w:rsid w:val="0E4A274A"/>
    <w:rsid w:val="0E570B93"/>
    <w:rsid w:val="10514C6A"/>
    <w:rsid w:val="10E943BC"/>
    <w:rsid w:val="13BE14C6"/>
    <w:rsid w:val="14E74F51"/>
    <w:rsid w:val="18E13BCB"/>
    <w:rsid w:val="194D2126"/>
    <w:rsid w:val="19C709CA"/>
    <w:rsid w:val="1D0B56BA"/>
    <w:rsid w:val="1FFFA3A7"/>
    <w:rsid w:val="201334EB"/>
    <w:rsid w:val="240B2444"/>
    <w:rsid w:val="241D0E6E"/>
    <w:rsid w:val="27DD7C53"/>
    <w:rsid w:val="2E5F1623"/>
    <w:rsid w:val="33944112"/>
    <w:rsid w:val="350D3128"/>
    <w:rsid w:val="352C5925"/>
    <w:rsid w:val="365D00B2"/>
    <w:rsid w:val="37E61940"/>
    <w:rsid w:val="380027BE"/>
    <w:rsid w:val="38743AD3"/>
    <w:rsid w:val="39623624"/>
    <w:rsid w:val="3A004C5C"/>
    <w:rsid w:val="3AB94550"/>
    <w:rsid w:val="3D126C05"/>
    <w:rsid w:val="407A6D55"/>
    <w:rsid w:val="4191768D"/>
    <w:rsid w:val="41AC37BF"/>
    <w:rsid w:val="431A1B75"/>
    <w:rsid w:val="43B0755D"/>
    <w:rsid w:val="442912D0"/>
    <w:rsid w:val="45EA3D35"/>
    <w:rsid w:val="465026DC"/>
    <w:rsid w:val="472C47F2"/>
    <w:rsid w:val="48DC54D7"/>
    <w:rsid w:val="4F013E38"/>
    <w:rsid w:val="523F7C2F"/>
    <w:rsid w:val="5512173D"/>
    <w:rsid w:val="56EA57AE"/>
    <w:rsid w:val="59BE1403"/>
    <w:rsid w:val="5E190822"/>
    <w:rsid w:val="600A7B78"/>
    <w:rsid w:val="61577DE1"/>
    <w:rsid w:val="61A0266B"/>
    <w:rsid w:val="62B85C70"/>
    <w:rsid w:val="62FF1EBF"/>
    <w:rsid w:val="63BE481F"/>
    <w:rsid w:val="64F2142B"/>
    <w:rsid w:val="65E41C0C"/>
    <w:rsid w:val="660E615D"/>
    <w:rsid w:val="66435A38"/>
    <w:rsid w:val="67DA3FF5"/>
    <w:rsid w:val="68430893"/>
    <w:rsid w:val="6C3E0FC2"/>
    <w:rsid w:val="6EBBF199"/>
    <w:rsid w:val="70B43487"/>
    <w:rsid w:val="71193BBF"/>
    <w:rsid w:val="7140507A"/>
    <w:rsid w:val="71BF184C"/>
    <w:rsid w:val="7294763F"/>
    <w:rsid w:val="73B47E02"/>
    <w:rsid w:val="73F97190"/>
    <w:rsid w:val="73FE3B31"/>
    <w:rsid w:val="747405C4"/>
    <w:rsid w:val="753107C9"/>
    <w:rsid w:val="754D5255"/>
    <w:rsid w:val="772C3A48"/>
    <w:rsid w:val="77962B46"/>
    <w:rsid w:val="7B1D7F90"/>
    <w:rsid w:val="7B8E1CF2"/>
    <w:rsid w:val="7C4132B5"/>
    <w:rsid w:val="FCB714D5"/>
    <w:rsid w:val="FDB58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20"/>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4">
    <w:name w:val="Body Text"/>
    <w:basedOn w:val="1"/>
    <w:next w:val="1"/>
    <w:qFormat/>
    <w:uiPriority w:val="99"/>
    <w:pPr>
      <w:spacing w:beforeLines="30"/>
    </w:pPr>
    <w:rPr>
      <w:rFonts w:ascii="仿宋_GB2312" w:eastAsia="仿宋_GB2312"/>
      <w:kern w:val="0"/>
      <w:sz w:val="30"/>
    </w:rPr>
  </w:style>
  <w:style w:type="paragraph" w:styleId="5">
    <w:name w:val="Body Text Indent"/>
    <w:basedOn w:val="1"/>
    <w:next w:val="6"/>
    <w:qFormat/>
    <w:uiPriority w:val="0"/>
    <w:pPr>
      <w:spacing w:after="120"/>
      <w:ind w:leftChars="200"/>
    </w:pPr>
    <w:rPr>
      <w:rFonts w:ascii="仿宋_GB2312"/>
      <w:szCs w:val="32"/>
    </w:rPr>
  </w:style>
  <w:style w:type="paragraph" w:styleId="6">
    <w:name w:val="Body Text First Indent 2"/>
    <w:basedOn w:val="5"/>
    <w:next w:val="1"/>
    <w:unhideWhenUsed/>
    <w:qFormat/>
    <w:uiPriority w:val="99"/>
    <w:pPr>
      <w:ind w:firstLine="420" w:firstLineChars="200"/>
    </w:pPr>
  </w:style>
  <w:style w:type="paragraph" w:styleId="7">
    <w:name w:val="Plain Text"/>
    <w:basedOn w:val="1"/>
    <w:qFormat/>
    <w:uiPriority w:val="0"/>
    <w:rPr>
      <w:rFonts w:ascii="宋体" w:hAnsi="Courier New" w:eastAsia="宋体"/>
      <w:sz w:val="21"/>
      <w:szCs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footnote text"/>
    <w:basedOn w:val="1"/>
    <w:next w:val="6"/>
    <w:semiHidden/>
    <w:qFormat/>
    <w:uiPriority w:val="0"/>
    <w:pPr>
      <w:snapToGrid w:val="0"/>
      <w:jc w:val="left"/>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4">
    <w:name w:val="Strong"/>
    <w:qFormat/>
    <w:uiPriority w:val="99"/>
    <w:rPr>
      <w:rFonts w:cs="Times New Roman"/>
      <w:b/>
    </w:rPr>
  </w:style>
  <w:style w:type="character" w:styleId="15">
    <w:name w:val="Emphasis"/>
    <w:basedOn w:val="13"/>
    <w:qFormat/>
    <w:uiPriority w:val="0"/>
    <w:rPr>
      <w:i/>
    </w:rPr>
  </w:style>
  <w:style w:type="paragraph" w:customStyle="1" w:styleId="16">
    <w:name w:val="NormalIndent"/>
    <w:basedOn w:val="1"/>
    <w:qFormat/>
    <w:uiPriority w:val="0"/>
    <w:pPr>
      <w:ind w:firstLine="420" w:firstLineChars="200"/>
    </w:pPr>
  </w:style>
  <w:style w:type="paragraph" w:customStyle="1" w:styleId="17">
    <w:name w:val="WPSOffice手动目录 1"/>
    <w:qFormat/>
    <w:uiPriority w:val="0"/>
    <w:pPr>
      <w:ind w:leftChars="0"/>
    </w:pPr>
    <w:rPr>
      <w:rFonts w:asciiTheme="minorHAnsi" w:hAnsiTheme="minorHAnsi" w:eastAsiaTheme="minorEastAsia" w:cstheme="minorBidi"/>
      <w:sz w:val="20"/>
      <w:szCs w:val="20"/>
    </w:rPr>
  </w:style>
  <w:style w:type="paragraph" w:customStyle="1" w:styleId="18">
    <w:name w:val="WPSOffice手动目录 2"/>
    <w:qFormat/>
    <w:uiPriority w:val="0"/>
    <w:pPr>
      <w:ind w:leftChars="200"/>
    </w:pPr>
    <w:rPr>
      <w:rFonts w:asciiTheme="minorHAnsi" w:hAnsiTheme="minorHAnsi" w:eastAsiaTheme="minorEastAsia" w:cstheme="minorBidi"/>
      <w:sz w:val="20"/>
      <w:szCs w:val="20"/>
    </w:rPr>
  </w:style>
  <w:style w:type="paragraph" w:customStyle="1" w:styleId="19">
    <w:name w:val="四号正文"/>
    <w:basedOn w:val="1"/>
    <w:qFormat/>
    <w:uiPriority w:val="0"/>
    <w:pPr>
      <w:spacing w:line="360" w:lineRule="auto"/>
    </w:pPr>
    <w:rPr>
      <w:rFonts w:ascii="??" w:hAnsi="??" w:eastAsia="宋体"/>
      <w:color w:val="000000"/>
      <w:kern w:val="0"/>
      <w:sz w:val="28"/>
      <w:szCs w:val="21"/>
      <w:lang w:val="zh-CN"/>
    </w:rPr>
  </w:style>
  <w:style w:type="character" w:customStyle="1" w:styleId="20">
    <w:name w:val="标题 1 Char"/>
    <w:basedOn w:val="13"/>
    <w:link w:val="3"/>
    <w:qFormat/>
    <w:uiPriority w:val="9"/>
    <w:rPr>
      <w:rFonts w:hint="eastAsia" w:ascii="宋体" w:hAnsi="宋体" w:eastAsia="宋体" w:cs="宋体"/>
      <w:b/>
      <w:kern w:val="44"/>
      <w:sz w:val="48"/>
      <w:szCs w:val="48"/>
      <w:lang w:val="en-US" w:eastAsia="zh-CN" w:bidi="ar"/>
    </w:rPr>
  </w:style>
  <w:style w:type="paragraph" w:styleId="2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glossaryDocument" Target="glossary/document.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7.xml"/><Relationship Id="rId10" Type="http://schemas.openxmlformats.org/officeDocument/2006/relationships/chart" Target="charts/chart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2024年度</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2"/>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Sheet1!$A$2</c:f>
              <c:strCache>
                <c:ptCount val="1"/>
                <c:pt idx="0">
                  <c:v>收入、支出总计</c:v>
                </c:pt>
              </c:strCache>
            </c:strRef>
          </c:cat>
          <c:val>
            <c:numRef>
              <c:f>Sheet1!$B$2</c:f>
              <c:numCache>
                <c:formatCode>General</c:formatCode>
                <c:ptCount val="1"/>
                <c:pt idx="0">
                  <c:v>6199.62</c:v>
                </c:pt>
              </c:numCache>
            </c:numRef>
          </c:val>
        </c:ser>
        <c:ser>
          <c:idx val="1"/>
          <c:order val="1"/>
          <c:tx>
            <c:strRef>
              <c:f>Sheet1!$C$1</c:f>
              <c:strCache>
                <c:ptCount val="1"/>
                <c:pt idx="0">
                  <c:v>2025年度</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2"/>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Sheet1!$A$2</c:f>
              <c:strCache>
                <c:ptCount val="1"/>
                <c:pt idx="0">
                  <c:v>收入、支出总计</c:v>
                </c:pt>
              </c:strCache>
            </c:strRef>
          </c:cat>
          <c:val>
            <c:numRef>
              <c:f>Sheet1!$C$2</c:f>
              <c:numCache>
                <c:formatCode>General</c:formatCode>
                <c:ptCount val="1"/>
                <c:pt idx="0">
                  <c:v>5971.42</c:v>
                </c:pt>
              </c:numCache>
            </c:numRef>
          </c:val>
        </c:ser>
        <c:dLbls>
          <c:showLegendKey val="0"/>
          <c:showVal val="1"/>
          <c:showCatName val="0"/>
          <c:showSerName val="0"/>
          <c:showPercent val="0"/>
          <c:showBubbleSize val="0"/>
        </c:dLbls>
        <c:gapWidth val="100"/>
        <c:overlap val="-24"/>
        <c:axId val="829413650"/>
        <c:axId val="677600724"/>
      </c:barChart>
      <c:catAx>
        <c:axId val="829413650"/>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crossAx val="677600724"/>
        <c:crosses val="autoZero"/>
        <c:auto val="1"/>
        <c:lblAlgn val="ctr"/>
        <c:lblOffset val="100"/>
        <c:noMultiLvlLbl val="0"/>
      </c:catAx>
      <c:valAx>
        <c:axId val="677600724"/>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crossAx val="8294136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本年收入</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443960867447108"/>
                  <c:y val="-0.26380781320161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83975041880591"/>
                  <c:y val="0.13762909744050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7125950972105"/>
                  <c:y val="0.00067355186349348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239682163989856"/>
                      <c:h val="0.1178715761113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一般公共预算财政拨款收入</c:v>
                </c:pt>
                <c:pt idx="1">
                  <c:v>政府性基金预算财政拨款收入</c:v>
                </c:pt>
                <c:pt idx="2">
                  <c:v>其他收入</c:v>
                </c:pt>
              </c:strCache>
            </c:strRef>
          </c:cat>
          <c:val>
            <c:numRef>
              <c:f>Sheet1!$B$2:$B$4</c:f>
              <c:numCache>
                <c:formatCode>General</c:formatCode>
                <c:ptCount val="3"/>
                <c:pt idx="0">
                  <c:v>5288.17</c:v>
                </c:pt>
                <c:pt idx="1">
                  <c:v>3.6</c:v>
                </c:pt>
                <c:pt idx="2">
                  <c:v>607.72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本年支出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2508.87</c:v>
                </c:pt>
                <c:pt idx="1">
                  <c:v>3054.86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5575"/>
          <c:y val="0.127"/>
          <c:w val="0.8938"/>
          <c:h val="0.7169"/>
        </c:manualLayout>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财政拨款收、支总计</c:v>
                </c:pt>
              </c:strCache>
            </c:strRef>
          </c:cat>
          <c:val>
            <c:numRef>
              <c:f>Sheet1!$B$2</c:f>
              <c:numCache>
                <c:formatCode>General</c:formatCode>
                <c:ptCount val="1"/>
                <c:pt idx="0">
                  <c:v>5912.87</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财政拨款收、支总计</c:v>
                </c:pt>
              </c:strCache>
            </c:strRef>
          </c:cat>
          <c:val>
            <c:numRef>
              <c:f>Sheet1!$C$2</c:f>
              <c:numCache>
                <c:formatCode>General</c:formatCode>
                <c:ptCount val="1"/>
                <c:pt idx="0">
                  <c:v>5291.77</c:v>
                </c:pt>
              </c:numCache>
            </c:numRef>
          </c:val>
        </c:ser>
        <c:dLbls>
          <c:showLegendKey val="0"/>
          <c:showVal val="1"/>
          <c:showCatName val="0"/>
          <c:showSerName val="0"/>
          <c:showPercent val="0"/>
          <c:showBubbleSize val="0"/>
        </c:dLbls>
        <c:gapWidth val="219"/>
        <c:overlap val="-27"/>
        <c:axId val="323646574"/>
        <c:axId val="554844271"/>
      </c:barChart>
      <c:catAx>
        <c:axId val="32364657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844271"/>
        <c:crosses val="autoZero"/>
        <c:auto val="1"/>
        <c:lblAlgn val="ctr"/>
        <c:lblOffset val="100"/>
        <c:noMultiLvlLbl val="0"/>
      </c:catAx>
      <c:valAx>
        <c:axId val="5548442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36465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96227758007117"/>
          <c:y val="0.0447235073804803"/>
          <c:w val="0.87906049822064"/>
          <c:h val="0.745186164353382"/>
        </c:manualLayout>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5812.87</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5288.17</c:v>
                </c:pt>
              </c:numCache>
            </c:numRef>
          </c:val>
        </c:ser>
        <c:dLbls>
          <c:showLegendKey val="0"/>
          <c:showVal val="1"/>
          <c:showCatName val="0"/>
          <c:showSerName val="0"/>
          <c:showPercent val="0"/>
          <c:showBubbleSize val="0"/>
        </c:dLbls>
        <c:gapWidth val="219"/>
        <c:overlap val="-27"/>
        <c:axId val="296609092"/>
        <c:axId val="276952207"/>
      </c:barChart>
      <c:catAx>
        <c:axId val="29660909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6952207"/>
        <c:crosses val="autoZero"/>
        <c:auto val="1"/>
        <c:lblAlgn val="ctr"/>
        <c:lblOffset val="100"/>
        <c:noMultiLvlLbl val="0"/>
      </c:catAx>
      <c:valAx>
        <c:axId val="2769522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66090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plotArea>
      <c:layout/>
      <c:doughnutChart>
        <c:varyColors val="1"/>
        <c:ser>
          <c:idx val="0"/>
          <c:order val="0"/>
          <c:tx>
            <c:strRef>
              <c:f>Sheet1!$B$1</c:f>
              <c:strCache>
                <c:ptCount val="1"/>
                <c:pt idx="0">
                  <c:v>一般公共预算财政拨款支出</c:v>
                </c:pt>
              </c:strCache>
            </c:strRef>
          </c:tx>
          <c:spPr/>
          <c:explosion val="0"/>
          <c:dPt>
            <c:idx val="0"/>
            <c:bubble3D val="0"/>
            <c:spPr>
              <a:gradFill>
                <a:gsLst>
                  <a:gs pos="0">
                    <a:schemeClr val="accent2">
                      <a:hueOff val="-1670000"/>
                    </a:schemeClr>
                  </a:gs>
                  <a:gs pos="100000">
                    <a:schemeClr val="accent2"/>
                  </a:gs>
                </a:gsLst>
                <a:lin ang="5400000" scaled="0"/>
              </a:gradFill>
              <a:ln>
                <a:gradFill>
                  <a:gsLst>
                    <a:gs pos="0">
                      <a:schemeClr val="accent2">
                        <a:lumMod val="75000"/>
                        <a:hueOff val="-1670000"/>
                      </a:schemeClr>
                    </a:gs>
                    <a:gs pos="100000">
                      <a:schemeClr val="accent2">
                        <a:lumMod val="75000"/>
                      </a:schemeClr>
                    </a:gs>
                  </a:gsLst>
                  <a:lin ang="5160000" scaled="1"/>
                </a:gradFill>
              </a:ln>
              <a:effectLst/>
            </c:spPr>
          </c:dPt>
          <c:dPt>
            <c:idx val="1"/>
            <c:bubble3D val="0"/>
            <c:spPr>
              <a:gradFill>
                <a:gsLst>
                  <a:gs pos="0">
                    <a:schemeClr val="accent4">
                      <a:hueOff val="-1670000"/>
                    </a:schemeClr>
                  </a:gs>
                  <a:gs pos="100000">
                    <a:schemeClr val="accent4"/>
                  </a:gs>
                </a:gsLst>
                <a:lin ang="5400000" scaled="0"/>
              </a:gradFill>
              <a:ln>
                <a:gradFill>
                  <a:gsLst>
                    <a:gs pos="0">
                      <a:schemeClr val="accent4">
                        <a:lumMod val="75000"/>
                        <a:hueOff val="-1670000"/>
                      </a:schemeClr>
                    </a:gs>
                    <a:gs pos="100000">
                      <a:schemeClr val="accent4">
                        <a:lumMod val="75000"/>
                      </a:schemeClr>
                    </a:gs>
                  </a:gsLst>
                  <a:lin ang="5160000" scaled="1"/>
                </a:gradFill>
              </a:ln>
              <a:effectLst/>
            </c:spPr>
          </c:dPt>
          <c:dPt>
            <c:idx val="2"/>
            <c:bubble3D val="0"/>
            <c:spPr>
              <a:gradFill>
                <a:gsLst>
                  <a:gs pos="0">
                    <a:schemeClr val="accent6">
                      <a:hueOff val="-1670000"/>
                    </a:schemeClr>
                  </a:gs>
                  <a:gs pos="100000">
                    <a:schemeClr val="accent6"/>
                  </a:gs>
                </a:gsLst>
                <a:lin ang="5400000" scaled="0"/>
              </a:gradFill>
              <a:ln>
                <a:gradFill>
                  <a:gsLst>
                    <a:gs pos="0">
                      <a:schemeClr val="accent6">
                        <a:lumMod val="75000"/>
                        <a:hueOff val="-1670000"/>
                      </a:schemeClr>
                    </a:gs>
                    <a:gs pos="100000">
                      <a:schemeClr val="accent6">
                        <a:lumMod val="75000"/>
                      </a:schemeClr>
                    </a:gs>
                  </a:gsLst>
                  <a:lin ang="5160000" scaled="1"/>
                </a:gradFill>
              </a:ln>
              <a:effectLst/>
            </c:spPr>
          </c:dPt>
          <c:dPt>
            <c:idx val="3"/>
            <c:bubble3D val="0"/>
            <c:spPr>
              <a:gradFill>
                <a:gsLst>
                  <a:gs pos="0">
                    <a:schemeClr val="accent2">
                      <a:lumMod val="60000"/>
                      <a:hueOff val="-1670000"/>
                    </a:schemeClr>
                  </a:gs>
                  <a:gs pos="100000">
                    <a:schemeClr val="accent2">
                      <a:lumMod val="60000"/>
                    </a:schemeClr>
                  </a:gs>
                </a:gsLst>
                <a:lin ang="5400000" scaled="0"/>
              </a:gradFill>
              <a:ln>
                <a:gradFill>
                  <a:gsLst>
                    <a:gs pos="0">
                      <a:schemeClr val="accent2">
                        <a:lumMod val="60000"/>
                        <a:lumMod val="75000"/>
                        <a:hueOff val="-1670000"/>
                      </a:schemeClr>
                    </a:gs>
                    <a:gs pos="100000">
                      <a:schemeClr val="accent2">
                        <a:lumMod val="60000"/>
                        <a:lumMod val="75000"/>
                      </a:schemeClr>
                    </a:gs>
                  </a:gsLst>
                  <a:lin ang="5160000" scaled="1"/>
                </a:gradFill>
              </a:ln>
              <a:effectLst/>
            </c:spPr>
          </c:dPt>
          <c:dPt>
            <c:idx val="4"/>
            <c:bubble3D val="0"/>
            <c:spPr>
              <a:gradFill>
                <a:gsLst>
                  <a:gs pos="0">
                    <a:schemeClr val="accent4">
                      <a:lumMod val="60000"/>
                      <a:hueOff val="-1670000"/>
                    </a:schemeClr>
                  </a:gs>
                  <a:gs pos="100000">
                    <a:schemeClr val="accent4">
                      <a:lumMod val="60000"/>
                    </a:schemeClr>
                  </a:gs>
                </a:gsLst>
                <a:lin ang="5400000" scaled="0"/>
              </a:gradFill>
              <a:ln>
                <a:gradFill>
                  <a:gsLst>
                    <a:gs pos="0">
                      <a:schemeClr val="accent4">
                        <a:lumMod val="60000"/>
                        <a:lumMod val="75000"/>
                        <a:hueOff val="-1670000"/>
                      </a:schemeClr>
                    </a:gs>
                    <a:gs pos="100000">
                      <a:schemeClr val="accent4">
                        <a:lumMod val="60000"/>
                        <a:lumMod val="75000"/>
                      </a:schemeClr>
                    </a:gs>
                  </a:gsLst>
                  <a:lin ang="5160000" scaled="1"/>
                </a:gradFill>
              </a:ln>
              <a:effectLst/>
            </c:spPr>
          </c:dPt>
          <c:dPt>
            <c:idx val="5"/>
            <c:bubble3D val="0"/>
            <c:spPr>
              <a:gradFill>
                <a:gsLst>
                  <a:gs pos="0">
                    <a:schemeClr val="accent6">
                      <a:lumMod val="60000"/>
                      <a:hueOff val="-1670000"/>
                    </a:schemeClr>
                  </a:gs>
                  <a:gs pos="100000">
                    <a:schemeClr val="accent6">
                      <a:lumMod val="60000"/>
                    </a:schemeClr>
                  </a:gs>
                </a:gsLst>
                <a:lin ang="5400000" scaled="0"/>
              </a:gradFill>
              <a:ln>
                <a:gradFill>
                  <a:gsLst>
                    <a:gs pos="0">
                      <a:schemeClr val="accent6">
                        <a:lumMod val="60000"/>
                        <a:lumMod val="75000"/>
                        <a:hueOff val="-1670000"/>
                      </a:schemeClr>
                    </a:gs>
                    <a:gs pos="100000">
                      <a:schemeClr val="accent6">
                        <a:lumMod val="60000"/>
                        <a:lumMod val="75000"/>
                      </a:schemeClr>
                    </a:gs>
                  </a:gsLst>
                  <a:lin ang="5160000" scaled="1"/>
                </a:gradFill>
              </a:ln>
              <a:effectLst/>
            </c:spPr>
          </c:dPt>
          <c:dLbls>
            <c:dLbl>
              <c:idx val="0"/>
              <c:layout>
                <c:manualLayout>
                  <c:x val="0.371385364255668"/>
                  <c:y val="0.110586495416762"/>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showLegendKey val="1"/>
              <c:showVal val="0"/>
              <c:showCatName val="1"/>
              <c:showSerName val="0"/>
              <c:showPercent val="1"/>
              <c:showBubbleSize val="0"/>
              <c:separator>
</c:separator>
              <c:extLst>
                <c:ext xmlns:c15="http://schemas.microsoft.com/office/drawing/2012/chart" uri="{CE6537A1-D6FC-4f65-9D91-7224C49458BB}">
                  <c15:layout>
                    <c:manualLayout>
                      <c:w val="0.248444886787758"/>
                      <c:h val="0.0920245398773006"/>
                    </c:manualLayout>
                  </c15:layout>
                </c:ext>
              </c:extLst>
            </c:dLbl>
            <c:dLbl>
              <c:idx val="1"/>
              <c:layout>
                <c:manualLayout>
                  <c:x val="0.270048427288241"/>
                  <c:y val="0.277585448232703"/>
                </c:manualLayout>
              </c:layou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04771115409413"/>
                  <c:y val="0.168104878858281"/>
                </c:manualLayout>
              </c:layou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51429922138726"/>
                  <c:y val="0.133040351578106"/>
                </c:manualLayout>
              </c:layou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0268113790250661"/>
                  <c:y val="0.260925063928948"/>
                </c:manualLayout>
              </c:layout>
              <c:showLegendKey val="1"/>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365441650548034"/>
                  <c:y val="-0.0526053767009625"/>
                </c:manualLayout>
              </c:layou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Sheet1!$A$2:$A$7</c:f>
              <c:strCache>
                <c:ptCount val="6"/>
                <c:pt idx="0">
                  <c:v>一般公共服务支出</c:v>
                </c:pt>
                <c:pt idx="1">
                  <c:v>教育支出</c:v>
                </c:pt>
                <c:pt idx="2">
                  <c:v>社会保障和就业支出</c:v>
                </c:pt>
                <c:pt idx="3">
                  <c:v>住房保障支出</c:v>
                </c:pt>
                <c:pt idx="4">
                  <c:v>其他支出</c:v>
                </c:pt>
                <c:pt idx="5">
                  <c:v>卫生健康支出</c:v>
                </c:pt>
              </c:strCache>
            </c:strRef>
          </c:cat>
          <c:val>
            <c:numRef>
              <c:f>Sheet1!$B$2:$B$7</c:f>
              <c:numCache>
                <c:formatCode>General</c:formatCode>
                <c:ptCount val="6"/>
                <c:pt idx="0">
                  <c:v>4.8</c:v>
                </c:pt>
                <c:pt idx="1">
                  <c:v>1267.58</c:v>
                </c:pt>
                <c:pt idx="2">
                  <c:v>3657.07</c:v>
                </c:pt>
                <c:pt idx="3">
                  <c:v>149.18</c:v>
                </c:pt>
                <c:pt idx="4">
                  <c:v>80</c:v>
                </c:pt>
                <c:pt idx="5">
                  <c:v>129.53</c:v>
                </c:pt>
              </c:numCache>
            </c:numRef>
          </c:val>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0.104426427724274"/>
          <c:y val="0.10227824789497"/>
          <c:w val="0.776312515551132"/>
          <c:h val="0.11759222266613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2"/>
              </a:solidFill>
              <a:ln w="19050">
                <a:solidFill>
                  <a:schemeClr val="lt1"/>
                </a:solidFill>
              </a:ln>
              <a:effectLst/>
            </c:spPr>
          </c:dPt>
          <c:dPt>
            <c:idx val="1"/>
            <c:bubble3D val="0"/>
            <c:spPr>
              <a:solidFill>
                <a:schemeClr val="accent4"/>
              </a:solidFill>
              <a:ln w="19050">
                <a:solidFill>
                  <a:schemeClr val="lt1"/>
                </a:solidFill>
              </a:ln>
              <a:effectLst/>
            </c:spPr>
          </c:dPt>
          <c:dPt>
            <c:idx val="2"/>
            <c:bubble3D val="0"/>
            <c:spPr>
              <a:solidFill>
                <a:schemeClr val="accent6"/>
              </a:solidFill>
              <a:ln w="19050">
                <a:solidFill>
                  <a:schemeClr val="lt1"/>
                </a:solidFill>
              </a:ln>
              <a:effectLst/>
            </c:spPr>
          </c:dPt>
          <c:dLbls>
            <c:dLbl>
              <c:idx val="0"/>
              <c:layout>
                <c:manualLayout>
                  <c:x val="0.0454709638109762"/>
                  <c:y val="0.1268544596888"/>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71242663944884"/>
                      <c:h val="0.163838383838384"/>
                    </c:manualLayout>
                  </c15:layout>
                </c:ext>
              </c:extLst>
            </c:dLbl>
            <c:dLbl>
              <c:idx val="1"/>
              <c:layout>
                <c:manualLayout>
                  <c:x val="-0.219551288840296"/>
                  <c:y val="-0.038427622247263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09385980272962"/>
                  <c:y val="-0.015345365439395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3.15</c:v>
                </c:pt>
                <c:pt idx="2">
                  <c:v>3.16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116">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16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ddee3ea-398c-4438-ab3f-3e563697ebad}"/>
        <w:style w:val=""/>
        <w:category>
          <w:name w:val="常规"/>
          <w:gallery w:val="placeholder"/>
        </w:category>
        <w:types>
          <w:type w:val="bbPlcHdr"/>
        </w:types>
        <w:behaviors>
          <w:behavior w:val="content"/>
        </w:behaviors>
        <w:description w:val=""/>
        <w:guid w:val="{3ddee3ea-398c-4438-ab3f-3e563697ebad}"/>
      </w:docPartPr>
      <w:docPartBody>
        <w:p>
          <w:r>
            <w:rPr>
              <w:color w:val="808080"/>
            </w:rPr>
            <w:t>单击此处输入文字。</w:t>
          </w:r>
        </w:p>
      </w:docPartBody>
    </w:docPart>
    <w:docPart>
      <w:docPartPr>
        <w:name w:val="{9b42a332-593c-4083-8517-ae5d9714fbbf}"/>
        <w:style w:val=""/>
        <w:category>
          <w:name w:val="常规"/>
          <w:gallery w:val="placeholder"/>
        </w:category>
        <w:types>
          <w:type w:val="bbPlcHdr"/>
        </w:types>
        <w:behaviors>
          <w:behavior w:val="content"/>
        </w:behaviors>
        <w:description w:val=""/>
        <w:guid w:val="{9b42a332-593c-4083-8517-ae5d9714fbbf}"/>
      </w:docPartPr>
      <w:docPartBody>
        <w:p>
          <w:r>
            <w:rPr>
              <w:color w:val="808080"/>
            </w:rPr>
            <w:t>单击此处输入文字。</w:t>
          </w:r>
        </w:p>
      </w:docPartBody>
    </w:docPart>
    <w:docPart>
      <w:docPartPr>
        <w:name w:val="{7344e18b-ae1b-4205-92a2-268eaad69128}"/>
        <w:style w:val=""/>
        <w:category>
          <w:name w:val="常规"/>
          <w:gallery w:val="placeholder"/>
        </w:category>
        <w:types>
          <w:type w:val="bbPlcHdr"/>
        </w:types>
        <w:behaviors>
          <w:behavior w:val="content"/>
        </w:behaviors>
        <w:description w:val=""/>
        <w:guid w:val="{7344e18b-ae1b-4205-92a2-268eaad69128}"/>
      </w:docPartPr>
      <w:docPartBody>
        <w:p>
          <w:r>
            <w:rPr>
              <w:color w:val="808080"/>
            </w:rPr>
            <w:t>单击此处输入文字。</w:t>
          </w:r>
        </w:p>
      </w:docPartBody>
    </w:docPart>
    <w:docPart>
      <w:docPartPr>
        <w:name w:val="{27727047-dd38-4588-9603-cfdbfd08ee46}"/>
        <w:style w:val=""/>
        <w:category>
          <w:name w:val="常规"/>
          <w:gallery w:val="placeholder"/>
        </w:category>
        <w:types>
          <w:type w:val="bbPlcHdr"/>
        </w:types>
        <w:behaviors>
          <w:behavior w:val="content"/>
        </w:behaviors>
        <w:description w:val=""/>
        <w:guid w:val="{27727047-dd38-4588-9603-cfdbfd08ee46}"/>
      </w:docPartPr>
      <w:docPartBody>
        <w:p>
          <w:r>
            <w:rPr>
              <w:color w:val="808080"/>
            </w:rPr>
            <w:t>单击此处输入文字。</w:t>
          </w:r>
        </w:p>
      </w:docPartBody>
    </w:docPart>
    <w:docPart>
      <w:docPartPr>
        <w:name w:val="{d52e73be-9c14-407d-afc2-388e55b4869c}"/>
        <w:style w:val=""/>
        <w:category>
          <w:name w:val="常规"/>
          <w:gallery w:val="placeholder"/>
        </w:category>
        <w:types>
          <w:type w:val="bbPlcHdr"/>
        </w:types>
        <w:behaviors>
          <w:behavior w:val="content"/>
        </w:behaviors>
        <w:description w:val=""/>
        <w:guid w:val="{d52e73be-9c14-407d-afc2-388e55b4869c}"/>
      </w:docPartPr>
      <w:docPartBody>
        <w:p>
          <w:r>
            <w:rPr>
              <w:color w:val="808080"/>
            </w:rPr>
            <w:t>单击此处输入文字。</w:t>
          </w:r>
        </w:p>
      </w:docPartBody>
    </w:docPart>
    <w:docPart>
      <w:docPartPr>
        <w:name w:val="{fa8a02b1-d18e-4a56-9de3-7accfc66f970}"/>
        <w:style w:val=""/>
        <w:category>
          <w:name w:val="常规"/>
          <w:gallery w:val="placeholder"/>
        </w:category>
        <w:types>
          <w:type w:val="bbPlcHdr"/>
        </w:types>
        <w:behaviors>
          <w:behavior w:val="content"/>
        </w:behaviors>
        <w:description w:val=""/>
        <w:guid w:val="{fa8a02b1-d18e-4a56-9de3-7accfc66f970}"/>
      </w:docPartPr>
      <w:docPartBody>
        <w:p>
          <w:r>
            <w:rPr>
              <w:color w:val="808080"/>
            </w:rPr>
            <w:t>单击此处输入文字。</w:t>
          </w:r>
        </w:p>
      </w:docPartBody>
    </w:docPart>
    <w:docPart>
      <w:docPartPr>
        <w:name w:val="{1a64dcb4-cd15-44e3-925e-3313b508833b}"/>
        <w:style w:val=""/>
        <w:category>
          <w:name w:val="常规"/>
          <w:gallery w:val="placeholder"/>
        </w:category>
        <w:types>
          <w:type w:val="bbPlcHdr"/>
        </w:types>
        <w:behaviors>
          <w:behavior w:val="content"/>
        </w:behaviors>
        <w:description w:val=""/>
        <w:guid w:val="{1a64dcb4-cd15-44e3-925e-3313b508833b}"/>
      </w:docPartPr>
      <w:docPartBody>
        <w:p>
          <w:r>
            <w:rPr>
              <w:color w:val="808080"/>
            </w:rPr>
            <w:t>单击此处输入文字。</w:t>
          </w:r>
        </w:p>
      </w:docPartBody>
    </w:docPart>
    <w:docPart>
      <w:docPartPr>
        <w:name w:val="{7b1d6695-f9e0-4e88-a511-fed69331718d}"/>
        <w:style w:val=""/>
        <w:category>
          <w:name w:val="常规"/>
          <w:gallery w:val="placeholder"/>
        </w:category>
        <w:types>
          <w:type w:val="bbPlcHdr"/>
        </w:types>
        <w:behaviors>
          <w:behavior w:val="content"/>
        </w:behaviors>
        <w:description w:val=""/>
        <w:guid w:val="{7b1d6695-f9e0-4e88-a511-fed69331718d}"/>
      </w:docPartPr>
      <w:docPartBody>
        <w:p>
          <w:r>
            <w:rPr>
              <w:color w:val="808080"/>
            </w:rPr>
            <w:t>单击此处输入文字。</w:t>
          </w:r>
        </w:p>
      </w:docPartBody>
    </w:docPart>
    <w:docPart>
      <w:docPartPr>
        <w:name w:val="{9c2319f4-03de-485f-927c-1dddfad590b0}"/>
        <w:style w:val=""/>
        <w:category>
          <w:name w:val="常规"/>
          <w:gallery w:val="placeholder"/>
        </w:category>
        <w:types>
          <w:type w:val="bbPlcHdr"/>
        </w:types>
        <w:behaviors>
          <w:behavior w:val="content"/>
        </w:behaviors>
        <w:description w:val=""/>
        <w:guid w:val="{9c2319f4-03de-485f-927c-1dddfad590b0}"/>
      </w:docPartPr>
      <w:docPartBody>
        <w:p>
          <w:r>
            <w:rPr>
              <w:color w:val="808080"/>
            </w:rPr>
            <w:t>单击此处输入文字。</w:t>
          </w:r>
        </w:p>
      </w:docPartBody>
    </w:docPart>
    <w:docPart>
      <w:docPartPr>
        <w:name w:val="{bf63c859-cfa8-4a65-986b-807cb31b1d1b}"/>
        <w:style w:val=""/>
        <w:category>
          <w:name w:val="常规"/>
          <w:gallery w:val="placeholder"/>
        </w:category>
        <w:types>
          <w:type w:val="bbPlcHdr"/>
        </w:types>
        <w:behaviors>
          <w:behavior w:val="content"/>
        </w:behaviors>
        <w:description w:val=""/>
        <w:guid w:val="{bf63c859-cfa8-4a65-986b-807cb31b1d1b}"/>
      </w:docPartPr>
      <w:docPartBody>
        <w:p>
          <w:r>
            <w:rPr>
              <w:color w:val="808080"/>
            </w:rPr>
            <w:t>单击此处输入文字。</w:t>
          </w:r>
        </w:p>
      </w:docPartBody>
    </w:docPart>
    <w:docPart>
      <w:docPartPr>
        <w:name w:val="{cd1ffeb0-acc2-48c5-b8d5-2d389e8ae93e}"/>
        <w:style w:val=""/>
        <w:category>
          <w:name w:val="常规"/>
          <w:gallery w:val="placeholder"/>
        </w:category>
        <w:types>
          <w:type w:val="bbPlcHdr"/>
        </w:types>
        <w:behaviors>
          <w:behavior w:val="content"/>
        </w:behaviors>
        <w:description w:val=""/>
        <w:guid w:val="{cd1ffeb0-acc2-48c5-b8d5-2d389e8ae93e}"/>
      </w:docPartPr>
      <w:docPartBody>
        <w:p>
          <w:r>
            <w:rPr>
              <w:color w:val="808080"/>
            </w:rPr>
            <w:t>单击此处输入文字。</w:t>
          </w:r>
        </w:p>
      </w:docPartBody>
    </w:docPart>
    <w:docPart>
      <w:docPartPr>
        <w:name w:val="{c1adeb25-9001-4fdf-92eb-01537428a528}"/>
        <w:style w:val=""/>
        <w:category>
          <w:name w:val="常规"/>
          <w:gallery w:val="placeholder"/>
        </w:category>
        <w:types>
          <w:type w:val="bbPlcHdr"/>
        </w:types>
        <w:behaviors>
          <w:behavior w:val="content"/>
        </w:behaviors>
        <w:description w:val=""/>
        <w:guid w:val="{c1adeb25-9001-4fdf-92eb-01537428a528}"/>
      </w:docPartPr>
      <w:docPartBody>
        <w:p>
          <w:r>
            <w:rPr>
              <w:color w:val="808080"/>
            </w:rPr>
            <w:t>单击此处输入文字。</w:t>
          </w:r>
        </w:p>
      </w:docPartBody>
    </w:docPart>
    <w:docPart>
      <w:docPartPr>
        <w:name w:val="{54dd6c52-a5a0-4088-b167-bacd222c4758}"/>
        <w:style w:val=""/>
        <w:category>
          <w:name w:val="常规"/>
          <w:gallery w:val="placeholder"/>
        </w:category>
        <w:types>
          <w:type w:val="bbPlcHdr"/>
        </w:types>
        <w:behaviors>
          <w:behavior w:val="content"/>
        </w:behaviors>
        <w:description w:val=""/>
        <w:guid w:val="{54dd6c52-a5a0-4088-b167-bacd222c4758}"/>
      </w:docPartPr>
      <w:docPartBody>
        <w:p>
          <w:r>
            <w:rPr>
              <w:color w:val="808080"/>
            </w:rPr>
            <w:t>单击此处输入文字。</w:t>
          </w:r>
        </w:p>
      </w:docPartBody>
    </w:docPart>
    <w:docPart>
      <w:docPartPr>
        <w:name w:val="{9952ea23-7830-4523-99a5-bf4e74785a3b}"/>
        <w:style w:val=""/>
        <w:category>
          <w:name w:val="常规"/>
          <w:gallery w:val="placeholder"/>
        </w:category>
        <w:types>
          <w:type w:val="bbPlcHdr"/>
        </w:types>
        <w:behaviors>
          <w:behavior w:val="content"/>
        </w:behaviors>
        <w:description w:val=""/>
        <w:guid w:val="{9952ea23-7830-4523-99a5-bf4e74785a3b}"/>
      </w:docPartPr>
      <w:docPartBody>
        <w:p>
          <w:r>
            <w:rPr>
              <w:color w:val="808080"/>
            </w:rPr>
            <w:t>单击此处输入文字。</w:t>
          </w:r>
        </w:p>
      </w:docPartBody>
    </w:docPart>
    <w:docPart>
      <w:docPartPr>
        <w:name w:val="{c251b27a-7deb-47cb-b5d6-e3f8e8b7a83d}"/>
        <w:style w:val=""/>
        <w:category>
          <w:name w:val="常规"/>
          <w:gallery w:val="placeholder"/>
        </w:category>
        <w:types>
          <w:type w:val="bbPlcHdr"/>
        </w:types>
        <w:behaviors>
          <w:behavior w:val="content"/>
        </w:behaviors>
        <w:description w:val=""/>
        <w:guid w:val="{c251b27a-7deb-47cb-b5d6-e3f8e8b7a83d}"/>
      </w:docPartPr>
      <w:docPartBody>
        <w:p>
          <w:r>
            <w:rPr>
              <w:color w:val="808080"/>
            </w:rPr>
            <w:t>单击此处输入文字。</w:t>
          </w:r>
        </w:p>
      </w:docPartBody>
    </w:docPart>
    <w:docPart>
      <w:docPartPr>
        <w:name w:val="{acfab68d-4011-46ae-8ed5-aa6deaf2b886}"/>
        <w:style w:val=""/>
        <w:category>
          <w:name w:val="常规"/>
          <w:gallery w:val="placeholder"/>
        </w:category>
        <w:types>
          <w:type w:val="bbPlcHdr"/>
        </w:types>
        <w:behaviors>
          <w:behavior w:val="content"/>
        </w:behaviors>
        <w:description w:val=""/>
        <w:guid w:val="{acfab68d-4011-46ae-8ed5-aa6deaf2b886}"/>
      </w:docPartPr>
      <w:docPartBody>
        <w:p>
          <w:r>
            <w:rPr>
              <w:color w:val="808080"/>
            </w:rPr>
            <w:t>单击此处输入文字。</w:t>
          </w:r>
        </w:p>
      </w:docPartBody>
    </w:docPart>
    <w:docPart>
      <w:docPartPr>
        <w:name w:val="{944d1609-ad93-43c1-8ddd-4e108ac617b1}"/>
        <w:style w:val=""/>
        <w:category>
          <w:name w:val="常规"/>
          <w:gallery w:val="placeholder"/>
        </w:category>
        <w:types>
          <w:type w:val="bbPlcHdr"/>
        </w:types>
        <w:behaviors>
          <w:behavior w:val="content"/>
        </w:behaviors>
        <w:description w:val=""/>
        <w:guid w:val="{944d1609-ad93-43c1-8ddd-4e108ac617b1}"/>
      </w:docPartPr>
      <w:docPartBody>
        <w:p>
          <w:r>
            <w:rPr>
              <w:color w:val="808080"/>
            </w:rPr>
            <w:t>单击此处输入文字。</w:t>
          </w:r>
        </w:p>
      </w:docPartBody>
    </w:docPart>
    <w:docPart>
      <w:docPartPr>
        <w:name w:val="{7323d970-0231-41c2-8571-efd122553232}"/>
        <w:style w:val=""/>
        <w:category>
          <w:name w:val="常规"/>
          <w:gallery w:val="placeholder"/>
        </w:category>
        <w:types>
          <w:type w:val="bbPlcHdr"/>
        </w:types>
        <w:behaviors>
          <w:behavior w:val="content"/>
        </w:behaviors>
        <w:description w:val=""/>
        <w:guid w:val="{7323d970-0231-41c2-8571-efd122553232}"/>
      </w:docPartPr>
      <w:docPartBody>
        <w:p>
          <w:r>
            <w:rPr>
              <w:color w:val="808080"/>
            </w:rPr>
            <w:t>单击此处输入文字。</w:t>
          </w:r>
        </w:p>
      </w:docPartBody>
    </w:docPart>
    <w:docPart>
      <w:docPartPr>
        <w:name w:val="{c8a8f5a8-e93e-4d84-91d2-614bd72aa94a}"/>
        <w:style w:val=""/>
        <w:category>
          <w:name w:val="常规"/>
          <w:gallery w:val="placeholder"/>
        </w:category>
        <w:types>
          <w:type w:val="bbPlcHdr"/>
        </w:types>
        <w:behaviors>
          <w:behavior w:val="content"/>
        </w:behaviors>
        <w:description w:val=""/>
        <w:guid w:val="{c8a8f5a8-e93e-4d84-91d2-614bd72aa94a}"/>
      </w:docPartPr>
      <w:docPartBody>
        <w:p>
          <w:r>
            <w:rPr>
              <w:color w:val="808080"/>
            </w:rPr>
            <w:t>单击此处输入文字。</w:t>
          </w:r>
        </w:p>
      </w:docPartBody>
    </w:docPart>
    <w:docPart>
      <w:docPartPr>
        <w:name w:val="{586e8bd3-4a90-485e-a8a6-5f653f5d3327}"/>
        <w:style w:val=""/>
        <w:category>
          <w:name w:val="常规"/>
          <w:gallery w:val="placeholder"/>
        </w:category>
        <w:types>
          <w:type w:val="bbPlcHdr"/>
        </w:types>
        <w:behaviors>
          <w:behavior w:val="content"/>
        </w:behaviors>
        <w:description w:val=""/>
        <w:guid w:val="{586e8bd3-4a90-485e-a8a6-5f653f5d3327}"/>
      </w:docPartPr>
      <w:docPartBody>
        <w:p>
          <w:r>
            <w:rPr>
              <w:color w:val="808080"/>
            </w:rPr>
            <w:t>单击此处输入文字。</w:t>
          </w:r>
        </w:p>
      </w:docPartBody>
    </w:docPart>
    <w:docPart>
      <w:docPartPr>
        <w:name w:val="{e7aea217-206b-40b6-82b7-f9e7d4af70a1}"/>
        <w:style w:val=""/>
        <w:category>
          <w:name w:val="常规"/>
          <w:gallery w:val="placeholder"/>
        </w:category>
        <w:types>
          <w:type w:val="bbPlcHdr"/>
        </w:types>
        <w:behaviors>
          <w:behavior w:val="content"/>
        </w:behaviors>
        <w:description w:val=""/>
        <w:guid w:val="{e7aea217-206b-40b6-82b7-f9e7d4af70a1}"/>
      </w:docPartPr>
      <w:docPartBody>
        <w:p>
          <w:r>
            <w:rPr>
              <w:color w:val="808080"/>
            </w:rPr>
            <w:t>单击此处输入文字。</w:t>
          </w:r>
        </w:p>
      </w:docPartBody>
    </w:docPart>
    <w:docPart>
      <w:docPartPr>
        <w:name w:val="{019d5033-21ec-4c30-bf46-75b1eb33a599}"/>
        <w:style w:val=""/>
        <w:category>
          <w:name w:val="常规"/>
          <w:gallery w:val="placeholder"/>
        </w:category>
        <w:types>
          <w:type w:val="bbPlcHdr"/>
        </w:types>
        <w:behaviors>
          <w:behavior w:val="content"/>
        </w:behaviors>
        <w:description w:val=""/>
        <w:guid w:val="{019d5033-21ec-4c30-bf46-75b1eb33a599}"/>
      </w:docPartPr>
      <w:docPartBody>
        <w:p>
          <w:r>
            <w:rPr>
              <w:color w:val="808080"/>
            </w:rPr>
            <w:t>单击此处输入文字。</w:t>
          </w:r>
        </w:p>
      </w:docPartBody>
    </w:docPart>
    <w:docPart>
      <w:docPartPr>
        <w:name w:val="{67492fe7-889d-4cb4-9f66-6f19c22e8a39}"/>
        <w:style w:val=""/>
        <w:category>
          <w:name w:val="常规"/>
          <w:gallery w:val="placeholder"/>
        </w:category>
        <w:types>
          <w:type w:val="bbPlcHdr"/>
        </w:types>
        <w:behaviors>
          <w:behavior w:val="content"/>
        </w:behaviors>
        <w:description w:val=""/>
        <w:guid w:val="{67492fe7-889d-4cb4-9f66-6f19c22e8a39}"/>
      </w:docPartPr>
      <w:docPartBody>
        <w:p>
          <w:r>
            <w:rPr>
              <w:color w:val="808080"/>
            </w:rPr>
            <w:t>单击此处输入文字。</w:t>
          </w:r>
        </w:p>
      </w:docPartBody>
    </w:docPart>
    <w:docPart>
      <w:docPartPr>
        <w:name w:val="{53bdb8cc-8ccc-4fe9-a45b-df6ab1678df7}"/>
        <w:style w:val=""/>
        <w:category>
          <w:name w:val="常规"/>
          <w:gallery w:val="placeholder"/>
        </w:category>
        <w:types>
          <w:type w:val="bbPlcHdr"/>
        </w:types>
        <w:behaviors>
          <w:behavior w:val="content"/>
        </w:behaviors>
        <w:description w:val=""/>
        <w:guid w:val="{53bdb8cc-8ccc-4fe9-a45b-df6ab1678df7}"/>
      </w:docPartPr>
      <w:docPartBody>
        <w:p>
          <w:r>
            <w:rPr>
              <w:color w:val="808080"/>
            </w:rPr>
            <w:t>单击此处输入文字。</w:t>
          </w:r>
        </w:p>
      </w:docPartBody>
    </w:docPart>
    <w:docPart>
      <w:docPartPr>
        <w:name w:val="{c7755a47-bb1e-44cc-9a89-4372494c0cb5}"/>
        <w:style w:val=""/>
        <w:category>
          <w:name w:val="常规"/>
          <w:gallery w:val="placeholder"/>
        </w:category>
        <w:types>
          <w:type w:val="bbPlcHdr"/>
        </w:types>
        <w:behaviors>
          <w:behavior w:val="content"/>
        </w:behaviors>
        <w:description w:val=""/>
        <w:guid w:val="{c7755a47-bb1e-44cc-9a89-4372494c0cb5}"/>
      </w:docPartPr>
      <w:docPartBody>
        <w:p>
          <w:r>
            <w:rPr>
              <w:color w:val="808080"/>
            </w:rPr>
            <w:t>单击此处输入文字。</w:t>
          </w:r>
        </w:p>
      </w:docPartBody>
    </w:docPart>
    <w:docPart>
      <w:docPartPr>
        <w:name w:val="{aa38051d-d219-42a2-8c91-715dc91b9c25}"/>
        <w:style w:val=""/>
        <w:category>
          <w:name w:val="常规"/>
          <w:gallery w:val="placeholder"/>
        </w:category>
        <w:types>
          <w:type w:val="bbPlcHdr"/>
        </w:types>
        <w:behaviors>
          <w:behavior w:val="content"/>
        </w:behaviors>
        <w:description w:val=""/>
        <w:guid w:val="{aa38051d-d219-42a2-8c91-715dc91b9c25}"/>
      </w:docPartPr>
      <w:docPartBody>
        <w:p>
          <w:r>
            <w:rPr>
              <w:color w:val="808080"/>
            </w:rPr>
            <w:t>单击此处输入文字。</w:t>
          </w:r>
        </w:p>
      </w:docPartBody>
    </w:docPart>
    <w:docPart>
      <w:docPartPr>
        <w:name w:val="{a7e5dc5e-47e8-442c-b2d4-31658755d031}"/>
        <w:style w:val=""/>
        <w:category>
          <w:name w:val="常规"/>
          <w:gallery w:val="placeholder"/>
        </w:category>
        <w:types>
          <w:type w:val="bbPlcHdr"/>
        </w:types>
        <w:behaviors>
          <w:behavior w:val="content"/>
        </w:behaviors>
        <w:description w:val=""/>
        <w:guid w:val="{a7e5dc5e-47e8-442c-b2d4-31658755d031}"/>
      </w:docPartPr>
      <w:docPartBody>
        <w:p>
          <w:r>
            <w:rPr>
              <w:color w:val="808080"/>
            </w:rPr>
            <w:t>单击此处输入文字。</w:t>
          </w:r>
        </w:p>
      </w:docPartBody>
    </w:docPart>
    <w:docPart>
      <w:docPartPr>
        <w:name w:val="{14135ff0-e8dd-405a-a6c5-0559f387c1d2}"/>
        <w:style w:val=""/>
        <w:category>
          <w:name w:val="常规"/>
          <w:gallery w:val="placeholder"/>
        </w:category>
        <w:types>
          <w:type w:val="bbPlcHdr"/>
        </w:types>
        <w:behaviors>
          <w:behavior w:val="content"/>
        </w:behaviors>
        <w:description w:val=""/>
        <w:guid w:val="{14135ff0-e8dd-405a-a6c5-0559f387c1d2}"/>
      </w:docPartPr>
      <w:docPartBody>
        <w:p>
          <w:r>
            <w:rPr>
              <w:color w:val="808080"/>
            </w:rPr>
            <w:t>单击此处输入文字。</w:t>
          </w:r>
        </w:p>
      </w:docPartBody>
    </w:docPart>
    <w:docPart>
      <w:docPartPr>
        <w:name w:val="{8755a17c-f0b3-4ba5-a4ca-0510d5377d01}"/>
        <w:style w:val=""/>
        <w:category>
          <w:name w:val="常规"/>
          <w:gallery w:val="placeholder"/>
        </w:category>
        <w:types>
          <w:type w:val="bbPlcHdr"/>
        </w:types>
        <w:behaviors>
          <w:behavior w:val="content"/>
        </w:behaviors>
        <w:description w:val=""/>
        <w:guid w:val="{8755a17c-f0b3-4ba5-a4ca-0510d5377d01}"/>
      </w:docPartPr>
      <w:docPartBody>
        <w:p>
          <w:r>
            <w:rPr>
              <w:color w:val="808080"/>
            </w:rPr>
            <w:t>单击此处输入文字。</w:t>
          </w:r>
        </w:p>
      </w:docPartBody>
    </w:docPart>
    <w:docPart>
      <w:docPartPr>
        <w:name w:val="{4d93603f-74d1-4e00-a138-b6fc505329b7}"/>
        <w:style w:val=""/>
        <w:category>
          <w:name w:val="常规"/>
          <w:gallery w:val="placeholder"/>
        </w:category>
        <w:types>
          <w:type w:val="bbPlcHdr"/>
        </w:types>
        <w:behaviors>
          <w:behavior w:val="content"/>
        </w:behaviors>
        <w:description w:val=""/>
        <w:guid w:val="{4d93603f-74d1-4e00-a138-b6fc505329b7}"/>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潮州市直及下属单位</Company>
  <Pages>50</Pages>
  <Words>12087</Words>
  <Characters>13119</Characters>
  <Lines>0</Lines>
  <Paragraphs>0</Paragraphs>
  <TotalTime>85</TotalTime>
  <ScaleCrop>false</ScaleCrop>
  <LinksUpToDate>false</LinksUpToDate>
  <CharactersWithSpaces>13258</CharactersWithSpaces>
  <Application>WPS Office_11.8.2.11739_F1E327BC-269C-435d-A152-05C5408002CA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2023-08-05T09:43:00Z</dcterms:created>
  <dc:creator>程红</dc:creator>
  <cp:lastModifiedBy>Administrator</cp:lastModifiedBy>
  <cp:lastPrinted>2026-09-05T17:09:00Z</cp:lastPrinted>
  <dcterms:modified xsi:type="dcterms:W3CDTF">2026-09-14T01:12:48Z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2052-11.8.2.11739</vt:lpwstr>
  </property>
  <property fmtid="{D5CDD505-2E9C-101B-9397-08002B2CF9AE}" pid="3" name="ICV">
    <vt:lpwstr>54C8B0900F124702B0B67113962434BD</vt:lpwstr>
  </property>
  <property fmtid="{D5CDD505-2E9C-101B-9397-08002B2CF9AE}" pid="4" name="KSOTemplateDocerSaveRecord">
    <vt:lpwstr>eyJoZGlkIjoiYjI1MzdjNzEyODMxZTg2YmZhMmQ3OGQ2OTgyZjg4YjYiLCJ1c2VySWQiOiI0NTYxNDQ0NDAifQ==</vt:lpwstr>
  </property>
</Properties>
</file>