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D01EF">
      <w:pPr>
        <w:pStyle w:val="2"/>
        <w:rPr>
          <w:rFonts w:hint="eastAsia" w:ascii="黑体" w:hAnsi="黑体" w:eastAsia="黑体" w:cs="黑体"/>
          <w:color w:val="auto"/>
          <w:kern w:val="2"/>
          <w:sz w:val="32"/>
          <w:szCs w:val="32"/>
          <w:highlight w:val="none"/>
          <w:lang w:val="en-US" w:eastAsia="zh-CN" w:bidi="ar-SA"/>
        </w:rPr>
      </w:pPr>
      <w:bookmarkStart w:id="0" w:name="_Toc15396597"/>
      <w:bookmarkStart w:id="1" w:name="_Toc15377193"/>
      <w:bookmarkStart w:id="2" w:name="_Toc15378441"/>
      <w:bookmarkStart w:id="3" w:name="_Toc15306267"/>
      <w:bookmarkStart w:id="4" w:name="_Toc15377425"/>
      <w:bookmarkStart w:id="5" w:name="_Toc15396475"/>
    </w:p>
    <w:p w14:paraId="0A4E7EB7">
      <w:pPr>
        <w:pStyle w:val="2"/>
        <w:jc w:val="center"/>
        <w:rPr>
          <w:rFonts w:hint="eastAsia" w:ascii="Times New Roman" w:hAnsi="Times New Roman" w:eastAsia="方正小标宋简体" w:cs="Times New Roman"/>
          <w:color w:val="auto"/>
          <w:kern w:val="2"/>
          <w:sz w:val="72"/>
          <w:szCs w:val="72"/>
          <w:highlight w:val="none"/>
          <w:lang w:val="en-US" w:eastAsia="zh-CN" w:bidi="ar-SA"/>
        </w:rPr>
      </w:pPr>
    </w:p>
    <w:p w14:paraId="7876C244">
      <w:pPr>
        <w:pStyle w:val="2"/>
        <w:rPr>
          <w:rFonts w:hint="eastAsia" w:ascii="Times New Roman" w:hAnsi="Times New Roman" w:eastAsia="方正小标宋简体" w:cs="Times New Roman"/>
          <w:color w:val="auto"/>
          <w:kern w:val="2"/>
          <w:sz w:val="72"/>
          <w:szCs w:val="72"/>
          <w:highlight w:val="none"/>
          <w:lang w:val="en-US" w:eastAsia="zh-CN" w:bidi="ar-SA"/>
        </w:rPr>
      </w:pPr>
    </w:p>
    <w:p w14:paraId="6247D0A6">
      <w:pPr>
        <w:pStyle w:val="2"/>
        <w:rPr>
          <w:rFonts w:hint="eastAsia" w:ascii="Times New Roman" w:hAnsi="Times New Roman" w:eastAsia="方正小标宋简体" w:cs="Times New Roman"/>
          <w:color w:val="auto"/>
          <w:kern w:val="2"/>
          <w:sz w:val="72"/>
          <w:szCs w:val="72"/>
          <w:highlight w:val="none"/>
          <w:lang w:val="en-US" w:eastAsia="zh-CN" w:bidi="ar-SA"/>
        </w:rPr>
      </w:pPr>
    </w:p>
    <w:p w14:paraId="02735AD6">
      <w:pPr>
        <w:pStyle w:val="2"/>
        <w:rPr>
          <w:rFonts w:hint="eastAsia" w:ascii="Times New Roman" w:hAnsi="Times New Roman" w:eastAsia="方正小标宋简体" w:cs="Times New Roman"/>
          <w:color w:val="auto"/>
          <w:kern w:val="2"/>
          <w:sz w:val="72"/>
          <w:szCs w:val="72"/>
          <w:highlight w:val="none"/>
          <w:lang w:val="en-US" w:eastAsia="zh-CN" w:bidi="ar-SA"/>
        </w:rPr>
      </w:pPr>
    </w:p>
    <w:p w14:paraId="4F11C1FA">
      <w:pPr>
        <w:pStyle w:val="2"/>
        <w:jc w:val="center"/>
        <w:rPr>
          <w:rFonts w:hint="default"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攀枝花市人力资源和社会保障信息中心2025年度单位决算公开编制说明</w:t>
      </w:r>
    </w:p>
    <w:p w14:paraId="79E9F0B0">
      <w:pPr>
        <w:spacing w:line="600" w:lineRule="exact"/>
        <w:jc w:val="center"/>
        <w:outlineLvl w:val="0"/>
        <w:rPr>
          <w:rFonts w:ascii="Times New Roman" w:hAnsi="Times New Roman" w:eastAsia="方正小标宋简体"/>
          <w:color w:val="auto"/>
          <w:sz w:val="72"/>
          <w:szCs w:val="72"/>
          <w:highlight w:val="none"/>
        </w:rPr>
      </w:pPr>
    </w:p>
    <w:p w14:paraId="39C55505">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9864CCD">
      <w:pPr>
        <w:rPr>
          <w:rFonts w:ascii="Times New Roman" w:hAnsi="Times New Roman"/>
        </w:rPr>
      </w:pPr>
    </w:p>
    <w:p w14:paraId="6D077AB9">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3AAF47C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09060E8">
      <w:pPr>
        <w:widowControl/>
        <w:jc w:val="center"/>
        <w:rPr>
          <w:rFonts w:ascii="Times New Roman" w:hAnsi="Times New Roman" w:eastAsia="黑体" w:cstheme="minorBidi"/>
          <w:color w:val="auto"/>
          <w:sz w:val="28"/>
          <w:szCs w:val="28"/>
          <w:highlight w:val="none"/>
        </w:rPr>
      </w:pPr>
    </w:p>
    <w:p w14:paraId="665A7341">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14:paraId="3001E496">
      <w:pPr>
        <w:rPr>
          <w:rFonts w:ascii="Times New Roman" w:hAnsi="Times New Roman"/>
          <w:color w:val="auto"/>
          <w:highlight w:val="none"/>
        </w:rPr>
      </w:pPr>
    </w:p>
    <w:p w14:paraId="30834EE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r>
        <w:rPr>
          <w:rFonts w:cs="Times New Roman"/>
          <w:color w:val="000000"/>
          <w:sz w:val="24"/>
          <w:szCs w:val="24"/>
        </w:rPr>
        <w:tab/>
      </w:r>
      <w:r>
        <w:rPr>
          <w:rFonts w:hint="eastAsia" w:cs="Times New Roman"/>
          <w:color w:val="000000"/>
          <w:sz w:val="24"/>
          <w:szCs w:val="24"/>
          <w:lang w:val="en-US" w:eastAsia="zh-CN"/>
        </w:rPr>
        <w:t>1</w:t>
      </w:r>
    </w:p>
    <w:p w14:paraId="548113E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cs="Times New Roman"/>
          <w:color w:val="000000"/>
          <w:sz w:val="24"/>
          <w:szCs w:val="24"/>
        </w:rPr>
        <w:tab/>
      </w:r>
      <w:r>
        <w:rPr>
          <w:rFonts w:hint="eastAsia" w:cs="Times New Roman"/>
          <w:color w:val="000000"/>
          <w:sz w:val="24"/>
          <w:szCs w:val="24"/>
          <w:lang w:val="en-US" w:eastAsia="zh-CN"/>
        </w:rPr>
        <w:t>1</w:t>
      </w:r>
    </w:p>
    <w:p w14:paraId="2F13564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cs="Times New Roman"/>
          <w:color w:val="000000"/>
          <w:sz w:val="24"/>
          <w:szCs w:val="24"/>
        </w:rPr>
        <w:tab/>
      </w:r>
      <w:r>
        <w:rPr>
          <w:rFonts w:hint="eastAsia" w:cs="Times New Roman"/>
          <w:color w:val="000000"/>
          <w:sz w:val="24"/>
          <w:szCs w:val="24"/>
          <w:lang w:val="en-US" w:eastAsia="zh-CN"/>
        </w:rPr>
        <w:t>1</w:t>
      </w:r>
    </w:p>
    <w:p w14:paraId="149559E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2025年度单位</w:t>
      </w:r>
      <w:r>
        <w:rPr>
          <w:rFonts w:hint="eastAsia" w:ascii="Times New Roman" w:hAnsi="Times New Roman" w:eastAsia="黑体" w:cs="黑体"/>
          <w:color w:val="auto"/>
          <w:sz w:val="32"/>
          <w:szCs w:val="32"/>
          <w:highlight w:val="none"/>
        </w:rPr>
        <w:t>决算情况说明</w:t>
      </w:r>
      <w:r>
        <w:rPr>
          <w:rFonts w:cs="Times New Roman"/>
          <w:color w:val="000000"/>
          <w:sz w:val="24"/>
          <w:szCs w:val="24"/>
        </w:rPr>
        <w:tab/>
      </w:r>
      <w:r>
        <w:rPr>
          <w:rFonts w:hint="eastAsia" w:cs="Times New Roman"/>
          <w:color w:val="000000"/>
          <w:sz w:val="24"/>
          <w:szCs w:val="24"/>
          <w:lang w:val="en-US" w:eastAsia="zh-CN"/>
        </w:rPr>
        <w:t>2</w:t>
      </w:r>
    </w:p>
    <w:p w14:paraId="28FF8D4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cs="Times New Roman"/>
          <w:color w:val="000000"/>
          <w:sz w:val="24"/>
          <w:szCs w:val="24"/>
        </w:rPr>
        <w:tab/>
      </w:r>
      <w:r>
        <w:rPr>
          <w:rFonts w:hint="eastAsia" w:cs="Times New Roman"/>
          <w:color w:val="000000"/>
          <w:sz w:val="24"/>
          <w:szCs w:val="24"/>
          <w:lang w:val="en-US" w:eastAsia="zh-CN"/>
        </w:rPr>
        <w:t>2</w:t>
      </w:r>
    </w:p>
    <w:p w14:paraId="749944A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cs="Times New Roman"/>
          <w:color w:val="000000"/>
          <w:sz w:val="24"/>
          <w:szCs w:val="24"/>
        </w:rPr>
        <w:tab/>
      </w:r>
      <w:r>
        <w:rPr>
          <w:rFonts w:hint="eastAsia" w:cs="Times New Roman"/>
          <w:color w:val="000000"/>
          <w:sz w:val="24"/>
          <w:szCs w:val="24"/>
          <w:lang w:val="en-US" w:eastAsia="zh-CN"/>
        </w:rPr>
        <w:t>2</w:t>
      </w:r>
    </w:p>
    <w:p w14:paraId="009F0EE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cs="Times New Roman"/>
          <w:color w:val="000000"/>
          <w:sz w:val="24"/>
          <w:szCs w:val="24"/>
        </w:rPr>
        <w:tab/>
      </w:r>
      <w:r>
        <w:rPr>
          <w:rFonts w:hint="eastAsia" w:cs="Times New Roman"/>
          <w:color w:val="000000"/>
          <w:sz w:val="24"/>
          <w:szCs w:val="24"/>
          <w:lang w:val="en-US" w:eastAsia="zh-CN"/>
        </w:rPr>
        <w:t>3</w:t>
      </w:r>
    </w:p>
    <w:p w14:paraId="151FD44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cs="Times New Roman"/>
          <w:color w:val="000000"/>
          <w:sz w:val="24"/>
          <w:szCs w:val="24"/>
        </w:rPr>
        <w:tab/>
      </w:r>
      <w:r>
        <w:rPr>
          <w:rFonts w:hint="eastAsia" w:cs="Times New Roman"/>
          <w:color w:val="000000"/>
          <w:sz w:val="24"/>
          <w:szCs w:val="24"/>
          <w:lang w:val="en-US" w:eastAsia="zh-CN"/>
        </w:rPr>
        <w:t>4</w:t>
      </w:r>
    </w:p>
    <w:p w14:paraId="47B526C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cs="Times New Roman"/>
          <w:color w:val="000000"/>
          <w:sz w:val="24"/>
          <w:szCs w:val="24"/>
        </w:rPr>
        <w:tab/>
      </w:r>
      <w:r>
        <w:rPr>
          <w:rFonts w:hint="eastAsia" w:cs="Times New Roman"/>
          <w:color w:val="000000"/>
          <w:sz w:val="24"/>
          <w:szCs w:val="24"/>
          <w:lang w:val="en-US" w:eastAsia="zh-CN"/>
        </w:rPr>
        <w:t>5</w:t>
      </w:r>
    </w:p>
    <w:p w14:paraId="3311BD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cs="Times New Roman"/>
          <w:color w:val="000000"/>
          <w:sz w:val="24"/>
          <w:szCs w:val="24"/>
        </w:rPr>
        <w:tab/>
      </w:r>
      <w:r>
        <w:rPr>
          <w:rFonts w:hint="eastAsia" w:cs="Times New Roman"/>
          <w:color w:val="000000"/>
          <w:sz w:val="24"/>
          <w:szCs w:val="24"/>
          <w:lang w:val="en-US" w:eastAsia="zh-CN"/>
        </w:rPr>
        <w:t>7</w:t>
      </w:r>
    </w:p>
    <w:p w14:paraId="30B1EF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cs="Times New Roman"/>
          <w:color w:val="000000"/>
          <w:sz w:val="24"/>
          <w:szCs w:val="24"/>
        </w:rPr>
        <w:tab/>
      </w:r>
      <w:r>
        <w:rPr>
          <w:rFonts w:hint="eastAsia" w:cs="Times New Roman"/>
          <w:color w:val="000000"/>
          <w:sz w:val="24"/>
          <w:szCs w:val="24"/>
          <w:lang w:val="en-US" w:eastAsia="zh-CN"/>
        </w:rPr>
        <w:t>7</w:t>
      </w:r>
    </w:p>
    <w:p w14:paraId="037446D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cs="Times New Roman"/>
          <w:color w:val="000000"/>
          <w:sz w:val="24"/>
          <w:szCs w:val="24"/>
        </w:rPr>
        <w:tab/>
      </w:r>
      <w:r>
        <w:rPr>
          <w:rFonts w:hint="eastAsia" w:cs="Times New Roman"/>
          <w:color w:val="000000"/>
          <w:sz w:val="24"/>
          <w:szCs w:val="24"/>
          <w:lang w:val="en-US" w:eastAsia="zh-CN"/>
        </w:rPr>
        <w:t>9</w:t>
      </w:r>
    </w:p>
    <w:p w14:paraId="5F24E95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cs="Times New Roman"/>
          <w:color w:val="000000"/>
          <w:sz w:val="24"/>
          <w:szCs w:val="24"/>
        </w:rPr>
        <w:tab/>
      </w:r>
      <w:r>
        <w:rPr>
          <w:rFonts w:hint="eastAsia" w:cs="Times New Roman"/>
          <w:color w:val="000000"/>
          <w:sz w:val="24"/>
          <w:szCs w:val="24"/>
          <w:lang w:val="en-US" w:eastAsia="zh-CN"/>
        </w:rPr>
        <w:t>9</w:t>
      </w:r>
    </w:p>
    <w:p w14:paraId="5D0E2E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cs="Times New Roman"/>
          <w:color w:val="000000"/>
          <w:sz w:val="24"/>
          <w:szCs w:val="24"/>
        </w:rPr>
        <w:tab/>
      </w:r>
      <w:r>
        <w:rPr>
          <w:rFonts w:hint="eastAsia" w:cs="Times New Roman"/>
          <w:color w:val="000000"/>
          <w:sz w:val="24"/>
          <w:szCs w:val="24"/>
          <w:lang w:val="en-US" w:eastAsia="zh-CN"/>
        </w:rPr>
        <w:t>9</w:t>
      </w:r>
    </w:p>
    <w:p w14:paraId="27ACF2A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r>
        <w:rPr>
          <w:rFonts w:cs="Times New Roman"/>
          <w:color w:val="000000"/>
          <w:sz w:val="24"/>
          <w:szCs w:val="24"/>
        </w:rPr>
        <w:tab/>
      </w:r>
      <w:r>
        <w:rPr>
          <w:rFonts w:hint="eastAsia" w:cs="Times New Roman"/>
          <w:color w:val="000000"/>
          <w:sz w:val="24"/>
          <w:szCs w:val="24"/>
          <w:lang w:val="en-US" w:eastAsia="zh-CN"/>
        </w:rPr>
        <w:t>11</w:t>
      </w:r>
    </w:p>
    <w:p w14:paraId="23D2580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cs="Times New Roman"/>
          <w:color w:val="000000"/>
          <w:sz w:val="24"/>
          <w:szCs w:val="24"/>
        </w:rPr>
        <w:tab/>
      </w:r>
      <w:r>
        <w:rPr>
          <w:rFonts w:hint="eastAsia" w:cs="Times New Roman"/>
          <w:color w:val="000000"/>
          <w:sz w:val="24"/>
          <w:szCs w:val="24"/>
          <w:lang w:val="en-US" w:eastAsia="zh-CN"/>
        </w:rPr>
        <w:t>13</w:t>
      </w:r>
    </w:p>
    <w:p w14:paraId="232BAC3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rFonts w:cs="Times New Roman"/>
          <w:color w:val="000000"/>
          <w:sz w:val="24"/>
          <w:szCs w:val="24"/>
        </w:rPr>
        <w:tab/>
      </w:r>
      <w:r>
        <w:rPr>
          <w:rFonts w:hint="eastAsia" w:cs="Times New Roman"/>
          <w:color w:val="000000"/>
          <w:sz w:val="24"/>
          <w:szCs w:val="24"/>
          <w:lang w:val="en-US" w:eastAsia="zh-CN"/>
        </w:rPr>
        <w:t>14</w:t>
      </w:r>
    </w:p>
    <w:p w14:paraId="07308F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一、收入支出决算总表</w:t>
      </w:r>
      <w:r>
        <w:rPr>
          <w:rFonts w:cs="Times New Roman"/>
          <w:color w:val="000000"/>
          <w:sz w:val="24"/>
          <w:szCs w:val="24"/>
        </w:rPr>
        <w:tab/>
      </w:r>
      <w:r>
        <w:rPr>
          <w:rFonts w:hint="eastAsia" w:cs="Times New Roman"/>
          <w:color w:val="000000"/>
          <w:sz w:val="24"/>
          <w:szCs w:val="24"/>
          <w:lang w:val="en-US" w:eastAsia="zh-CN"/>
        </w:rPr>
        <w:t>14</w:t>
      </w:r>
    </w:p>
    <w:p w14:paraId="334558C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二、收入决算表</w:t>
      </w:r>
      <w:r>
        <w:rPr>
          <w:rFonts w:cs="Times New Roman"/>
          <w:color w:val="000000"/>
          <w:sz w:val="24"/>
          <w:szCs w:val="24"/>
        </w:rPr>
        <w:tab/>
      </w:r>
      <w:r>
        <w:rPr>
          <w:rFonts w:hint="eastAsia" w:cs="Times New Roman"/>
          <w:color w:val="000000"/>
          <w:sz w:val="24"/>
          <w:szCs w:val="24"/>
          <w:lang w:val="en-US" w:eastAsia="zh-CN"/>
        </w:rPr>
        <w:t>14</w:t>
      </w:r>
    </w:p>
    <w:p w14:paraId="430C278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cs="Times New Roman"/>
          <w:color w:val="000000"/>
          <w:sz w:val="24"/>
          <w:szCs w:val="24"/>
        </w:rPr>
        <w:tab/>
      </w:r>
      <w:r>
        <w:rPr>
          <w:rFonts w:hint="eastAsia" w:cs="Times New Roman"/>
          <w:color w:val="000000"/>
          <w:sz w:val="24"/>
          <w:szCs w:val="24"/>
          <w:lang w:val="en-US" w:eastAsia="zh-CN"/>
        </w:rPr>
        <w:t>14</w:t>
      </w:r>
    </w:p>
    <w:p w14:paraId="6F89E21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四、财政拨款收入支出决算总表</w:t>
      </w:r>
      <w:r>
        <w:rPr>
          <w:rFonts w:cs="Times New Roman"/>
          <w:color w:val="000000"/>
          <w:sz w:val="24"/>
          <w:szCs w:val="24"/>
        </w:rPr>
        <w:tab/>
      </w:r>
      <w:r>
        <w:rPr>
          <w:rFonts w:hint="eastAsia" w:cs="Times New Roman"/>
          <w:color w:val="000000"/>
          <w:sz w:val="24"/>
          <w:szCs w:val="24"/>
          <w:lang w:val="en-US" w:eastAsia="zh-CN"/>
        </w:rPr>
        <w:t>14</w:t>
      </w:r>
    </w:p>
    <w:p w14:paraId="1835A6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五、财政拨款支出决算明细表</w:t>
      </w:r>
      <w:r>
        <w:rPr>
          <w:rFonts w:cs="Times New Roman"/>
          <w:color w:val="000000"/>
          <w:sz w:val="24"/>
          <w:szCs w:val="24"/>
        </w:rPr>
        <w:tab/>
      </w:r>
      <w:r>
        <w:rPr>
          <w:rFonts w:hint="eastAsia" w:cs="Times New Roman"/>
          <w:color w:val="000000"/>
          <w:sz w:val="24"/>
          <w:szCs w:val="24"/>
          <w:lang w:val="en-US" w:eastAsia="zh-CN"/>
        </w:rPr>
        <w:t>14</w:t>
      </w:r>
    </w:p>
    <w:p w14:paraId="7FA9C1F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六、一般公共预算财政拨款支出决算表</w:t>
      </w:r>
      <w:r>
        <w:rPr>
          <w:rFonts w:cs="Times New Roman"/>
          <w:color w:val="000000"/>
          <w:sz w:val="24"/>
          <w:szCs w:val="24"/>
        </w:rPr>
        <w:tab/>
      </w:r>
      <w:r>
        <w:rPr>
          <w:rFonts w:hint="eastAsia" w:cs="Times New Roman"/>
          <w:color w:val="000000"/>
          <w:sz w:val="24"/>
          <w:szCs w:val="24"/>
          <w:lang w:val="en-US" w:eastAsia="zh-CN"/>
        </w:rPr>
        <w:t>14</w:t>
      </w:r>
    </w:p>
    <w:p w14:paraId="450EF8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七、一般公共预算财政拨款支出决算明细表</w:t>
      </w:r>
      <w:r>
        <w:rPr>
          <w:rFonts w:cs="Times New Roman"/>
          <w:color w:val="000000"/>
          <w:sz w:val="24"/>
          <w:szCs w:val="24"/>
        </w:rPr>
        <w:tab/>
      </w:r>
      <w:r>
        <w:rPr>
          <w:rFonts w:hint="eastAsia" w:cs="Times New Roman"/>
          <w:color w:val="000000"/>
          <w:sz w:val="24"/>
          <w:szCs w:val="24"/>
          <w:lang w:val="en-US" w:eastAsia="zh-CN"/>
        </w:rPr>
        <w:t>14</w:t>
      </w:r>
    </w:p>
    <w:p w14:paraId="24FC1A5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cs="Times New Roman"/>
          <w:color w:val="000000"/>
          <w:sz w:val="24"/>
          <w:szCs w:val="24"/>
        </w:rPr>
        <w:tab/>
      </w:r>
      <w:r>
        <w:rPr>
          <w:rFonts w:hint="eastAsia" w:cs="Times New Roman"/>
          <w:color w:val="000000"/>
          <w:sz w:val="24"/>
          <w:szCs w:val="24"/>
          <w:lang w:val="en-US" w:eastAsia="zh-CN"/>
        </w:rPr>
        <w:t>14</w:t>
      </w:r>
    </w:p>
    <w:p w14:paraId="7C57F2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九、一般公共预算财政拨款项目支出决算表</w:t>
      </w:r>
      <w:r>
        <w:rPr>
          <w:rFonts w:cs="Times New Roman"/>
          <w:color w:val="000000"/>
          <w:sz w:val="24"/>
          <w:szCs w:val="24"/>
        </w:rPr>
        <w:tab/>
      </w:r>
      <w:r>
        <w:rPr>
          <w:rFonts w:hint="eastAsia" w:cs="Times New Roman"/>
          <w:color w:val="000000"/>
          <w:sz w:val="24"/>
          <w:szCs w:val="24"/>
          <w:lang w:val="en-US" w:eastAsia="zh-CN"/>
        </w:rPr>
        <w:t>14</w:t>
      </w:r>
    </w:p>
    <w:p w14:paraId="2DAF181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十、政府性基金预算财政拨款收入支出决算表</w:t>
      </w:r>
      <w:r>
        <w:rPr>
          <w:rFonts w:cs="Times New Roman"/>
          <w:color w:val="000000"/>
          <w:sz w:val="24"/>
          <w:szCs w:val="24"/>
        </w:rPr>
        <w:tab/>
      </w:r>
      <w:r>
        <w:rPr>
          <w:rFonts w:hint="eastAsia" w:cs="Times New Roman"/>
          <w:color w:val="000000"/>
          <w:sz w:val="24"/>
          <w:szCs w:val="24"/>
          <w:lang w:val="en-US" w:eastAsia="zh-CN"/>
        </w:rPr>
        <w:t>14</w:t>
      </w:r>
    </w:p>
    <w:p w14:paraId="04D1D7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十一、国有资本经营预算财政拨款收入支出决算表</w:t>
      </w:r>
      <w:r>
        <w:rPr>
          <w:rFonts w:cs="Times New Roman"/>
          <w:color w:val="000000"/>
          <w:sz w:val="24"/>
          <w:szCs w:val="24"/>
        </w:rPr>
        <w:tab/>
      </w:r>
      <w:r>
        <w:rPr>
          <w:rFonts w:hint="eastAsia" w:cs="Times New Roman"/>
          <w:color w:val="000000"/>
          <w:sz w:val="24"/>
          <w:szCs w:val="24"/>
          <w:lang w:val="en-US" w:eastAsia="zh-CN"/>
        </w:rPr>
        <w:t>14</w:t>
      </w:r>
    </w:p>
    <w:p w14:paraId="37CADFC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cs="Times New Roman"/>
          <w:color w:val="000000"/>
          <w:sz w:val="24"/>
          <w:szCs w:val="24"/>
        </w:rPr>
        <w:tab/>
      </w:r>
      <w:r>
        <w:rPr>
          <w:rFonts w:hint="eastAsia" w:cs="Times New Roman"/>
          <w:color w:val="000000"/>
          <w:sz w:val="24"/>
          <w:szCs w:val="24"/>
          <w:lang w:val="en-US" w:eastAsia="zh-CN"/>
        </w:rPr>
        <w:t>14</w:t>
      </w:r>
    </w:p>
    <w:p w14:paraId="31E85B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十三、财政拨款“三公”经费支出决算表</w:t>
      </w:r>
      <w:r>
        <w:rPr>
          <w:rFonts w:cs="Times New Roman"/>
          <w:color w:val="000000"/>
          <w:sz w:val="24"/>
          <w:szCs w:val="24"/>
        </w:rPr>
        <w:tab/>
      </w:r>
      <w:r>
        <w:rPr>
          <w:rFonts w:hint="eastAsia" w:cs="Times New Roman"/>
          <w:color w:val="000000"/>
          <w:sz w:val="24"/>
          <w:szCs w:val="24"/>
          <w:lang w:val="en-US" w:eastAsia="zh-CN"/>
        </w:rPr>
        <w:t>14</w:t>
      </w:r>
    </w:p>
    <w:p w14:paraId="32BB0FD9">
      <w:pPr>
        <w:pStyle w:val="3"/>
        <w:jc w:val="center"/>
        <w:rPr>
          <w:rFonts w:hint="eastAsia" w:ascii="Times New Roman" w:hAnsi="Times New Roman" w:eastAsia="方正小标宋简体" w:cs="方正小标宋简体"/>
          <w:b w:val="0"/>
          <w:color w:val="auto"/>
          <w:highlight w:val="none"/>
          <w:lang w:val="en-US" w:eastAsia="zh-CN"/>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6" w:name="_Toc15396599"/>
      <w:bookmarkStart w:id="7" w:name="_Toc15377196"/>
    </w:p>
    <w:p w14:paraId="5F322ECD">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单位</w:t>
      </w:r>
      <w:r>
        <w:rPr>
          <w:rStyle w:val="28"/>
          <w:rFonts w:hint="eastAsia" w:ascii="Times New Roman" w:hAnsi="Times New Roman" w:eastAsia="方正小标宋简体" w:cs="方正小标宋简体"/>
          <w:b w:val="0"/>
          <w:bCs w:val="0"/>
          <w:color w:val="auto"/>
          <w:highlight w:val="none"/>
        </w:rPr>
        <w:t>概况</w:t>
      </w:r>
      <w:bookmarkEnd w:id="6"/>
      <w:bookmarkEnd w:id="7"/>
    </w:p>
    <w:p w14:paraId="7B2EB844">
      <w:pPr>
        <w:widowControl/>
        <w:jc w:val="left"/>
        <w:rPr>
          <w:rFonts w:ascii="Times New Roman" w:hAnsi="Times New Roman" w:eastAsia="黑体"/>
          <w:color w:val="auto"/>
          <w:sz w:val="32"/>
          <w:szCs w:val="32"/>
          <w:highlight w:val="none"/>
        </w:rPr>
      </w:pPr>
    </w:p>
    <w:p w14:paraId="7A613C54">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单位</w:t>
      </w:r>
      <w:r>
        <w:rPr>
          <w:rFonts w:hint="eastAsia" w:ascii="Times New Roman" w:hAnsi="Times New Roman" w:eastAsia="黑体"/>
          <w:b w:val="0"/>
          <w:color w:val="auto"/>
          <w:highlight w:val="none"/>
          <w:lang w:eastAsia="zh-CN"/>
        </w:rPr>
        <w:t>职责</w:t>
      </w:r>
    </w:p>
    <w:p w14:paraId="6BAF58FD">
      <w:pPr>
        <w:widowControl/>
        <w:snapToGrid/>
        <w:spacing w:line="240" w:lineRule="auto"/>
        <w:ind w:firstLine="640" w:firstLineChars="200"/>
        <w:rPr>
          <w:rFonts w:hint="eastAsia"/>
          <w:lang w:eastAsia="zh-CN"/>
        </w:rPr>
      </w:pPr>
      <w:r>
        <w:rPr>
          <w:rFonts w:hint="eastAsia" w:ascii="仿宋_GB2312" w:hAnsi="仿宋_GB2312" w:eastAsia="仿宋_GB2312" w:cs="仿宋_GB2312"/>
          <w:kern w:val="0"/>
          <w:sz w:val="32"/>
          <w:szCs w:val="32"/>
          <w:lang w:val="en-US" w:eastAsia="zh-CN" w:bidi="ar"/>
        </w:rPr>
        <w:t>四川省</w:t>
      </w:r>
      <w:r>
        <w:rPr>
          <w:rFonts w:hint="eastAsia" w:ascii="仿宋_GB2312" w:hAnsi="仿宋_GB2312" w:eastAsia="仿宋_GB2312" w:cs="仿宋_GB2312"/>
          <w:kern w:val="0"/>
          <w:sz w:val="32"/>
          <w:szCs w:val="32"/>
          <w:lang w:bidi="ar"/>
        </w:rPr>
        <w:t>攀枝花市人力资源和社会保障信息中心是</w:t>
      </w:r>
      <w:r>
        <w:rPr>
          <w:rFonts w:hint="eastAsia" w:ascii="仿宋_GB2312" w:hAnsi="仿宋_GB2312" w:eastAsia="仿宋_GB2312" w:cs="仿宋_GB2312"/>
          <w:kern w:val="0"/>
          <w:sz w:val="32"/>
          <w:szCs w:val="32"/>
          <w:lang w:val="en-US" w:eastAsia="zh-CN" w:bidi="ar"/>
        </w:rPr>
        <w:t>四川省攀枝花</w:t>
      </w:r>
      <w:r>
        <w:rPr>
          <w:rFonts w:hint="eastAsia" w:ascii="仿宋_GB2312" w:hAnsi="仿宋_GB2312" w:eastAsia="仿宋_GB2312" w:cs="仿宋_GB2312"/>
          <w:kern w:val="0"/>
          <w:sz w:val="32"/>
          <w:szCs w:val="32"/>
          <w:lang w:bidi="ar"/>
        </w:rPr>
        <w:t>市人力资源和社会保障局下属公益一类事业单位。主要承担人力资源和社会保障系统的信息化建设和维护工作；负责攀枝花市社会保障卡管理及运行；负责攀枝花市12333人力资源和社会保障服务咨询热线</w:t>
      </w:r>
      <w:r>
        <w:rPr>
          <w:rFonts w:hint="eastAsia" w:ascii="仿宋_GB2312" w:hAnsi="仿宋_GB2312" w:eastAsia="仿宋_GB2312" w:cs="仿宋_GB2312"/>
          <w:kern w:val="0"/>
          <w:sz w:val="32"/>
          <w:szCs w:val="32"/>
          <w:lang w:val="en-US" w:eastAsia="zh-CN" w:bidi="ar"/>
        </w:rPr>
        <w:t>的</w:t>
      </w:r>
      <w:r>
        <w:rPr>
          <w:rFonts w:hint="eastAsia" w:ascii="仿宋_GB2312" w:hAnsi="仿宋_GB2312" w:eastAsia="仿宋_GB2312" w:cs="仿宋_GB2312"/>
          <w:kern w:val="0"/>
          <w:sz w:val="32"/>
          <w:szCs w:val="32"/>
          <w:lang w:bidi="ar"/>
        </w:rPr>
        <w:t>管理及运行等工作。</w:t>
      </w:r>
    </w:p>
    <w:p w14:paraId="77BB859B">
      <w:pPr>
        <w:pStyle w:val="4"/>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14:paraId="632462EC">
      <w:pPr>
        <w:ind w:firstLine="800" w:firstLineChars="250"/>
        <w:rPr>
          <w:rFonts w:hint="eastAsia" w:ascii="仿宋_GB2312" w:hAnsi="方正仿宋_GBK" w:eastAsia="仿宋_GB2312" w:cs="方正仿宋_GBK"/>
          <w:color w:val="000000"/>
          <w:kern w:val="2"/>
          <w:sz w:val="32"/>
          <w:szCs w:val="32"/>
          <w:lang w:val="en-US" w:eastAsia="zh-CN" w:bidi="ar-SA"/>
        </w:rPr>
      </w:pPr>
      <w:r>
        <w:rPr>
          <w:rFonts w:hint="eastAsia" w:ascii="仿宋_GB2312" w:hAnsi="方正仿宋_GBK" w:eastAsia="仿宋_GB2312" w:cs="方正仿宋_GBK"/>
          <w:color w:val="000000"/>
          <w:kern w:val="2"/>
          <w:sz w:val="32"/>
          <w:szCs w:val="32"/>
          <w:lang w:val="en-US" w:eastAsia="zh-CN" w:bidi="ar-SA"/>
        </w:rPr>
        <w:t>攀枝花市人力资源和社会保障信息中心没有下属二级单位，没有内设科室。</w:t>
      </w:r>
    </w:p>
    <w:p w14:paraId="76FB8599">
      <w:pPr>
        <w:pStyle w:val="2"/>
        <w:adjustRightInd w:val="0"/>
        <w:snapToGrid w:val="0"/>
        <w:spacing w:before="93" w:line="600" w:lineRule="exact"/>
        <w:ind w:firstLine="672" w:firstLineChars="210"/>
        <w:rPr>
          <w:rFonts w:hint="eastAsia" w:ascii="仿宋_GB2312" w:hAnsi="方正仿宋_GBK" w:eastAsia="仿宋_GB2312" w:cs="方正仿宋_GBK"/>
          <w:color w:val="000000"/>
          <w:kern w:val="2"/>
          <w:sz w:val="32"/>
          <w:szCs w:val="32"/>
          <w:lang w:val="en-US" w:eastAsia="zh-CN" w:bidi="ar-SA"/>
        </w:rPr>
      </w:pPr>
      <w:r>
        <w:rPr>
          <w:rFonts w:hint="eastAsia" w:ascii="仿宋_GB2312" w:hAnsi="方正仿宋_GBK" w:eastAsia="仿宋_GB2312" w:cs="方正仿宋_GBK"/>
          <w:color w:val="000000"/>
          <w:kern w:val="2"/>
          <w:sz w:val="32"/>
          <w:szCs w:val="32"/>
          <w:lang w:val="en-US" w:eastAsia="zh-CN" w:bidi="ar-SA"/>
        </w:rPr>
        <w:t>我</w:t>
      </w:r>
      <w:r>
        <w:rPr>
          <w:rFonts w:hint="eastAsia" w:hAnsi="方正仿宋_GBK" w:cs="方正仿宋_GBK"/>
          <w:color w:val="000000"/>
          <w:kern w:val="2"/>
          <w:sz w:val="32"/>
          <w:szCs w:val="32"/>
          <w:lang w:val="en-US" w:eastAsia="zh-CN" w:bidi="ar-SA"/>
        </w:rPr>
        <w:t>单位</w:t>
      </w:r>
      <w:r>
        <w:rPr>
          <w:rFonts w:hint="eastAsia" w:ascii="仿宋_GB2312" w:hAnsi="方正仿宋_GBK" w:eastAsia="仿宋_GB2312" w:cs="方正仿宋_GBK"/>
          <w:color w:val="000000"/>
          <w:kern w:val="2"/>
          <w:sz w:val="32"/>
          <w:szCs w:val="32"/>
          <w:lang w:val="en-US" w:eastAsia="zh-CN" w:bidi="ar-SA"/>
        </w:rPr>
        <w:t>没有纳入202</w:t>
      </w:r>
      <w:r>
        <w:rPr>
          <w:rFonts w:hint="eastAsia" w:hAnsi="方正仿宋_GBK" w:cs="方正仿宋_GBK"/>
          <w:color w:val="000000"/>
          <w:kern w:val="2"/>
          <w:sz w:val="32"/>
          <w:szCs w:val="32"/>
          <w:lang w:val="en-US" w:eastAsia="zh-CN" w:bidi="ar-SA"/>
        </w:rPr>
        <w:t>5</w:t>
      </w:r>
      <w:r>
        <w:rPr>
          <w:rFonts w:hint="eastAsia" w:ascii="仿宋_GB2312" w:hAnsi="方正仿宋_GBK" w:eastAsia="仿宋_GB2312" w:cs="方正仿宋_GBK"/>
          <w:color w:val="000000"/>
          <w:kern w:val="2"/>
          <w:sz w:val="32"/>
          <w:szCs w:val="32"/>
          <w:lang w:val="en-US" w:eastAsia="zh-CN" w:bidi="ar-SA"/>
        </w:rPr>
        <w:t>年度部门决算编制范围的二级预算单位。</w:t>
      </w:r>
    </w:p>
    <w:p w14:paraId="538374B4">
      <w:pPr>
        <w:pStyle w:val="2"/>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p>
    <w:p w14:paraId="0FFF4DF2">
      <w:pPr>
        <w:pStyle w:val="2"/>
        <w:adjustRightInd w:val="0"/>
        <w:snapToGrid w:val="0"/>
        <w:spacing w:before="93" w:line="600" w:lineRule="exact"/>
        <w:rPr>
          <w:rFonts w:hint="eastAsia" w:ascii="Times New Roman" w:hAnsi="Times New Roman" w:eastAsia="仿宋_GB2312" w:cs="仿宋_GB2312"/>
          <w:color w:val="auto"/>
          <w:sz w:val="32"/>
          <w:szCs w:val="32"/>
          <w:highlight w:val="none"/>
        </w:rPr>
      </w:pPr>
    </w:p>
    <w:p w14:paraId="45EFBED9">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5D89437">
      <w:pPr>
        <w:pStyle w:val="3"/>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2025年度单位</w:t>
      </w:r>
      <w:r>
        <w:rPr>
          <w:rFonts w:hint="eastAsia" w:ascii="Times New Roman" w:hAnsi="Times New Roman" w:eastAsia="方正小标宋简体" w:cs="方正小标宋简体"/>
          <w:b w:val="0"/>
          <w:color w:val="auto"/>
          <w:highlight w:val="none"/>
        </w:rPr>
        <w:t>决算情况说明</w:t>
      </w:r>
      <w:bookmarkEnd w:id="10"/>
      <w:bookmarkEnd w:id="11"/>
    </w:p>
    <w:p w14:paraId="473A9C6A">
      <w:pPr>
        <w:rPr>
          <w:rFonts w:ascii="Times New Roman" w:hAnsi="Times New Roman"/>
          <w:color w:val="auto"/>
          <w:highlight w:val="none"/>
        </w:rPr>
      </w:pPr>
    </w:p>
    <w:p w14:paraId="1660D57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14:paraId="6D0AC03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272.65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6.25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基本支出增加21.74万元（2025年新增1人，导致工资和福利支出增加），项目支出减少15.49万元。</w:t>
      </w:r>
    </w:p>
    <w:p w14:paraId="7E99C5B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val="en-US" w:eastAsia="zh-CN"/>
        </w:rPr>
        <w:drawing>
          <wp:anchor distT="0" distB="0" distL="114300" distR="114300" simplePos="0" relativeHeight="251659264" behindDoc="0" locked="0" layoutInCell="1" allowOverlap="1">
            <wp:simplePos x="0" y="0"/>
            <wp:positionH relativeFrom="column">
              <wp:posOffset>153035</wp:posOffset>
            </wp:positionH>
            <wp:positionV relativeFrom="paragraph">
              <wp:posOffset>118745</wp:posOffset>
            </wp:positionV>
            <wp:extent cx="4897120" cy="2439035"/>
            <wp:effectExtent l="0" t="0" r="5080" b="12065"/>
            <wp:wrapSquare wrapText="bothSides"/>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1"/>
                    <a:stretch>
                      <a:fillRect/>
                    </a:stretch>
                  </pic:blipFill>
                  <pic:spPr>
                    <a:xfrm>
                      <a:off x="0" y="0"/>
                      <a:ext cx="4897120" cy="2439035"/>
                    </a:xfrm>
                    <a:prstGeom prst="rect">
                      <a:avLst/>
                    </a:prstGeom>
                  </pic:spPr>
                </pic:pic>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004F40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rPr>
      </w:pPr>
    </w:p>
    <w:p w14:paraId="663C7FC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17EB4F7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272.65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272.65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78CC08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B3CCE3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-51435</wp:posOffset>
            </wp:positionH>
            <wp:positionV relativeFrom="page">
              <wp:posOffset>1461135</wp:posOffset>
            </wp:positionV>
            <wp:extent cx="4973320" cy="2753995"/>
            <wp:effectExtent l="0" t="0" r="5080" b="1905"/>
            <wp:wrapTight wrapText="bothSides">
              <wp:wrapPolygon>
                <wp:start x="0" y="0"/>
                <wp:lineTo x="0" y="21515"/>
                <wp:lineTo x="21567" y="21515"/>
                <wp:lineTo x="21567" y="0"/>
                <wp:lineTo x="0" y="0"/>
              </wp:wrapPolygon>
            </wp:wrapTight>
            <wp:docPr id="3"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
                    <pic:cNvPicPr>
                      <a:picLocks noChangeAspect="1"/>
                    </pic:cNvPicPr>
                  </pic:nvPicPr>
                  <pic:blipFill>
                    <a:blip r:embed="rId12"/>
                    <a:stretch>
                      <a:fillRect/>
                    </a:stretch>
                  </pic:blipFill>
                  <pic:spPr>
                    <a:xfrm>
                      <a:off x="0" y="0"/>
                      <a:ext cx="4973320" cy="2753995"/>
                    </a:xfrm>
                    <a:prstGeom prst="rect">
                      <a:avLst/>
                    </a:prstGeom>
                  </pic:spPr>
                </pic:pic>
              </a:graphicData>
            </a:graphic>
          </wp:anchor>
        </w:drawing>
      </w:r>
    </w:p>
    <w:p w14:paraId="40B6553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14:paraId="70FE189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14:paraId="56E9BB5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14:paraId="502F476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14:paraId="64F91A1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14:paraId="51B0510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14:paraId="77151A9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3744E9F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黑体"/>
          <w:color w:val="auto"/>
          <w:sz w:val="32"/>
          <w:szCs w:val="32"/>
          <w:highlight w:val="none"/>
          <w:lang w:eastAsia="zh-CN"/>
        </w:rPr>
      </w:pPr>
      <w:bookmarkStart w:id="16" w:name="_Toc15377207"/>
      <w:bookmarkStart w:id="17" w:name="_Toc15396605"/>
    </w:p>
    <w:p w14:paraId="62234AE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14:paraId="4BC03C8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272.65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239.47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87.8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33.18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lang w:val="en-US" w:eastAsia="zh-CN"/>
        </w:rPr>
        <w:t>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3618685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705AE06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61C3075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0F1CABA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0E4A98A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536EC9F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2E38DF4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154063F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sectPr>
          <w:footerReference r:id="rId7" w:type="default"/>
          <w:pgSz w:w="11906" w:h="16838"/>
          <w:pgMar w:top="1440" w:right="1800" w:bottom="1440" w:left="1800" w:header="851" w:footer="992" w:gutter="0"/>
          <w:pgNumType w:fmt="decimal" w:start="1"/>
          <w:cols w:space="425" w:num="1"/>
          <w:docGrid w:type="lines" w:linePitch="312" w:charSpace="0"/>
        </w:sectPr>
      </w:pPr>
    </w:p>
    <w:p w14:paraId="1394C32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2336" behindDoc="1" locked="0" layoutInCell="1" allowOverlap="1">
            <wp:simplePos x="0" y="0"/>
            <wp:positionH relativeFrom="column">
              <wp:posOffset>107950</wp:posOffset>
            </wp:positionH>
            <wp:positionV relativeFrom="paragraph">
              <wp:posOffset>116205</wp:posOffset>
            </wp:positionV>
            <wp:extent cx="4847590" cy="2658745"/>
            <wp:effectExtent l="0" t="0" r="3810" b="0"/>
            <wp:wrapTight wrapText="bothSides">
              <wp:wrapPolygon>
                <wp:start x="0" y="0"/>
                <wp:lineTo x="0" y="21461"/>
                <wp:lineTo x="21560" y="21461"/>
                <wp:lineTo x="21560" y="0"/>
                <wp:lineTo x="0" y="0"/>
              </wp:wrapPolygon>
            </wp:wrapTight>
            <wp:docPr id="8" name="图片 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3"/>
                    <pic:cNvPicPr>
                      <a:picLocks noChangeAspect="1"/>
                    </pic:cNvPicPr>
                  </pic:nvPicPr>
                  <pic:blipFill>
                    <a:blip r:embed="rId13"/>
                    <a:stretch>
                      <a:fillRect/>
                    </a:stretch>
                  </pic:blipFill>
                  <pic:spPr>
                    <a:xfrm>
                      <a:off x="0" y="0"/>
                      <a:ext cx="4847590" cy="2658745"/>
                    </a:xfrm>
                    <a:prstGeom prst="rect">
                      <a:avLst/>
                    </a:prstGeom>
                  </pic:spPr>
                </pic:pic>
              </a:graphicData>
            </a:graphic>
          </wp:anchor>
        </w:drawing>
      </w:r>
    </w:p>
    <w:p w14:paraId="72A120A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7846B52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6E7CF05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40F7055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52D9DC1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696C212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560" w:firstLineChars="8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2ED0C2D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560" w:firstLineChars="800"/>
        <w:textAlignment w:val="auto"/>
        <w:outlineLvl w:val="1"/>
        <w:rPr>
          <w:rFonts w:hint="eastAsia" w:ascii="Times New Roman" w:hAnsi="Times New Roman" w:eastAsia="仿宋_GB2312" w:cs="仿宋_GB2312"/>
          <w:color w:val="auto"/>
          <w:sz w:val="32"/>
          <w:szCs w:val="32"/>
          <w:highlight w:val="none"/>
          <w:lang w:eastAsia="zh-CN"/>
        </w:rPr>
      </w:pPr>
    </w:p>
    <w:p w14:paraId="10736E07">
      <w:pPr>
        <w:spacing w:line="600" w:lineRule="exact"/>
        <w:ind w:firstLine="640" w:firstLineChars="200"/>
        <w:outlineLvl w:val="1"/>
        <w:rPr>
          <w:rStyle w:val="29"/>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14:paraId="41EF6919">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272.65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6.25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基本支出增加21.74万元（2025年新增1人，导致工资和福利支出增加），项目支出减少15.49万元。</w:t>
      </w:r>
    </w:p>
    <w:p w14:paraId="460E3939">
      <w:pPr>
        <w:pStyle w:val="2"/>
        <w:rPr>
          <w:rFonts w:hint="eastAsia"/>
          <w:lang w:val="en-US" w:eastAsia="zh-CN"/>
        </w:rPr>
      </w:pPr>
    </w:p>
    <w:p w14:paraId="0F0391A3">
      <w:pPr>
        <w:spacing w:line="600" w:lineRule="exact"/>
        <w:ind w:firstLine="1280" w:firstLineChars="4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1" locked="0" layoutInCell="1" allowOverlap="1">
            <wp:simplePos x="0" y="0"/>
            <wp:positionH relativeFrom="column">
              <wp:posOffset>178435</wp:posOffset>
            </wp:positionH>
            <wp:positionV relativeFrom="paragraph">
              <wp:posOffset>2540</wp:posOffset>
            </wp:positionV>
            <wp:extent cx="4896485" cy="2202180"/>
            <wp:effectExtent l="0" t="0" r="5715" b="7620"/>
            <wp:wrapTight wrapText="bothSides">
              <wp:wrapPolygon>
                <wp:start x="0" y="0"/>
                <wp:lineTo x="0" y="21426"/>
                <wp:lineTo x="21569" y="21426"/>
                <wp:lineTo x="21569" y="0"/>
                <wp:lineTo x="0" y="0"/>
              </wp:wrapPolygon>
            </wp:wrapTight>
            <wp:docPr id="5" name="图片 5"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4"/>
                    <pic:cNvPicPr>
                      <a:picLocks noChangeAspect="1"/>
                    </pic:cNvPicPr>
                  </pic:nvPicPr>
                  <pic:blipFill>
                    <a:blip r:embed="rId14"/>
                    <a:stretch>
                      <a:fillRect/>
                    </a:stretch>
                  </pic:blipFill>
                  <pic:spPr>
                    <a:xfrm>
                      <a:off x="0" y="0"/>
                      <a:ext cx="4896485" cy="2202180"/>
                    </a:xfrm>
                    <a:prstGeom prst="rect">
                      <a:avLst/>
                    </a:prstGeom>
                  </pic:spPr>
                </pic:pic>
              </a:graphicData>
            </a:graphic>
          </wp:anchor>
        </w:drawing>
      </w:r>
    </w:p>
    <w:p w14:paraId="07333779">
      <w:pPr>
        <w:spacing w:line="600" w:lineRule="exact"/>
        <w:ind w:firstLine="640" w:firstLineChars="200"/>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14:paraId="3C77B11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4DEF2432">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272.65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6.25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基本支出增加21.74万元（2025年新增1人，导致工资和福利支出增加），项目支出减少15.49万元。</w:t>
      </w:r>
    </w:p>
    <w:p w14:paraId="33363B08">
      <w:pPr>
        <w:pStyle w:val="2"/>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drawing>
          <wp:inline distT="0" distB="0" distL="114300" distR="114300">
            <wp:extent cx="4882515" cy="2690495"/>
            <wp:effectExtent l="0" t="0" r="6985" b="1905"/>
            <wp:docPr id="9" name="图片 9"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5"/>
                    <pic:cNvPicPr>
                      <a:picLocks noChangeAspect="1"/>
                    </pic:cNvPicPr>
                  </pic:nvPicPr>
                  <pic:blipFill>
                    <a:blip r:embed="rId15"/>
                    <a:stretch>
                      <a:fillRect/>
                    </a:stretch>
                  </pic:blipFill>
                  <pic:spPr>
                    <a:xfrm>
                      <a:off x="0" y="0"/>
                      <a:ext cx="4882515" cy="2690495"/>
                    </a:xfrm>
                    <a:prstGeom prst="rect">
                      <a:avLst/>
                    </a:prstGeom>
                  </pic:spPr>
                </pic:pic>
              </a:graphicData>
            </a:graphic>
          </wp:inline>
        </w:drawing>
      </w:r>
    </w:p>
    <w:p w14:paraId="08F7AB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6E94DBF9">
      <w:pPr>
        <w:pStyle w:val="2"/>
        <w:rPr>
          <w:rFonts w:hint="eastAsia"/>
          <w:lang w:val="en-US" w:eastAsia="zh-CN"/>
        </w:rPr>
      </w:pPr>
    </w:p>
    <w:p w14:paraId="5428528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1E44B53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272.65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251.92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92.4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11.32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233FD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sectPr>
          <w:footerReference r:id="rId8" w:type="default"/>
          <w:pgSz w:w="11906" w:h="16838"/>
          <w:pgMar w:top="1440" w:right="1800" w:bottom="1440" w:left="1800" w:header="851" w:footer="992" w:gutter="0"/>
          <w:pgNumType w:fmt="decimal"/>
          <w:cols w:space="425" w:num="1"/>
          <w:docGrid w:type="lines" w:linePitch="312" w:charSpace="0"/>
        </w:sectPr>
      </w:pPr>
    </w:p>
    <w:p w14:paraId="15C1AF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1" locked="0" layoutInCell="1" allowOverlap="1">
            <wp:simplePos x="0" y="0"/>
            <wp:positionH relativeFrom="column">
              <wp:posOffset>42545</wp:posOffset>
            </wp:positionH>
            <wp:positionV relativeFrom="paragraph">
              <wp:posOffset>172720</wp:posOffset>
            </wp:positionV>
            <wp:extent cx="5066030" cy="2698750"/>
            <wp:effectExtent l="0" t="0" r="0" b="6350"/>
            <wp:wrapThrough wrapText="bothSides">
              <wp:wrapPolygon>
                <wp:start x="0" y="0"/>
                <wp:lineTo x="0" y="21549"/>
                <wp:lineTo x="21551" y="21549"/>
                <wp:lineTo x="21551" y="0"/>
                <wp:lineTo x="0" y="0"/>
              </wp:wrapPolygon>
            </wp:wrapThrough>
            <wp:docPr id="10" name="图片 10"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6"/>
                    <pic:cNvPicPr>
                      <a:picLocks noChangeAspect="1"/>
                    </pic:cNvPicPr>
                  </pic:nvPicPr>
                  <pic:blipFill>
                    <a:blip r:embed="rId16"/>
                    <a:stretch>
                      <a:fillRect/>
                    </a:stretch>
                  </pic:blipFill>
                  <pic:spPr>
                    <a:xfrm>
                      <a:off x="0" y="0"/>
                      <a:ext cx="5066030" cy="2698750"/>
                    </a:xfrm>
                    <a:prstGeom prst="rect">
                      <a:avLst/>
                    </a:prstGeom>
                  </pic:spPr>
                </pic:pic>
              </a:graphicData>
            </a:graphic>
          </wp:anchor>
        </w:drawing>
      </w:r>
    </w:p>
    <w:p w14:paraId="1A129DB2">
      <w:pPr>
        <w:spacing w:line="600" w:lineRule="exact"/>
        <w:ind w:firstLine="1292" w:firstLineChars="404"/>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77018C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FAC97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27A191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7213"/>
      <w:bookmarkStart w:id="2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272.65</w:t>
      </w:r>
      <w:r>
        <w:rPr>
          <w:rFonts w:hint="eastAsia" w:ascii="仿宋_GB2312" w:hAnsi="仿宋_GB2312" w:eastAsia="仿宋_GB2312" w:cs="仿宋_GB2312"/>
          <w:sz w:val="32"/>
          <w:szCs w:val="32"/>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6A162D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1.社会保障和就业（类）人力资源和社会保障管理事务（款）信息化建设（项）：</w:t>
      </w:r>
      <w:r>
        <w:rPr>
          <w:rFonts w:hint="eastAsia" w:ascii="仿宋_GB2312" w:hAnsi="仿宋_GB2312" w:eastAsia="仿宋_GB2312" w:cs="仿宋_GB2312"/>
          <w:kern w:val="0"/>
          <w:sz w:val="32"/>
          <w:szCs w:val="32"/>
          <w:lang w:val="en-US" w:eastAsia="zh-CN" w:bidi="ar"/>
        </w:rPr>
        <w:t>支出决算为236.48万元，完成预算100%，决算数等于预算数。</w:t>
      </w:r>
    </w:p>
    <w:p w14:paraId="6F211593">
      <w:pPr>
        <w:spacing w:line="600" w:lineRule="exact"/>
        <w:ind w:firstLine="640"/>
        <w:rPr>
          <w:rFonts w:hint="eastAsia" w:ascii="仿宋_GB2312" w:hAnsi="仿宋_GB2312" w:eastAsia="仿宋_GB2312" w:cs="仿宋_GB2312"/>
          <w:kern w:val="0"/>
          <w:sz w:val="32"/>
          <w:szCs w:val="32"/>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 xml:space="preserve">2.社会保障和就业（类）行政事业单位养老支出（款）机关事业单位基本养老保险缴费支出（项）: </w:t>
      </w:r>
      <w:r>
        <w:rPr>
          <w:rFonts w:hint="eastAsia" w:ascii="仿宋_GB2312" w:hAnsi="仿宋_GB2312" w:eastAsia="仿宋_GB2312" w:cs="仿宋_GB2312"/>
          <w:kern w:val="0"/>
          <w:sz w:val="32"/>
          <w:szCs w:val="32"/>
          <w:lang w:val="en-US" w:eastAsia="zh-CN" w:bidi="ar"/>
        </w:rPr>
        <w:t>支出决算为15.44万元，完成预算100%，决算数等于预算数。</w:t>
      </w:r>
    </w:p>
    <w:p w14:paraId="06292EF8">
      <w:pPr>
        <w:spacing w:line="600" w:lineRule="exact"/>
        <w:ind w:firstLine="640"/>
        <w:rPr>
          <w:rFonts w:hint="eastAsia" w:ascii="仿宋_GB2312" w:hAnsi="仿宋_GB2312" w:eastAsia="仿宋_GB2312" w:cs="仿宋_GB2312"/>
          <w:kern w:val="0"/>
          <w:sz w:val="32"/>
          <w:szCs w:val="32"/>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3.卫生健康（类）行政事业单位医疗（款）事业单位医疗（项）：</w:t>
      </w:r>
      <w:r>
        <w:rPr>
          <w:rFonts w:hint="eastAsia" w:ascii="仿宋_GB2312" w:hAnsi="仿宋_GB2312" w:eastAsia="仿宋_GB2312" w:cs="仿宋_GB2312"/>
          <w:kern w:val="0"/>
          <w:sz w:val="32"/>
          <w:szCs w:val="32"/>
          <w:lang w:val="en-US" w:eastAsia="zh-CN" w:bidi="ar"/>
        </w:rPr>
        <w:t>支出决算为8.36万元，完成预算100%，决算数等于预算数。</w:t>
      </w:r>
    </w:p>
    <w:p w14:paraId="5A859309">
      <w:pPr>
        <w:spacing w:line="600" w:lineRule="exact"/>
        <w:ind w:firstLine="640"/>
        <w:rPr>
          <w:rFonts w:hint="eastAsia" w:ascii="仿宋_GB2312" w:hAnsi="仿宋_GB2312" w:eastAsia="仿宋_GB2312" w:cs="仿宋_GB2312"/>
          <w:kern w:val="0"/>
          <w:sz w:val="32"/>
          <w:szCs w:val="32"/>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4.卫生健康（类）行政事业单位医疗（款）公务员医疗补助（项）：</w:t>
      </w:r>
      <w:r>
        <w:rPr>
          <w:rFonts w:hint="eastAsia" w:ascii="仿宋_GB2312" w:hAnsi="仿宋_GB2312" w:eastAsia="仿宋_GB2312" w:cs="仿宋_GB2312"/>
          <w:kern w:val="0"/>
          <w:sz w:val="32"/>
          <w:szCs w:val="32"/>
          <w:lang w:val="en-US" w:eastAsia="zh-CN" w:bidi="ar"/>
        </w:rPr>
        <w:t>支出决算为1.05万元，完成预算100%，决算数等于预算数。</w:t>
      </w:r>
    </w:p>
    <w:p w14:paraId="6B8BB1AA">
      <w:pPr>
        <w:pStyle w:val="2"/>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.住房保障支出（类）住房改革支出（款）住房公积金（项）：</w:t>
      </w:r>
      <w:r>
        <w:rPr>
          <w:rFonts w:hint="eastAsia" w:ascii="仿宋_GB2312" w:hAnsi="仿宋_GB2312" w:eastAsia="仿宋_GB2312" w:cs="仿宋_GB2312"/>
          <w:kern w:val="0"/>
          <w:sz w:val="32"/>
          <w:szCs w:val="32"/>
          <w:lang w:val="en-US" w:eastAsia="zh-CN" w:bidi="ar"/>
        </w:rPr>
        <w:t>支出决算为1</w:t>
      </w:r>
      <w:r>
        <w:rPr>
          <w:rFonts w:hint="eastAsia" w:hAnsi="仿宋_GB2312" w:cs="仿宋_GB2312"/>
          <w:kern w:val="0"/>
          <w:sz w:val="32"/>
          <w:szCs w:val="32"/>
          <w:lang w:val="en-US" w:eastAsia="zh-CN" w:bidi="ar"/>
        </w:rPr>
        <w:t>1.32</w:t>
      </w:r>
      <w:r>
        <w:rPr>
          <w:rFonts w:hint="eastAsia" w:ascii="仿宋_GB2312" w:hAnsi="仿宋_GB2312" w:eastAsia="仿宋_GB2312" w:cs="仿宋_GB2312"/>
          <w:kern w:val="0"/>
          <w:sz w:val="32"/>
          <w:szCs w:val="32"/>
          <w:lang w:val="en-US" w:eastAsia="zh-CN" w:bidi="ar"/>
        </w:rPr>
        <w:t>万元，完成预算100%，决算数等于预算数。</w:t>
      </w:r>
    </w:p>
    <w:p w14:paraId="43730EC0">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14:paraId="2B7B31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239.47</w:t>
      </w:r>
      <w:r>
        <w:rPr>
          <w:rFonts w:hint="eastAsia" w:ascii="Times New Roman" w:hAnsi="Times New Roman" w:eastAsia="仿宋_GB2312" w:cs="仿宋_GB2312"/>
          <w:color w:val="auto"/>
          <w:kern w:val="2"/>
          <w:sz w:val="32"/>
          <w:szCs w:val="32"/>
          <w:highlight w:val="none"/>
          <w:lang w:val="en-US" w:eastAsia="zh-CN" w:bidi="ar-SA"/>
        </w:rPr>
        <w:t>万元，其中：</w:t>
      </w:r>
    </w:p>
    <w:p w14:paraId="3951AF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231.09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万元，主要包括：基本工资、津贴补贴、绩效工资、机关事业单位基本养老保险缴费、</w:t>
      </w:r>
      <w:r>
        <w:rPr>
          <w:rFonts w:hint="eastAsia" w:ascii="仿宋_GB2312" w:hAnsi="仿宋_GB2312" w:eastAsia="仿宋_GB2312" w:cs="仿宋_GB2312"/>
          <w:kern w:val="0"/>
          <w:sz w:val="32"/>
          <w:szCs w:val="32"/>
          <w:lang w:val="en-US" w:eastAsia="zh-CN" w:bidi="ar"/>
        </w:rPr>
        <w:t>职工基本医疗保险缴费</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kern w:val="0"/>
          <w:sz w:val="32"/>
          <w:szCs w:val="32"/>
          <w:lang w:val="en-US" w:eastAsia="zh-CN" w:bidi="ar"/>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ascii="仿宋_GB2312" w:hAnsi="仿宋_GB2312" w:eastAsia="仿宋_GB2312" w:cs="仿宋_GB2312"/>
          <w:kern w:val="0"/>
          <w:sz w:val="32"/>
          <w:szCs w:val="32"/>
          <w:lang w:val="en-US" w:eastAsia="zh-CN" w:bidi="ar"/>
        </w:rPr>
        <w:t>其他工资福利支出等</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8.38</w:t>
      </w:r>
      <w:r>
        <w:rPr>
          <w:rFonts w:hint="eastAsia" w:ascii="Times New Roman" w:hAnsi="Times New Roman" w:eastAsia="仿宋_GB2312" w:cs="仿宋_GB2312"/>
          <w:color w:val="auto"/>
          <w:kern w:val="2"/>
          <w:sz w:val="32"/>
          <w:szCs w:val="32"/>
          <w:highlight w:val="none"/>
          <w:lang w:val="en-US" w:eastAsia="zh-CN" w:bidi="ar-SA"/>
        </w:rPr>
        <w:t>万元，主要包括：办公费、邮电费、差旅费、公务接待费、工会经费、福利费、其他交通费、其他商品和服务支出等。</w:t>
      </w:r>
    </w:p>
    <w:p w14:paraId="32E19707">
      <w:pPr>
        <w:spacing w:line="600" w:lineRule="exact"/>
        <w:ind w:firstLine="640"/>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14:paraId="1C4BBF2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649C3E3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0.05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lang w:val="en-US" w:eastAsia="zh-CN"/>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bookmarkStart w:id="61" w:name="_GoBack"/>
      <w:bookmarkEnd w:id="61"/>
    </w:p>
    <w:p w14:paraId="3D0D8D4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4E91D4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万元；公务接待费支出决算</w:t>
      </w:r>
      <w:r>
        <w:rPr>
          <w:rFonts w:hint="eastAsia" w:ascii="仿宋_GB2312" w:hAnsi="仿宋_GB2312" w:eastAsia="仿宋_GB2312" w:cs="仿宋_GB2312"/>
          <w:sz w:val="32"/>
          <w:szCs w:val="32"/>
        </w:rPr>
        <w:t>0.05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14:paraId="4C8D047E">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665730"/>
            <wp:effectExtent l="0" t="0" r="635" b="1270"/>
            <wp:docPr id="11" name="图片 11"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7"/>
                    <pic:cNvPicPr>
                      <a:picLocks noChangeAspect="1"/>
                    </pic:cNvPicPr>
                  </pic:nvPicPr>
                  <pic:blipFill>
                    <a:blip r:embed="rId17"/>
                    <a:stretch>
                      <a:fillRect/>
                    </a:stretch>
                  </pic:blipFill>
                  <pic:spPr>
                    <a:xfrm>
                      <a:off x="0" y="0"/>
                      <a:ext cx="4838065" cy="2665730"/>
                    </a:xfrm>
                    <a:prstGeom prst="rect">
                      <a:avLst/>
                    </a:prstGeom>
                  </pic:spPr>
                </pic:pic>
              </a:graphicData>
            </a:graphic>
          </wp:inline>
        </w:drawing>
      </w:r>
    </w:p>
    <w:p w14:paraId="3BCD887B">
      <w:pPr>
        <w:spacing w:line="600" w:lineRule="exact"/>
        <w:ind w:firstLine="1292" w:firstLineChars="404"/>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19794F22">
      <w:pPr>
        <w:pStyle w:val="2"/>
        <w:rPr>
          <w:rFonts w:hint="eastAsia"/>
          <w:lang w:val="en-US" w:eastAsia="zh-CN"/>
        </w:rPr>
      </w:pPr>
    </w:p>
    <w:p w14:paraId="1332D267">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w:t>
      </w:r>
      <w:r>
        <w:rPr>
          <w:rFonts w:hint="eastAsia" w:eastAsia="仿宋_GB2312" w:cs="仿宋_GB2312"/>
          <w:color w:val="auto"/>
          <w:kern w:val="2"/>
          <w:sz w:val="32"/>
          <w:szCs w:val="32"/>
          <w:highlight w:val="none"/>
          <w:lang w:val="en-US" w:eastAsia="zh-CN" w:bidi="ar-SA"/>
        </w:rPr>
        <w:t>与2024年持平。</w:t>
      </w:r>
    </w:p>
    <w:p w14:paraId="60B349AA">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与2024年持平。</w:t>
      </w:r>
    </w:p>
    <w:p w14:paraId="6C7AD5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AF4D5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47692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0.05</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万元。主要原因是</w:t>
      </w:r>
      <w:r>
        <w:rPr>
          <w:rFonts w:hint="eastAsia" w:eastAsia="仿宋_GB2312" w:cs="仿宋_GB2312"/>
          <w:color w:val="auto"/>
          <w:kern w:val="2"/>
          <w:sz w:val="32"/>
          <w:szCs w:val="32"/>
          <w:highlight w:val="none"/>
          <w:lang w:val="en-US" w:eastAsia="zh-CN" w:bidi="ar-SA"/>
        </w:rPr>
        <w:t>2024年我单位没有公务接待费支出。</w:t>
      </w:r>
      <w:r>
        <w:rPr>
          <w:rFonts w:hint="eastAsia" w:ascii="Times New Roman" w:hAnsi="Times New Roman" w:eastAsia="仿宋_GB2312" w:cs="仿宋_GB2312"/>
          <w:color w:val="auto"/>
          <w:kern w:val="2"/>
          <w:sz w:val="32"/>
          <w:szCs w:val="32"/>
          <w:highlight w:val="none"/>
          <w:lang w:val="en-US" w:eastAsia="zh-CN" w:bidi="ar-SA"/>
        </w:rPr>
        <w:t>其中：</w:t>
      </w:r>
    </w:p>
    <w:p w14:paraId="5C77F3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0.05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接待凉山州人社信息中心4人的用餐费。</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餐费0.05万元</w:t>
      </w:r>
      <w:r>
        <w:rPr>
          <w:rFonts w:hint="eastAsia" w:ascii="Times New Roman" w:hAnsi="Times New Roman" w:eastAsia="仿宋_GB2312" w:cs="仿宋_GB2312"/>
          <w:color w:val="auto"/>
          <w:kern w:val="2"/>
          <w:sz w:val="32"/>
          <w:szCs w:val="32"/>
          <w:highlight w:val="none"/>
          <w:lang w:val="en-US" w:eastAsia="zh-CN" w:bidi="ar-SA"/>
        </w:rPr>
        <w:t>。</w:t>
      </w:r>
    </w:p>
    <w:p w14:paraId="19C3C1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96610"/>
      <w:bookmarkStart w:id="35" w:name="_Toc15377218"/>
    </w:p>
    <w:p w14:paraId="115D46D3">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14:paraId="4CBF7A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68D06CF7">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96611"/>
      <w:bookmarkStart w:id="37"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14:paraId="5FC6D2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27090B42">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96612"/>
      <w:bookmarkStart w:id="39"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14:paraId="1B41DD9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761667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攀枝花市人力资源和社会保障信息中心为事业单位，按规定未使用机关运行的相关科目。</w: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攀枝花市人力资源和社会保障信息中心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07F335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674B08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攀枝花市人力资源和社会保障信息中心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2396585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74507E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攀枝花市人力资源和社会保障信息中心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0C8915F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9D252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一卡通及电子社保卡专项经费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33.18</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0DE183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EE663FD">
      <w:pPr>
        <w:pStyle w:val="2"/>
        <w:rPr>
          <w:rFonts w:hint="eastAsia" w:ascii="Times New Roman" w:hAnsi="Times New Roman" w:eastAsia="仿宋_GB2312" w:cs="仿宋_GB2312"/>
          <w:color w:val="auto"/>
          <w:kern w:val="2"/>
          <w:sz w:val="32"/>
          <w:szCs w:val="32"/>
          <w:highlight w:val="none"/>
          <w:lang w:val="en-US" w:eastAsia="zh-CN" w:bidi="ar-SA"/>
        </w:rPr>
      </w:pPr>
    </w:p>
    <w:p w14:paraId="111B414C">
      <w:pPr>
        <w:pStyle w:val="2"/>
        <w:rPr>
          <w:rFonts w:hint="eastAsia" w:ascii="Times New Roman" w:hAnsi="Times New Roman" w:eastAsia="仿宋_GB2312" w:cs="仿宋_GB2312"/>
          <w:color w:val="auto"/>
          <w:kern w:val="2"/>
          <w:sz w:val="32"/>
          <w:szCs w:val="32"/>
          <w:highlight w:val="none"/>
          <w:lang w:val="en-US" w:eastAsia="zh-CN" w:bidi="ar-SA"/>
        </w:rPr>
      </w:pPr>
    </w:p>
    <w:p w14:paraId="5898347B">
      <w:pPr>
        <w:pStyle w:val="2"/>
        <w:rPr>
          <w:rFonts w:hint="eastAsia" w:ascii="Times New Roman" w:hAnsi="Times New Roman" w:eastAsia="仿宋_GB2312" w:cs="仿宋_GB2312"/>
          <w:color w:val="auto"/>
          <w:kern w:val="2"/>
          <w:sz w:val="32"/>
          <w:szCs w:val="32"/>
          <w:highlight w:val="none"/>
          <w:lang w:val="en-US" w:eastAsia="zh-CN" w:bidi="ar-SA"/>
        </w:rPr>
      </w:pPr>
    </w:p>
    <w:p w14:paraId="09FF2B6D">
      <w:pPr>
        <w:pStyle w:val="2"/>
        <w:rPr>
          <w:rFonts w:hint="eastAsia" w:ascii="Times New Roman" w:hAnsi="Times New Roman" w:eastAsia="仿宋_GB2312" w:cs="仿宋_GB2312"/>
          <w:color w:val="auto"/>
          <w:kern w:val="2"/>
          <w:sz w:val="32"/>
          <w:szCs w:val="32"/>
          <w:highlight w:val="none"/>
          <w:lang w:val="en-US" w:eastAsia="zh-CN" w:bidi="ar-SA"/>
        </w:rPr>
      </w:pPr>
    </w:p>
    <w:p w14:paraId="5EDF7A0F">
      <w:pPr>
        <w:pStyle w:val="2"/>
        <w:rPr>
          <w:rFonts w:hint="eastAsia" w:ascii="Times New Roman" w:hAnsi="Times New Roman" w:eastAsia="仿宋_GB2312" w:cs="仿宋_GB2312"/>
          <w:color w:val="auto"/>
          <w:kern w:val="2"/>
          <w:sz w:val="32"/>
          <w:szCs w:val="32"/>
          <w:highlight w:val="none"/>
          <w:lang w:val="en-US" w:eastAsia="zh-CN" w:bidi="ar-SA"/>
        </w:rPr>
      </w:pPr>
    </w:p>
    <w:p w14:paraId="1507AE54">
      <w:pPr>
        <w:pStyle w:val="2"/>
        <w:rPr>
          <w:rFonts w:hint="eastAsia" w:ascii="Times New Roman" w:hAnsi="Times New Roman" w:eastAsia="仿宋_GB2312" w:cs="仿宋_GB2312"/>
          <w:color w:val="auto"/>
          <w:kern w:val="2"/>
          <w:sz w:val="32"/>
          <w:szCs w:val="32"/>
          <w:highlight w:val="none"/>
          <w:lang w:val="en-US" w:eastAsia="zh-CN" w:bidi="ar-SA"/>
        </w:rPr>
      </w:pPr>
    </w:p>
    <w:p w14:paraId="62B5AE4C">
      <w:pPr>
        <w:pStyle w:val="2"/>
        <w:rPr>
          <w:rFonts w:hint="eastAsia" w:ascii="Times New Roman" w:hAnsi="Times New Roman" w:eastAsia="仿宋_GB2312" w:cs="仿宋_GB2312"/>
          <w:color w:val="auto"/>
          <w:kern w:val="2"/>
          <w:sz w:val="32"/>
          <w:szCs w:val="32"/>
          <w:highlight w:val="none"/>
          <w:lang w:val="en-US" w:eastAsia="zh-CN" w:bidi="ar-SA"/>
        </w:rPr>
      </w:pPr>
    </w:p>
    <w:p w14:paraId="7D2E685F">
      <w:pPr>
        <w:pStyle w:val="2"/>
        <w:rPr>
          <w:rFonts w:hint="eastAsia" w:ascii="Times New Roman" w:hAnsi="Times New Roman" w:eastAsia="仿宋_GB2312" w:cs="仿宋_GB2312"/>
          <w:color w:val="auto"/>
          <w:kern w:val="2"/>
          <w:sz w:val="32"/>
          <w:szCs w:val="32"/>
          <w:highlight w:val="none"/>
          <w:lang w:val="en-US" w:eastAsia="zh-CN" w:bidi="ar-SA"/>
        </w:rPr>
      </w:pPr>
    </w:p>
    <w:p w14:paraId="4F09AFC9">
      <w:pPr>
        <w:pStyle w:val="2"/>
        <w:rPr>
          <w:rFonts w:hint="eastAsia" w:ascii="Times New Roman" w:hAnsi="Times New Roman" w:eastAsia="仿宋_GB2312" w:cs="仿宋_GB2312"/>
          <w:color w:val="auto"/>
          <w:kern w:val="2"/>
          <w:sz w:val="32"/>
          <w:szCs w:val="32"/>
          <w:highlight w:val="none"/>
          <w:lang w:val="en-US" w:eastAsia="zh-CN" w:bidi="ar-SA"/>
        </w:rPr>
      </w:pPr>
    </w:p>
    <w:p w14:paraId="5C03D79B">
      <w:pPr>
        <w:pStyle w:val="2"/>
        <w:rPr>
          <w:rFonts w:hint="eastAsia" w:ascii="Times New Roman" w:hAnsi="Times New Roman" w:eastAsia="仿宋_GB2312" w:cs="仿宋_GB2312"/>
          <w:color w:val="auto"/>
          <w:kern w:val="2"/>
          <w:sz w:val="32"/>
          <w:szCs w:val="32"/>
          <w:highlight w:val="none"/>
          <w:lang w:val="en-US" w:eastAsia="zh-CN" w:bidi="ar-SA"/>
        </w:rPr>
      </w:pPr>
    </w:p>
    <w:p w14:paraId="2CFB7B67">
      <w:pPr>
        <w:pStyle w:val="2"/>
        <w:rPr>
          <w:rFonts w:hint="eastAsia" w:ascii="Times New Roman" w:hAnsi="Times New Roman" w:eastAsia="仿宋_GB2312" w:cs="仿宋_GB2312"/>
          <w:color w:val="auto"/>
          <w:kern w:val="2"/>
          <w:sz w:val="32"/>
          <w:szCs w:val="32"/>
          <w:highlight w:val="none"/>
          <w:lang w:val="en-US" w:eastAsia="zh-CN" w:bidi="ar-SA"/>
        </w:rPr>
      </w:pPr>
    </w:p>
    <w:p w14:paraId="43F86DF3">
      <w:pPr>
        <w:pStyle w:val="2"/>
        <w:rPr>
          <w:rFonts w:hint="eastAsia" w:ascii="Times New Roman" w:hAnsi="Times New Roman" w:eastAsia="仿宋_GB2312" w:cs="仿宋_GB2312"/>
          <w:color w:val="auto"/>
          <w:kern w:val="2"/>
          <w:sz w:val="32"/>
          <w:szCs w:val="32"/>
          <w:highlight w:val="none"/>
          <w:lang w:val="en-US" w:eastAsia="zh-CN" w:bidi="ar-SA"/>
        </w:rPr>
      </w:pPr>
    </w:p>
    <w:p w14:paraId="166659F2">
      <w:pPr>
        <w:pStyle w:val="2"/>
        <w:rPr>
          <w:rFonts w:hint="eastAsia" w:ascii="Times New Roman" w:hAnsi="Times New Roman" w:eastAsia="仿宋_GB2312" w:cs="仿宋_GB2312"/>
          <w:color w:val="auto"/>
          <w:kern w:val="2"/>
          <w:sz w:val="32"/>
          <w:szCs w:val="32"/>
          <w:highlight w:val="none"/>
          <w:lang w:val="en-US" w:eastAsia="zh-CN" w:bidi="ar-SA"/>
        </w:rPr>
      </w:pPr>
    </w:p>
    <w:p w14:paraId="379CD16B">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40F6753A">
      <w:pPr>
        <w:spacing w:line="600" w:lineRule="exact"/>
        <w:jc w:val="left"/>
        <w:rPr>
          <w:rFonts w:ascii="Times New Roman" w:hAnsi="Times New Roman"/>
          <w:b/>
          <w:color w:val="auto"/>
          <w:sz w:val="44"/>
          <w:szCs w:val="44"/>
          <w:highlight w:val="none"/>
        </w:rPr>
      </w:pPr>
    </w:p>
    <w:p w14:paraId="3E436A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8044B1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45" w:name="_Toc15377226"/>
      <w:r>
        <w:rPr>
          <w:rFonts w:hint="eastAsia" w:ascii="仿宋_GB2312" w:hAnsi="仿宋_GB2312" w:eastAsia="仿宋_GB2312" w:cs="仿宋_GB2312"/>
          <w:color w:val="auto"/>
          <w:kern w:val="2"/>
          <w:sz w:val="32"/>
          <w:szCs w:val="32"/>
          <w:highlight w:val="none"/>
          <w:lang w:val="en-US" w:eastAsia="zh-CN" w:bidi="ar-SA"/>
        </w:rPr>
        <w:t>2.社会保障和就业支出（类）人力资源和社会保障管理事务（款）信息化建设（项）:指反映人力资源和社会保障部门用于信息化建设、运行维护和数据分析等方面的支出，如人员类支出及一卡通、社会保障卡建设和运行维护等支出。</w:t>
      </w:r>
    </w:p>
    <w:p w14:paraId="25035B6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3.社会保障和就业支出（类）行政事业单位养老支出（款）机关事业单位基本养老保险缴费支出（项）:指反映机关事业单位实施养老保险制度由单位缴纳的基本养老保险费支出。</w:t>
      </w:r>
    </w:p>
    <w:p w14:paraId="08555DBC">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4.卫生健康支出（类）行政事业单位医疗（款）事业单位医疗支出（项）：指反映由单位缴纳的基本医疗保险支出。</w:t>
      </w:r>
    </w:p>
    <w:p w14:paraId="5A6ABD7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5.卫生健康支出（类）行政事业单位医疗（款）公务员医疗补助支出（项）：指反映由单位缴纳的公务员医疗补助支出。</w:t>
      </w:r>
    </w:p>
    <w:p w14:paraId="43F2A66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6.卫生健康支出（类）行政事业单位医疗（款）其他行政事业单位医疗支出（项）：指反映由单位缴纳的补充医疗保险支出。</w:t>
      </w:r>
    </w:p>
    <w:p w14:paraId="7C33DCF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7.住房保障（类）住房改革支出（款）住房公积金（项）：指反映行政事业单位按人力资源和社会保障部、财政部规定的基本工资和津贴补贴以及规定比例为职工缴纳的住房公积金。</w:t>
      </w:r>
    </w:p>
    <w:p w14:paraId="057D4D0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8.基本支出：指为保障机构正常运转、完成日常工作任务而发生的人员支出和公用支出。</w:t>
      </w:r>
    </w:p>
    <w:p w14:paraId="3E96565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9.项目支出：指在基本支出之外为完成特定行政任务和事业发展目标所发生的支出。 </w:t>
      </w:r>
    </w:p>
    <w:p w14:paraId="2EA0FB4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10.“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391F8A">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599E82E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C554007">
      <w:pPr>
        <w:spacing w:line="600" w:lineRule="exact"/>
        <w:ind w:firstLine="640" w:firstLineChars="200"/>
        <w:rPr>
          <w:rFonts w:ascii="仿宋_GB2312" w:hAnsi="Calibri" w:eastAsia="仿宋_GB2312" w:cs="仿宋"/>
          <w:kern w:val="0"/>
          <w:sz w:val="32"/>
          <w:szCs w:val="32"/>
        </w:rPr>
      </w:pPr>
      <w:r>
        <w:rPr>
          <w:rFonts w:hint="eastAsia" w:ascii="仿宋_GB2312" w:hAnsi="仿宋_GB2312" w:eastAsia="仿宋_GB2312" w:cs="仿宋_GB2312"/>
          <w:color w:val="auto"/>
          <w:kern w:val="2"/>
          <w:sz w:val="32"/>
          <w:szCs w:val="32"/>
          <w:highlight w:val="none"/>
          <w:lang w:val="en-US" w:eastAsia="zh-CN" w:bidi="ar-SA"/>
        </w:rPr>
        <w:t xml:space="preserve">部门预算项目支出绩效自评表（2025年度）见附件3 </w:t>
      </w:r>
      <w:r>
        <w:rPr>
          <w:rFonts w:hint="eastAsia" w:ascii="仿宋_GB2312" w:hAnsi="方正仿宋_GBK" w:eastAsia="仿宋_GB2312" w:cs="方正仿宋_GBK"/>
          <w:color w:val="000000"/>
          <w:kern w:val="2"/>
          <w:sz w:val="32"/>
          <w:szCs w:val="32"/>
          <w:lang w:val="en-US" w:eastAsia="zh-CN" w:bidi="ar-SA"/>
        </w:rPr>
        <w:t>攀枝花市人力资源和社会保</w:t>
      </w:r>
      <w:r>
        <w:rPr>
          <w:rFonts w:hint="eastAsia" w:ascii="仿宋_GB2312" w:hAnsi="方正仿宋_GBK" w:eastAsia="仿宋_GB2312" w:cs="方正仿宋_GBK"/>
          <w:kern w:val="2"/>
          <w:sz w:val="32"/>
          <w:szCs w:val="32"/>
          <w:lang w:val="en-US" w:eastAsia="zh-CN" w:bidi="ar-SA"/>
        </w:rPr>
        <w:t>障信息中心2025年预算项目支出绩效自评表</w:t>
      </w:r>
    </w:p>
    <w:p w14:paraId="40D423FC">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7ADB77D4">
      <w:pPr>
        <w:pStyle w:val="2"/>
        <w:rPr>
          <w:rFonts w:hint="eastAsia" w:ascii="Times New Roman" w:hAnsi="Times New Roman" w:cs="宋体"/>
          <w:color w:val="FF0000"/>
          <w:kern w:val="0"/>
          <w:sz w:val="32"/>
          <w:szCs w:val="32"/>
          <w:highlight w:val="yellow"/>
          <w:shd w:val="clear" w:color="auto" w:fill="FFFFFF"/>
          <w:lang w:val="zh-CN"/>
        </w:rPr>
      </w:pPr>
    </w:p>
    <w:p w14:paraId="6F0ED245">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4FADD7E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3938EA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7"/>
      <w:bookmarkStart w:id="48" w:name="_Toc15396619"/>
    </w:p>
    <w:p w14:paraId="36EEE71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8B927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2478D1B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03937D8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0F7893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618F84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49E4B34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5E36F48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2DEA6ED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152058C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61C3A8F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203A5EB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CB3777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7A36A6B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095664A9">
      <w:pPr>
        <w:rPr>
          <w:rFonts w:hint="eastAsia" w:ascii="Times New Roman" w:hAnsi="Times New Roman"/>
          <w:lang w:eastAsia="zh-CN"/>
        </w:rPr>
      </w:pPr>
    </w:p>
    <w:sectPr>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6C48E">
    <w:pPr>
      <w:pStyle w:val="10"/>
      <w:jc w:val="center"/>
    </w:pPr>
  </w:p>
  <w:p w14:paraId="135DA7F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E58D4">
    <w:pPr>
      <w:pStyle w:val="10"/>
      <w:jc w:val="center"/>
    </w:pPr>
  </w:p>
  <w:p w14:paraId="6A062B5D">
    <w:pPr>
      <w:pStyle w:val="10"/>
      <w:rPr>
        <w:rFonts w:hint="eastAsia"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A0CBE">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579AFD">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D579AFD">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87485">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239BB7">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1239BB7">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6C4DF1AD">
    <w:pPr>
      <w:pStyle w:val="10"/>
      <w:rPr>
        <w:rFonts w:hint="eastAsia" w:eastAsia="宋体"/>
        <w:lang w:val="en-US"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A5FB6">
    <w:pPr>
      <w:pStyle w:val="1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2D06F8">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C2D06F8">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5BEDB1A0">
    <w:pPr>
      <w:pStyle w:val="10"/>
      <w:rPr>
        <w:rFonts w:hint="eastAsia" w:eastAsia="宋体"/>
        <w:lang w:val="en-US"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AA570">
    <w:pPr>
      <w:pStyle w:val="1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65C22F">
                          <w:pPr>
                            <w:pStyle w:val="10"/>
                          </w:pPr>
                          <w:r>
                            <w:t xml:space="preserve">— </w:t>
                          </w:r>
                          <w:r>
                            <w:fldChar w:fldCharType="begin"/>
                          </w:r>
                          <w:r>
                            <w:instrText xml:space="preserve"> PAGE  \* MERGEFORMAT </w:instrText>
                          </w:r>
                          <w:r>
                            <w:fldChar w:fldCharType="separate"/>
                          </w:r>
                          <w:r>
                            <w:t>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865C22F">
                    <w:pPr>
                      <w:pStyle w:val="10"/>
                    </w:pPr>
                    <w:r>
                      <w:t xml:space="preserve">— </w:t>
                    </w:r>
                    <w:r>
                      <w:fldChar w:fldCharType="begin"/>
                    </w:r>
                    <w:r>
                      <w:instrText xml:space="preserve"> PAGE  \* MERGEFORMAT </w:instrText>
                    </w:r>
                    <w:r>
                      <w:fldChar w:fldCharType="separate"/>
                    </w:r>
                    <w:r>
                      <w:t>6</w:t>
                    </w:r>
                    <w:r>
                      <w:fldChar w:fldCharType="end"/>
                    </w:r>
                    <w:r>
                      <w:t xml:space="preserve"> —</w:t>
                    </w:r>
                  </w:p>
                </w:txbxContent>
              </v:textbox>
            </v:shape>
          </w:pict>
        </mc:Fallback>
      </mc:AlternateContent>
    </w:r>
  </w:p>
  <w:p w14:paraId="2BE223BE">
    <w:pPr>
      <w:pStyle w:val="1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B2239">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349BB"/>
    <w:multiLevelType w:val="singleLevel"/>
    <w:tmpl w:val="189349BB"/>
    <w:lvl w:ilvl="0" w:tentative="0">
      <w:start w:val="1"/>
      <w:numFmt w:val="decimal"/>
      <w:lvlText w:val="%1."/>
      <w:lvlJc w:val="left"/>
      <w:pPr>
        <w:tabs>
          <w:tab w:val="left" w:pos="312"/>
        </w:tabs>
      </w:pPr>
    </w:lvl>
  </w:abstractNum>
  <w:abstractNum w:abstractNumId="1">
    <w:nsid w:val="2F3A1FD5"/>
    <w:multiLevelType w:val="singleLevel"/>
    <w:tmpl w:val="2F3A1FD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xZjhmZGMxODJmMjQ1OTVlN2YwMTRlNjA0MzVjYj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22176"/>
    <w:rsid w:val="015679D0"/>
    <w:rsid w:val="015975B8"/>
    <w:rsid w:val="01A23516"/>
    <w:rsid w:val="02247ACE"/>
    <w:rsid w:val="02317B1B"/>
    <w:rsid w:val="02441F1E"/>
    <w:rsid w:val="02FEBE30"/>
    <w:rsid w:val="04207E21"/>
    <w:rsid w:val="061E35DE"/>
    <w:rsid w:val="064E336B"/>
    <w:rsid w:val="066E0107"/>
    <w:rsid w:val="07996F6E"/>
    <w:rsid w:val="07DFD8BA"/>
    <w:rsid w:val="08DB07E4"/>
    <w:rsid w:val="09867E8F"/>
    <w:rsid w:val="0A2032A3"/>
    <w:rsid w:val="0C6C4794"/>
    <w:rsid w:val="0CA8290A"/>
    <w:rsid w:val="0D35B1ED"/>
    <w:rsid w:val="0DE07E2B"/>
    <w:rsid w:val="0EFF16A6"/>
    <w:rsid w:val="0F98263C"/>
    <w:rsid w:val="101860EC"/>
    <w:rsid w:val="10C055FF"/>
    <w:rsid w:val="10DF5E1B"/>
    <w:rsid w:val="11772AA4"/>
    <w:rsid w:val="118107EC"/>
    <w:rsid w:val="13957196"/>
    <w:rsid w:val="13D50BC4"/>
    <w:rsid w:val="14022904"/>
    <w:rsid w:val="152F2A07"/>
    <w:rsid w:val="15BF56EC"/>
    <w:rsid w:val="165E0673"/>
    <w:rsid w:val="16BB723D"/>
    <w:rsid w:val="16F13FCB"/>
    <w:rsid w:val="172D2B29"/>
    <w:rsid w:val="186504BB"/>
    <w:rsid w:val="1938089F"/>
    <w:rsid w:val="19A445FC"/>
    <w:rsid w:val="1B487F31"/>
    <w:rsid w:val="1B7D550C"/>
    <w:rsid w:val="1BE8440E"/>
    <w:rsid w:val="1D155CEE"/>
    <w:rsid w:val="1DE178F3"/>
    <w:rsid w:val="1E740ACF"/>
    <w:rsid w:val="1FF35744"/>
    <w:rsid w:val="1FF6BC77"/>
    <w:rsid w:val="21962A9E"/>
    <w:rsid w:val="21AE7C77"/>
    <w:rsid w:val="21F726B1"/>
    <w:rsid w:val="22205764"/>
    <w:rsid w:val="22486A69"/>
    <w:rsid w:val="22BC3C41"/>
    <w:rsid w:val="22D71329"/>
    <w:rsid w:val="2369138D"/>
    <w:rsid w:val="23860B96"/>
    <w:rsid w:val="23CB5BA3"/>
    <w:rsid w:val="240371BF"/>
    <w:rsid w:val="25950217"/>
    <w:rsid w:val="260F557C"/>
    <w:rsid w:val="281408E2"/>
    <w:rsid w:val="28923D5A"/>
    <w:rsid w:val="29FD04D3"/>
    <w:rsid w:val="2BFF7BC6"/>
    <w:rsid w:val="2C8A61B5"/>
    <w:rsid w:val="2D2E01CF"/>
    <w:rsid w:val="2DF04E50"/>
    <w:rsid w:val="2E9545B0"/>
    <w:rsid w:val="2EE4449A"/>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704640"/>
    <w:rsid w:val="37E16F03"/>
    <w:rsid w:val="37F53A3B"/>
    <w:rsid w:val="389B6C89"/>
    <w:rsid w:val="38D469F0"/>
    <w:rsid w:val="39627CCD"/>
    <w:rsid w:val="397BAF1F"/>
    <w:rsid w:val="399C796E"/>
    <w:rsid w:val="3AB79AF3"/>
    <w:rsid w:val="3B7EF35A"/>
    <w:rsid w:val="3B9FDB6C"/>
    <w:rsid w:val="3BF5BC2F"/>
    <w:rsid w:val="3CEBA265"/>
    <w:rsid w:val="3D98207C"/>
    <w:rsid w:val="3D9B0D99"/>
    <w:rsid w:val="3DEE7CF3"/>
    <w:rsid w:val="3DF02244"/>
    <w:rsid w:val="3E375EB7"/>
    <w:rsid w:val="3E78745D"/>
    <w:rsid w:val="3F9D61EE"/>
    <w:rsid w:val="3FF4CAE0"/>
    <w:rsid w:val="3FF7B227"/>
    <w:rsid w:val="40E54C45"/>
    <w:rsid w:val="41313393"/>
    <w:rsid w:val="438576C5"/>
    <w:rsid w:val="43A407DF"/>
    <w:rsid w:val="43C7383A"/>
    <w:rsid w:val="44515BEA"/>
    <w:rsid w:val="44E268DA"/>
    <w:rsid w:val="453F7E5B"/>
    <w:rsid w:val="47DE73A4"/>
    <w:rsid w:val="47E0311C"/>
    <w:rsid w:val="48577D72"/>
    <w:rsid w:val="486A6C7A"/>
    <w:rsid w:val="48EC789E"/>
    <w:rsid w:val="49176D9B"/>
    <w:rsid w:val="494006BD"/>
    <w:rsid w:val="49415E3C"/>
    <w:rsid w:val="4A627F82"/>
    <w:rsid w:val="4B0E749A"/>
    <w:rsid w:val="4B4F25DA"/>
    <w:rsid w:val="4BDA0CFB"/>
    <w:rsid w:val="4BE068DB"/>
    <w:rsid w:val="4D3C0CCC"/>
    <w:rsid w:val="4D577224"/>
    <w:rsid w:val="4DBF1CEB"/>
    <w:rsid w:val="4E04568A"/>
    <w:rsid w:val="4EAB630A"/>
    <w:rsid w:val="4ECE2238"/>
    <w:rsid w:val="4EE554BC"/>
    <w:rsid w:val="4F833267"/>
    <w:rsid w:val="4FE9BD67"/>
    <w:rsid w:val="4FFB052F"/>
    <w:rsid w:val="525E5842"/>
    <w:rsid w:val="53083A92"/>
    <w:rsid w:val="537E6D0A"/>
    <w:rsid w:val="53AF27A2"/>
    <w:rsid w:val="53F74C96"/>
    <w:rsid w:val="5543118E"/>
    <w:rsid w:val="56E47B74"/>
    <w:rsid w:val="57BD3DD4"/>
    <w:rsid w:val="5AF92295"/>
    <w:rsid w:val="5BDD79E6"/>
    <w:rsid w:val="5BF561CA"/>
    <w:rsid w:val="5BFF5DFC"/>
    <w:rsid w:val="5CD71FC4"/>
    <w:rsid w:val="5D1F11B5"/>
    <w:rsid w:val="5DA02BF9"/>
    <w:rsid w:val="5DAE1B18"/>
    <w:rsid w:val="5DE7D9E5"/>
    <w:rsid w:val="5EAE7678"/>
    <w:rsid w:val="5ECEC941"/>
    <w:rsid w:val="5F493CB7"/>
    <w:rsid w:val="5FBF9FF3"/>
    <w:rsid w:val="5FCD4E2C"/>
    <w:rsid w:val="5FD15F49"/>
    <w:rsid w:val="5FD21144"/>
    <w:rsid w:val="5FEF394A"/>
    <w:rsid w:val="5FF67715"/>
    <w:rsid w:val="602816AC"/>
    <w:rsid w:val="62BF3928"/>
    <w:rsid w:val="647F5392"/>
    <w:rsid w:val="64D70FAB"/>
    <w:rsid w:val="657F17B6"/>
    <w:rsid w:val="65FF6A0B"/>
    <w:rsid w:val="664B1D71"/>
    <w:rsid w:val="67AA3209"/>
    <w:rsid w:val="68030A35"/>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1352D6"/>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2C74ACB"/>
    <w:rsid w:val="73124222"/>
    <w:rsid w:val="7332FE48"/>
    <w:rsid w:val="73AB61DA"/>
    <w:rsid w:val="73AD73D5"/>
    <w:rsid w:val="73B6EB34"/>
    <w:rsid w:val="73FA497D"/>
    <w:rsid w:val="744731E5"/>
    <w:rsid w:val="74527205"/>
    <w:rsid w:val="749D7CDB"/>
    <w:rsid w:val="74BBD01D"/>
    <w:rsid w:val="74DB0643"/>
    <w:rsid w:val="74ED5379"/>
    <w:rsid w:val="74FC2395"/>
    <w:rsid w:val="75052521"/>
    <w:rsid w:val="759727BC"/>
    <w:rsid w:val="75DEEEC2"/>
    <w:rsid w:val="76E3355F"/>
    <w:rsid w:val="76FF5125"/>
    <w:rsid w:val="776F6FFA"/>
    <w:rsid w:val="778769C8"/>
    <w:rsid w:val="77DC22F5"/>
    <w:rsid w:val="79086DAD"/>
    <w:rsid w:val="79974F09"/>
    <w:rsid w:val="79A25BD4"/>
    <w:rsid w:val="79D7FD79"/>
    <w:rsid w:val="79EE5BA4"/>
    <w:rsid w:val="7A894339"/>
    <w:rsid w:val="7AFF7572"/>
    <w:rsid w:val="7B6C7DFB"/>
    <w:rsid w:val="7BBFBED0"/>
    <w:rsid w:val="7BC3E394"/>
    <w:rsid w:val="7C1F3737"/>
    <w:rsid w:val="7CBFC87B"/>
    <w:rsid w:val="7CFE0F48"/>
    <w:rsid w:val="7D7EC23E"/>
    <w:rsid w:val="7D8C697F"/>
    <w:rsid w:val="7D916348"/>
    <w:rsid w:val="7DF876ED"/>
    <w:rsid w:val="7E8ADEBF"/>
    <w:rsid w:val="7EEF11D3"/>
    <w:rsid w:val="7F0971A6"/>
    <w:rsid w:val="7F3F679B"/>
    <w:rsid w:val="7F4FC4EF"/>
    <w:rsid w:val="7F5E4D54"/>
    <w:rsid w:val="7F631961"/>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2816</Words>
  <Characters>3146</Characters>
  <Lines>61</Lines>
  <Paragraphs>17</Paragraphs>
  <TotalTime>16</TotalTime>
  <ScaleCrop>false</ScaleCrop>
  <LinksUpToDate>false</LinksUpToDate>
  <CharactersWithSpaces>3193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珂妤</cp:lastModifiedBy>
  <cp:lastPrinted>2026-08-03T09:27:00Z</cp:lastPrinted>
  <dcterms:modified xsi:type="dcterms:W3CDTF">2026-09-11T02:44:04Z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FC1BE4D40B894F1D8D9799859D819562_13</vt:lpwstr>
  </property>
  <property fmtid="{D5CDD505-2E9C-101B-9397-08002B2CF9AE}" pid="4" name="KSOTemplateDocerSaveRecord">
    <vt:lpwstr>eyJoZGlkIjoiM2YwZmY2YzE0ZDJhYTJmYTllNTUyOTY1MTZhMTQwMzciLCJ1c2VySWQiOiI1MDY1OTkwNTgifQ==</vt:lpwstr>
  </property>
</Properties>
</file>