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DACBA">
      <w:pPr>
        <w:pStyle w:val="5"/>
        <w:rPr>
          <w:rFonts w:hint="default"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06267"/>
      <w:bookmarkStart w:id="2" w:name="_Toc15396475"/>
      <w:bookmarkStart w:id="3" w:name="_Toc15377425"/>
      <w:bookmarkStart w:id="4" w:name="_Toc15377193"/>
      <w:bookmarkStart w:id="5" w:name="_Toc15396597"/>
    </w:p>
    <w:p w14:paraId="57C714A9">
      <w:pPr>
        <w:pStyle w:val="5"/>
        <w:rPr>
          <w:rFonts w:hint="default" w:ascii="Times New Roman" w:hAnsi="Times New Roman" w:eastAsia="方正小标宋简体" w:cs="Times New Roman"/>
          <w:color w:val="auto"/>
          <w:kern w:val="2"/>
          <w:sz w:val="72"/>
          <w:szCs w:val="72"/>
          <w:highlight w:val="none"/>
          <w:lang w:val="en-US" w:eastAsia="zh-CN" w:bidi="ar-SA"/>
        </w:rPr>
      </w:pPr>
    </w:p>
    <w:p w14:paraId="333263F5">
      <w:pPr>
        <w:pStyle w:val="5"/>
        <w:rPr>
          <w:rFonts w:hint="default" w:ascii="Times New Roman" w:hAnsi="Times New Roman" w:eastAsia="方正小标宋简体" w:cs="Times New Roman"/>
          <w:color w:val="auto"/>
          <w:kern w:val="2"/>
          <w:sz w:val="72"/>
          <w:szCs w:val="72"/>
          <w:highlight w:val="none"/>
          <w:lang w:val="en-US" w:eastAsia="zh-CN" w:bidi="ar-SA"/>
        </w:rPr>
      </w:pPr>
    </w:p>
    <w:p w14:paraId="3AF6619A">
      <w:pPr>
        <w:pStyle w:val="5"/>
        <w:rPr>
          <w:rFonts w:hint="default" w:ascii="Times New Roman" w:hAnsi="Times New Roman" w:eastAsia="方正小标宋简体" w:cs="Times New Roman"/>
          <w:color w:val="auto"/>
          <w:kern w:val="2"/>
          <w:sz w:val="72"/>
          <w:szCs w:val="72"/>
          <w:highlight w:val="none"/>
          <w:lang w:val="en-US" w:eastAsia="zh-CN" w:bidi="ar-SA"/>
        </w:rPr>
      </w:pPr>
    </w:p>
    <w:p w14:paraId="1A000389">
      <w:pPr>
        <w:pStyle w:val="5"/>
        <w:spacing w:before="93"/>
        <w:jc w:val="center"/>
        <w:rPr>
          <w:rFonts w:hint="default" w:ascii="Times New Roman" w:hAnsi="Times New Roman" w:eastAsia="方正小标宋简体" w:cs="Times New Roman"/>
          <w:kern w:val="2"/>
          <w:sz w:val="44"/>
          <w:szCs w:val="44"/>
          <w:lang w:val="en-US" w:eastAsia="zh-CN"/>
        </w:rPr>
      </w:pPr>
      <w:r>
        <w:rPr>
          <w:rFonts w:hint="default" w:ascii="Times New Roman" w:hAnsi="Times New Roman" w:eastAsia="方正小标宋简体" w:cs="Times New Roman"/>
          <w:kern w:val="2"/>
          <w:sz w:val="44"/>
          <w:szCs w:val="44"/>
          <w:lang w:val="en-US" w:eastAsia="zh-CN"/>
        </w:rPr>
        <w:t>2025年度</w:t>
      </w:r>
      <w:r>
        <w:rPr>
          <w:rFonts w:hint="default" w:ascii="Times New Roman" w:hAnsi="Times New Roman" w:eastAsia="方正小标宋简体" w:cs="Times New Roman"/>
          <w:kern w:val="2"/>
          <w:sz w:val="44"/>
          <w:szCs w:val="44"/>
        </w:rPr>
        <w:t>市级</w:t>
      </w:r>
      <w:r>
        <w:rPr>
          <w:rFonts w:hint="eastAsia" w:ascii="Times New Roman" w:eastAsia="方正小标宋简体" w:cs="Times New Roman"/>
          <w:kern w:val="2"/>
          <w:sz w:val="44"/>
          <w:szCs w:val="44"/>
          <w:lang w:val="en-US" w:eastAsia="zh-CN"/>
        </w:rPr>
        <w:t>单位</w:t>
      </w:r>
      <w:r>
        <w:rPr>
          <w:rFonts w:hint="default" w:ascii="Times New Roman" w:hAnsi="Times New Roman" w:eastAsia="方正小标宋简体" w:cs="Times New Roman"/>
          <w:kern w:val="2"/>
          <w:sz w:val="44"/>
          <w:szCs w:val="44"/>
          <w:lang w:val="en-US" w:eastAsia="zh-CN"/>
        </w:rPr>
        <w:t>决算</w:t>
      </w:r>
    </w:p>
    <w:p w14:paraId="6A3BD8CD">
      <w:pPr>
        <w:pStyle w:val="5"/>
        <w:spacing w:before="93"/>
        <w:jc w:val="center"/>
        <w:rPr>
          <w:rFonts w:hint="default" w:ascii="Times New Roman" w:hAnsi="Times New Roman" w:eastAsia="方正小标宋简体" w:cs="Times New Roman"/>
          <w:kern w:val="2"/>
          <w:sz w:val="44"/>
          <w:szCs w:val="44"/>
          <w:lang w:val="en-US" w:eastAsia="zh-CN"/>
        </w:rPr>
      </w:pPr>
      <w:r>
        <w:rPr>
          <w:rFonts w:hint="default" w:ascii="Times New Roman" w:hAnsi="Times New Roman" w:eastAsia="方正小标宋简体" w:cs="Times New Roman"/>
          <w:kern w:val="2"/>
          <w:sz w:val="44"/>
          <w:szCs w:val="44"/>
        </w:rPr>
        <w:t>公开编制说明</w:t>
      </w:r>
    </w:p>
    <w:p w14:paraId="1819B009">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4EC44191">
      <w:pPr>
        <w:spacing w:line="600" w:lineRule="exact"/>
        <w:jc w:val="center"/>
        <w:outlineLvl w:val="0"/>
        <w:rPr>
          <w:rFonts w:hint="default" w:ascii="Times New Roman" w:hAnsi="Times New Roman" w:eastAsia="方正小标宋简体" w:cs="Times New Roman"/>
          <w:color w:val="auto"/>
          <w:sz w:val="72"/>
          <w:szCs w:val="72"/>
          <w:highlight w:val="none"/>
        </w:rPr>
      </w:pPr>
    </w:p>
    <w:p w14:paraId="0EDCDDD3">
      <w:pPr>
        <w:pStyle w:val="22"/>
        <w:rPr>
          <w:rFonts w:hint="default" w:ascii="Times New Roman" w:hAnsi="Times New Roman" w:cs="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4EBDF660">
      <w:pPr>
        <w:rPr>
          <w:rFonts w:hint="default" w:ascii="Times New Roman" w:hAnsi="Times New Roman" w:cs="Times New Roman"/>
        </w:rPr>
      </w:pPr>
    </w:p>
    <w:p w14:paraId="0819DDD0">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163CC10D">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06644C18">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52F2FED6">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1B80CAFC">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8FF2E29">
      <w:pPr>
        <w:pStyle w:val="5"/>
        <w:spacing w:before="93"/>
        <w:jc w:val="center"/>
        <w:rPr>
          <w:rFonts w:hint="default" w:ascii="Times New Roman" w:hAnsi="Times New Roman" w:eastAsia="方正小标宋简体" w:cs="Times New Roman"/>
          <w:kern w:val="2"/>
          <w:sz w:val="44"/>
          <w:szCs w:val="44"/>
          <w:lang w:val="en-US" w:eastAsia="zh-CN"/>
        </w:rPr>
      </w:pPr>
      <w:bookmarkStart w:id="6" w:name="_Toc15396476"/>
      <w:bookmarkStart w:id="7" w:name="_Toc15396598"/>
      <w:bookmarkStart w:id="8" w:name="_Toc15377194"/>
      <w:bookmarkStart w:id="9" w:name="_Toc15378442"/>
      <w:bookmarkStart w:id="10" w:name="_Toc15377426"/>
      <w:r>
        <w:rPr>
          <w:rFonts w:hint="default" w:ascii="Times New Roman" w:hAnsi="Times New Roman" w:eastAsia="方正小标宋简体" w:cs="Times New Roman"/>
          <w:kern w:val="2"/>
          <w:sz w:val="44"/>
          <w:szCs w:val="44"/>
        </w:rPr>
        <w:t>2025年度攀枝花市</w:t>
      </w:r>
      <w:bookmarkStart w:id="11" w:name="_Toc15306268"/>
      <w:r>
        <w:rPr>
          <w:rFonts w:hint="default" w:ascii="Times New Roman" w:hAnsi="Times New Roman" w:eastAsia="方正小标宋简体" w:cs="Times New Roman"/>
          <w:kern w:val="2"/>
          <w:sz w:val="44"/>
          <w:szCs w:val="44"/>
          <w:lang w:val="en-US" w:eastAsia="zh-CN"/>
        </w:rPr>
        <w:t>社会保险事务中心</w:t>
      </w:r>
    </w:p>
    <w:p w14:paraId="5E4851D0">
      <w:pPr>
        <w:pStyle w:val="5"/>
        <w:spacing w:before="93"/>
        <w:jc w:val="center"/>
        <w:rPr>
          <w:rFonts w:hint="default" w:ascii="Times New Roman" w:hAnsi="Times New Roman" w:eastAsia="方正小标宋简体" w:cs="Times New Roman"/>
          <w:kern w:val="2"/>
          <w:sz w:val="44"/>
          <w:szCs w:val="44"/>
        </w:rPr>
      </w:pPr>
      <w:r>
        <w:rPr>
          <w:rFonts w:hint="eastAsia" w:ascii="Times New Roman" w:eastAsia="方正小标宋简体" w:cs="Times New Roman"/>
          <w:kern w:val="2"/>
          <w:sz w:val="44"/>
          <w:szCs w:val="44"/>
          <w:lang w:val="en-US" w:eastAsia="zh-CN"/>
        </w:rPr>
        <w:t>单位</w:t>
      </w:r>
      <w:r>
        <w:rPr>
          <w:rFonts w:hint="default" w:ascii="Times New Roman" w:hAnsi="Times New Roman" w:eastAsia="方正小标宋简体" w:cs="Times New Roman"/>
          <w:kern w:val="2"/>
          <w:sz w:val="44"/>
          <w:szCs w:val="44"/>
        </w:rPr>
        <w:t>决算</w:t>
      </w:r>
      <w:bookmarkEnd w:id="6"/>
      <w:bookmarkEnd w:id="7"/>
      <w:bookmarkEnd w:id="8"/>
      <w:bookmarkEnd w:id="9"/>
      <w:bookmarkEnd w:id="10"/>
      <w:bookmarkEnd w:id="11"/>
    </w:p>
    <w:p w14:paraId="6E127F4B">
      <w:pPr>
        <w:widowControl/>
        <w:jc w:val="center"/>
        <w:rPr>
          <w:rFonts w:hint="default" w:ascii="Times New Roman" w:hAnsi="Times New Roman" w:eastAsia="黑体" w:cs="Times New Roman"/>
          <w:color w:val="auto"/>
          <w:sz w:val="48"/>
          <w:szCs w:val="48"/>
          <w:highlight w:val="none"/>
        </w:rPr>
      </w:pPr>
      <w:bookmarkStart w:id="68" w:name="_GoBack"/>
      <w:bookmarkEnd w:id="68"/>
    </w:p>
    <w:p w14:paraId="5D31C6B8">
      <w:pPr>
        <w:widowControl/>
        <w:jc w:val="center"/>
        <w:rPr>
          <w:rFonts w:hint="default" w:ascii="Times New Roman" w:hAnsi="Times New Roman" w:eastAsia="黑体" w:cs="Times New Roman"/>
          <w:color w:val="auto"/>
          <w:sz w:val="48"/>
          <w:szCs w:val="48"/>
          <w:highlight w:val="none"/>
        </w:rPr>
      </w:pPr>
    </w:p>
    <w:p w14:paraId="6BEB212B">
      <w:pPr>
        <w:widowControl/>
        <w:jc w:val="center"/>
        <w:rPr>
          <w:rFonts w:hint="default" w:ascii="Times New Roman" w:hAnsi="Times New Roman" w:eastAsia="黑体" w:cs="Times New Roman"/>
          <w:color w:val="auto"/>
          <w:sz w:val="48"/>
          <w:szCs w:val="48"/>
          <w:highlight w:val="none"/>
        </w:rPr>
      </w:pPr>
    </w:p>
    <w:p w14:paraId="71DAC3BB">
      <w:pPr>
        <w:pStyle w:val="14"/>
        <w:rPr>
          <w:rFonts w:hint="default" w:ascii="Times New Roman" w:hAnsi="Times New Roman" w:eastAsia="黑体" w:cs="Times New Roman"/>
          <w:color w:val="auto"/>
          <w:sz w:val="48"/>
          <w:szCs w:val="48"/>
          <w:highlight w:val="none"/>
        </w:rPr>
      </w:pPr>
    </w:p>
    <w:p w14:paraId="0082F3B4">
      <w:pPr>
        <w:pStyle w:val="7"/>
        <w:rPr>
          <w:rFonts w:hint="default" w:ascii="Times New Roman" w:hAnsi="Times New Roman" w:eastAsia="黑体" w:cs="Times New Roman"/>
          <w:color w:val="auto"/>
          <w:sz w:val="48"/>
          <w:szCs w:val="48"/>
          <w:highlight w:val="none"/>
        </w:rPr>
      </w:pPr>
    </w:p>
    <w:p w14:paraId="03609989">
      <w:pPr>
        <w:rPr>
          <w:rFonts w:hint="default" w:ascii="Times New Roman" w:hAnsi="Times New Roman" w:eastAsia="黑体" w:cs="Times New Roman"/>
          <w:color w:val="auto"/>
          <w:sz w:val="48"/>
          <w:szCs w:val="48"/>
          <w:highlight w:val="none"/>
        </w:rPr>
      </w:pPr>
    </w:p>
    <w:p w14:paraId="74CB8198">
      <w:pPr>
        <w:pStyle w:val="14"/>
        <w:rPr>
          <w:rFonts w:hint="default" w:ascii="Times New Roman" w:hAnsi="Times New Roman" w:eastAsia="黑体" w:cs="Times New Roman"/>
          <w:color w:val="auto"/>
          <w:sz w:val="48"/>
          <w:szCs w:val="48"/>
          <w:highlight w:val="none"/>
        </w:rPr>
      </w:pPr>
    </w:p>
    <w:p w14:paraId="78AC99CA">
      <w:pPr>
        <w:pStyle w:val="7"/>
        <w:rPr>
          <w:rFonts w:hint="default" w:ascii="Times New Roman" w:hAnsi="Times New Roman" w:eastAsia="黑体" w:cs="Times New Roman"/>
          <w:color w:val="auto"/>
          <w:sz w:val="48"/>
          <w:szCs w:val="48"/>
          <w:highlight w:val="none"/>
        </w:rPr>
      </w:pPr>
    </w:p>
    <w:p w14:paraId="6B33D7FE">
      <w:pPr>
        <w:rPr>
          <w:rFonts w:hint="default" w:ascii="Times New Roman" w:hAnsi="Times New Roman" w:eastAsia="黑体" w:cs="Times New Roman"/>
          <w:color w:val="auto"/>
          <w:sz w:val="48"/>
          <w:szCs w:val="48"/>
          <w:highlight w:val="none"/>
        </w:rPr>
      </w:pPr>
    </w:p>
    <w:p w14:paraId="1AA48132">
      <w:pPr>
        <w:pStyle w:val="14"/>
        <w:rPr>
          <w:rFonts w:hint="default" w:ascii="Times New Roman" w:hAnsi="Times New Roman" w:eastAsia="黑体" w:cs="Times New Roman"/>
          <w:color w:val="auto"/>
          <w:sz w:val="48"/>
          <w:szCs w:val="48"/>
          <w:highlight w:val="none"/>
        </w:rPr>
      </w:pPr>
    </w:p>
    <w:p w14:paraId="73D02383">
      <w:pPr>
        <w:pStyle w:val="7"/>
        <w:rPr>
          <w:rFonts w:hint="default" w:ascii="Times New Roman" w:hAnsi="Times New Roman" w:eastAsia="黑体" w:cs="Times New Roman"/>
          <w:color w:val="auto"/>
          <w:sz w:val="48"/>
          <w:szCs w:val="48"/>
          <w:highlight w:val="none"/>
        </w:rPr>
      </w:pPr>
    </w:p>
    <w:p w14:paraId="702A6617">
      <w:pPr>
        <w:rPr>
          <w:rFonts w:hint="default" w:ascii="Times New Roman" w:hAnsi="Times New Roman" w:cs="Times New Roman"/>
        </w:rPr>
      </w:pPr>
    </w:p>
    <w:p w14:paraId="0A80246C">
      <w:pPr>
        <w:widowControl/>
        <w:jc w:val="center"/>
        <w:rPr>
          <w:rFonts w:hint="default" w:ascii="Times New Roman" w:hAnsi="Times New Roman" w:eastAsia="黑体" w:cs="Times New Roman"/>
          <w:color w:val="auto"/>
          <w:sz w:val="48"/>
          <w:szCs w:val="48"/>
          <w:highlight w:val="none"/>
        </w:rPr>
      </w:pPr>
    </w:p>
    <w:p w14:paraId="6E8BD0C2">
      <w:pPr>
        <w:widowControl/>
        <w:jc w:val="center"/>
        <w:rPr>
          <w:rFonts w:hint="default" w:ascii="Times New Roman" w:hAnsi="Times New Roman" w:eastAsia="黑体" w:cs="Times New Roman"/>
          <w:color w:val="auto"/>
          <w:sz w:val="48"/>
          <w:szCs w:val="48"/>
          <w:highlight w:val="none"/>
        </w:rPr>
      </w:pPr>
      <w:r>
        <w:rPr>
          <w:rFonts w:hint="default" w:ascii="Times New Roman" w:hAnsi="Times New Roman" w:eastAsia="黑体" w:cs="Times New Roman"/>
          <w:color w:val="auto"/>
          <w:sz w:val="48"/>
          <w:szCs w:val="48"/>
          <w:highlight w:val="none"/>
        </w:rPr>
        <w:t>目录</w:t>
      </w:r>
    </w:p>
    <w:p w14:paraId="15B89190">
      <w:pPr>
        <w:widowControl/>
        <w:jc w:val="center"/>
        <w:rPr>
          <w:rFonts w:hint="default" w:ascii="Times New Roman" w:hAnsi="Times New Roman" w:eastAsia="黑体" w:cs="Times New Roman"/>
          <w:color w:val="auto"/>
          <w:sz w:val="28"/>
          <w:szCs w:val="28"/>
          <w:highlight w:val="none"/>
        </w:rPr>
      </w:pPr>
    </w:p>
    <w:p w14:paraId="66F06050">
      <w:pPr>
        <w:pStyle w:val="13"/>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公开时间：20</w:t>
      </w:r>
      <w:r>
        <w:rPr>
          <w:rFonts w:hint="default" w:ascii="Times New Roman" w:hAnsi="Times New Roman" w:eastAsia="仿宋_GB2312" w:cs="Times New Roman"/>
          <w:color w:val="auto"/>
          <w:sz w:val="32"/>
          <w:szCs w:val="32"/>
          <w:highlight w:val="none"/>
          <w:lang w:val="en-US" w:eastAsia="zh-CN"/>
        </w:rPr>
        <w:t>26</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rPr>
        <w:t>月</w:t>
      </w:r>
      <w:r>
        <w:rPr>
          <w:rFonts w:hint="default"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z w:val="32"/>
          <w:szCs w:val="32"/>
          <w:highlight w:val="none"/>
        </w:rPr>
        <w:t>日</w:t>
      </w:r>
    </w:p>
    <w:p w14:paraId="583B6CEA">
      <w:pPr>
        <w:rPr>
          <w:rFonts w:hint="default" w:ascii="Times New Roman" w:hAnsi="Times New Roman" w:cs="Times New Roman"/>
          <w:color w:val="auto"/>
          <w:highlight w:val="none"/>
        </w:rPr>
      </w:pPr>
    </w:p>
    <w:p w14:paraId="5ABE91D8">
      <w:pPr>
        <w:pStyle w:val="13"/>
        <w:adjustRightInd w:val="0"/>
        <w:snapToGrid w:val="0"/>
        <w:spacing w:before="0" w:line="440" w:lineRule="exact"/>
        <w:jc w:val="left"/>
        <w:rPr>
          <w:rFonts w:hint="default" w:ascii="Times New Roman" w:hAnsi="Times New Roman" w:cs="Times New Roman"/>
          <w:color w:val="auto"/>
          <w:sz w:val="24"/>
          <w:szCs w:val="24"/>
          <w:highlight w:val="none"/>
        </w:rPr>
      </w:pPr>
      <w:r>
        <w:rPr>
          <w:rFonts w:hint="default" w:ascii="Times New Roman" w:hAnsi="Times New Roman" w:eastAsia="黑体" w:cs="Times New Roman"/>
          <w:color w:val="auto"/>
          <w:sz w:val="32"/>
          <w:szCs w:val="32"/>
          <w:highlight w:val="none"/>
        </w:rPr>
        <w:t>第一部分 部门概况</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48ECE22D">
      <w:pPr>
        <w:pStyle w:val="13"/>
        <w:adjustRightInd w:val="0"/>
        <w:snapToGrid w:val="0"/>
        <w:spacing w:before="0" w:line="440" w:lineRule="exact"/>
        <w:ind w:firstLine="640" w:firstLineChars="200"/>
        <w:jc w:val="left"/>
        <w:rPr>
          <w:rFonts w:hint="default" w:ascii="Times New Roman" w:hAnsi="Times New Roman" w:cs="Times New Roman"/>
          <w:color w:val="auto"/>
          <w:sz w:val="24"/>
          <w:szCs w:val="24"/>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eastAsia="zh-CN"/>
        </w:rPr>
        <w:t>部门职责</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355D486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二、机构设置</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16967733">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第二部分</w:t>
      </w:r>
      <w:r>
        <w:rPr>
          <w:rFonts w:hint="default" w:ascii="Times New Roman" w:hAnsi="Times New Roman" w:eastAsia="黑体" w:cs="Times New Roman"/>
          <w:color w:val="auto"/>
          <w:sz w:val="32"/>
          <w:szCs w:val="32"/>
          <w:highlight w:val="none"/>
          <w:lang w:val="en-US" w:eastAsia="zh-CN"/>
        </w:rPr>
        <w:t xml:space="preserve"> 2025年度</w:t>
      </w:r>
      <w:r>
        <w:rPr>
          <w:rFonts w:hint="default" w:ascii="Times New Roman" w:hAnsi="Times New Roman" w:eastAsia="黑体" w:cs="Times New Roman"/>
          <w:color w:val="auto"/>
          <w:sz w:val="32"/>
          <w:szCs w:val="32"/>
          <w:highlight w:val="none"/>
        </w:rPr>
        <w:t>部门决算情况说明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66312B9D">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一、收入支出决算总体情况说明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0A1C336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二、收入决算情况说明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1A8AB048">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3</w:t>
      </w:r>
    </w:p>
    <w:p w14:paraId="796EA8EB">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四、财政拨款收入支出决算总体情况说明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3</w:t>
      </w:r>
    </w:p>
    <w:p w14:paraId="37EBD1E1">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五、一般公共预算财政拨款支出决算情况说明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4</w:t>
      </w:r>
    </w:p>
    <w:p w14:paraId="6BD2A835">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六、一般公共预算财政拨款基本支出决算情况说明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6</w:t>
      </w:r>
    </w:p>
    <w:p w14:paraId="03A39A5E">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七、财政拨款</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三公”经费支出决算情况说明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7</w:t>
      </w:r>
    </w:p>
    <w:p w14:paraId="324529A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八、政府性基金预算支出决算情况说明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9</w:t>
      </w:r>
    </w:p>
    <w:p w14:paraId="30965CD1">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九、</w:t>
      </w:r>
      <w:r>
        <w:rPr>
          <w:rFonts w:hint="default" w:ascii="Times New Roman" w:hAnsi="Times New Roman" w:eastAsia="仿宋_GB2312" w:cs="Times New Roman"/>
          <w:color w:val="auto"/>
          <w:sz w:val="32"/>
          <w:szCs w:val="32"/>
          <w:highlight w:val="none"/>
          <w:lang w:eastAsia="zh-CN"/>
        </w:rPr>
        <w:t>国</w:t>
      </w:r>
      <w:r>
        <w:rPr>
          <w:rFonts w:hint="default" w:ascii="Times New Roman" w:hAnsi="Times New Roman" w:eastAsia="仿宋_GB2312" w:cs="Times New Roman"/>
          <w:color w:val="auto"/>
          <w:sz w:val="32"/>
          <w:szCs w:val="32"/>
          <w:highlight w:val="none"/>
        </w:rPr>
        <w:t>有资本经营预算支出决算情况说明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9</w:t>
      </w:r>
    </w:p>
    <w:p w14:paraId="0874A17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lang w:eastAsia="zh-CN"/>
        </w:rPr>
        <w:t>十</w:t>
      </w:r>
      <w:r>
        <w:rPr>
          <w:rFonts w:hint="default" w:ascii="Times New Roman" w:hAnsi="Times New Roman" w:eastAsia="仿宋_GB2312" w:cs="Times New Roman"/>
          <w:color w:val="auto"/>
          <w:sz w:val="32"/>
          <w:szCs w:val="32"/>
          <w:highlight w:val="none"/>
        </w:rPr>
        <w:t>、其他重要事项的情况说明</w:t>
      </w:r>
      <w:r>
        <w:rPr>
          <w:rFonts w:hint="default" w:ascii="Times New Roman" w:hAnsi="Times New Roman" w:cs="Times New Roman"/>
          <w:color w:val="auto"/>
          <w:sz w:val="24"/>
          <w:szCs w:val="24"/>
        </w:rPr>
        <w:tab/>
      </w:r>
      <w:r>
        <w:rPr>
          <w:rFonts w:hint="eastAsia" w:cs="Times New Roman"/>
          <w:color w:val="auto"/>
          <w:sz w:val="24"/>
          <w:szCs w:val="24"/>
          <w:lang w:val="en-US" w:eastAsia="zh-CN"/>
        </w:rPr>
        <w:t>10</w:t>
      </w:r>
    </w:p>
    <w:p w14:paraId="6629617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第三部分 名词解释</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13</w:t>
      </w:r>
    </w:p>
    <w:p w14:paraId="59458036">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第四部分 附件</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16</w:t>
      </w:r>
    </w:p>
    <w:p w14:paraId="7A411D2B">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第五部分 附表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ascii="Times New Roman" w:hAnsi="Times New Roman" w:cs="Times New Roman"/>
          <w:color w:val="auto"/>
          <w:sz w:val="24"/>
          <w:szCs w:val="24"/>
          <w:lang w:val="en-US" w:eastAsia="zh-CN"/>
        </w:rPr>
        <w:t>0</w:t>
      </w:r>
    </w:p>
    <w:p w14:paraId="4BB40EFA">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一、收入支出决算总表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AE9A71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二、收入决算表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D0E83D8">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三、支出决算表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69B33D4">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四、财政拨款收入支出决算总表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779F568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pPr>
    </w:p>
    <w:p w14:paraId="62052D4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五、财政拨款支出决算明细表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EC68422">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六、一般公共预算财政拨款支出决算表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1B3CFF85">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七、一般公共预算财政拨款支出决算明细表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38CDD50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八、一般公共预算财政拨款基本支出决算</w:t>
      </w:r>
      <w:r>
        <w:rPr>
          <w:rFonts w:hint="default" w:ascii="Times New Roman" w:hAnsi="Times New Roman" w:eastAsia="仿宋_GB2312" w:cs="Times New Roman"/>
          <w:color w:val="auto"/>
          <w:sz w:val="32"/>
          <w:szCs w:val="32"/>
          <w:highlight w:val="none"/>
          <w:lang w:eastAsia="zh-CN"/>
        </w:rPr>
        <w:t>明细</w:t>
      </w:r>
      <w:r>
        <w:rPr>
          <w:rFonts w:hint="default" w:ascii="Times New Roman" w:hAnsi="Times New Roman" w:eastAsia="仿宋_GB2312" w:cs="Times New Roman"/>
          <w:color w:val="auto"/>
          <w:sz w:val="32"/>
          <w:szCs w:val="32"/>
          <w:highlight w:val="none"/>
        </w:rPr>
        <w:t>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5A94DB5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九、一般公共预算财政拨款项目支出决算表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6ED77E1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十、政府性基金预算财政拨款收入支出决算表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7FE1DCB">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十一、国有资本经营预算财政拨款收入支出决算表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71CDE43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十二、</w:t>
      </w:r>
      <w:r>
        <w:rPr>
          <w:rFonts w:hint="default" w:ascii="Times New Roman" w:hAnsi="Times New Roman" w:eastAsia="仿宋_GB2312" w:cs="Times New Roman"/>
          <w:color w:val="auto"/>
          <w:sz w:val="32"/>
          <w:szCs w:val="32"/>
          <w:highlight w:val="none"/>
          <w:lang w:val="en-US" w:eastAsia="zh-CN"/>
        </w:rPr>
        <w:t>国有资本经营预算财政拨款支出决算表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9E9581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28"/>
          <w:szCs w:val="28"/>
          <w:highlight w:val="none"/>
          <w:lang w:val="en-US"/>
        </w:rPr>
      </w:pPr>
      <w:r>
        <w:rPr>
          <w:rFonts w:hint="default" w:ascii="Times New Roman" w:hAnsi="Times New Roman" w:eastAsia="仿宋_GB2312" w:cs="Times New Roman"/>
          <w:color w:val="auto"/>
          <w:sz w:val="32"/>
          <w:szCs w:val="32"/>
          <w:highlight w:val="none"/>
        </w:rPr>
        <w:t>十三、财政拨款“三公”经费支出决算表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167C63D3">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bookmarkStart w:id="12" w:name="_Toc15396599"/>
      <w:bookmarkStart w:id="13" w:name="_Toc15377196"/>
    </w:p>
    <w:p w14:paraId="6D4BBCE8">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9F35E4C">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7F3C764">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37D24A5B">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4A98E632">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3ED1C6F">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097CDDB7">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6C7022B">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56C84EBF">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7B8832BC">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56DE3580">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4F7BA60">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9C406D8">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3EB75BA">
      <w:pPr>
        <w:pStyle w:val="2"/>
        <w:jc w:val="center"/>
        <w:rPr>
          <w:rFonts w:hint="default" w:ascii="Times New Roman" w:hAnsi="Times New Roman" w:eastAsia="方正小标宋简体" w:cs="Times New Roman"/>
          <w:b w:val="0"/>
          <w:color w:val="auto"/>
          <w:highlight w:val="none"/>
        </w:rPr>
        <w:sectPr>
          <w:footerReference r:id="rId7" w:type="default"/>
          <w:pgSz w:w="11906" w:h="16838"/>
          <w:pgMar w:top="1440" w:right="1800" w:bottom="1440" w:left="1800" w:header="851" w:footer="992" w:gutter="0"/>
          <w:pgNumType w:fmt="decimal" w:start="1"/>
          <w:cols w:space="425" w:num="1"/>
          <w:docGrid w:type="lines" w:linePitch="312" w:charSpace="0"/>
        </w:sectPr>
      </w:pPr>
    </w:p>
    <w:p w14:paraId="1CF5A1E8">
      <w:pPr>
        <w:pStyle w:val="2"/>
        <w:jc w:val="center"/>
        <w:rPr>
          <w:rStyle w:val="31"/>
          <w:rFonts w:hint="default" w:ascii="Times New Roman" w:hAnsi="Times New Roman" w:eastAsia="方正小标宋简体" w:cs="Times New Roman"/>
          <w:b/>
          <w:bCs w:val="0"/>
          <w:color w:val="auto"/>
          <w:highlight w:val="none"/>
        </w:rPr>
      </w:pPr>
      <w:r>
        <w:rPr>
          <w:rFonts w:hint="default" w:ascii="Times New Roman" w:hAnsi="Times New Roman" w:eastAsia="方正小标宋简体" w:cs="Times New Roman"/>
          <w:b w:val="0"/>
          <w:color w:val="auto"/>
          <w:highlight w:val="none"/>
        </w:rPr>
        <w:t>第一部分</w:t>
      </w:r>
      <w:r>
        <w:rPr>
          <w:rFonts w:hint="default" w:ascii="Times New Roman" w:hAnsi="Times New Roman" w:eastAsia="方正小标宋简体" w:cs="Times New Roman"/>
          <w:b w:val="0"/>
          <w:color w:val="auto"/>
          <w:highlight w:val="none"/>
          <w:lang w:val="en-US" w:eastAsia="zh-CN"/>
        </w:rPr>
        <w:t xml:space="preserve"> </w:t>
      </w:r>
      <w:r>
        <w:rPr>
          <w:rFonts w:hint="default" w:ascii="Times New Roman" w:hAnsi="Times New Roman" w:eastAsia="方正小标宋简体" w:cs="Times New Roman"/>
          <w:b w:val="0"/>
          <w:color w:val="auto"/>
          <w:highlight w:val="none"/>
        </w:rPr>
        <w:t xml:space="preserve"> </w:t>
      </w:r>
      <w:r>
        <w:rPr>
          <w:rStyle w:val="31"/>
          <w:rFonts w:hint="default" w:ascii="Times New Roman" w:hAnsi="Times New Roman" w:eastAsia="方正小标宋简体" w:cs="Times New Roman"/>
          <w:b w:val="0"/>
          <w:bCs w:val="0"/>
          <w:color w:val="auto"/>
          <w:highlight w:val="none"/>
        </w:rPr>
        <w:t>部门概况</w:t>
      </w:r>
      <w:bookmarkEnd w:id="12"/>
      <w:bookmarkEnd w:id="13"/>
    </w:p>
    <w:p w14:paraId="24C043D1">
      <w:pPr>
        <w:pStyle w:val="3"/>
        <w:pageBreakBefore w:val="0"/>
        <w:numPr>
          <w:ilvl w:val="0"/>
          <w:numId w:val="0"/>
        </w:numPr>
        <w:kinsoku/>
        <w:wordWrap/>
        <w:overflowPunct/>
        <w:topLinePunct w:val="0"/>
        <w:autoSpaceDE/>
        <w:autoSpaceDN/>
        <w:bidi w:val="0"/>
        <w:adjustRightInd/>
        <w:snapToGrid/>
        <w:spacing w:before="0" w:after="0" w:line="360" w:lineRule="auto"/>
        <w:ind w:firstLine="640" w:firstLineChars="200"/>
        <w:textAlignment w:val="auto"/>
        <w:rPr>
          <w:rFonts w:hint="default" w:ascii="Times New Roman" w:hAnsi="Times New Roman" w:eastAsia="黑体" w:cs="Times New Roman"/>
          <w:b w:val="0"/>
          <w:color w:val="auto"/>
          <w:highlight w:val="none"/>
          <w:lang w:eastAsia="zh-CN"/>
        </w:rPr>
      </w:pPr>
      <w:r>
        <w:rPr>
          <w:rFonts w:hint="default" w:ascii="Times New Roman" w:hAnsi="Times New Roman" w:eastAsia="黑体" w:cs="Times New Roman"/>
          <w:b w:val="0"/>
          <w:color w:val="auto"/>
          <w:highlight w:val="none"/>
          <w:lang w:val="en-US" w:eastAsia="zh-CN"/>
        </w:rPr>
        <w:t>一、</w:t>
      </w:r>
      <w:r>
        <w:rPr>
          <w:rFonts w:hint="default" w:ascii="Times New Roman" w:hAnsi="Times New Roman" w:eastAsia="黑体" w:cs="Times New Roman"/>
          <w:b w:val="0"/>
          <w:color w:val="auto"/>
          <w:highlight w:val="none"/>
          <w:lang w:eastAsia="zh-CN"/>
        </w:rPr>
        <w:t>部门职责</w:t>
      </w:r>
    </w:p>
    <w:p w14:paraId="70188DDC">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sz w:val="32"/>
          <w:szCs w:val="32"/>
          <w:lang w:eastAsia="zh-CN"/>
        </w:rPr>
        <w:t>四川省攀枝花市社会保险事务中心</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1D62118">
      <w:pPr>
        <w:pStyle w:val="3"/>
        <w:pageBreakBefore w:val="0"/>
        <w:kinsoku/>
        <w:wordWrap/>
        <w:overflowPunct/>
        <w:topLinePunct w:val="0"/>
        <w:autoSpaceDE/>
        <w:autoSpaceDN/>
        <w:bidi w:val="0"/>
        <w:adjustRightInd/>
        <w:snapToGrid/>
        <w:spacing w:before="0" w:after="0" w:line="360" w:lineRule="auto"/>
        <w:ind w:firstLine="640" w:firstLineChars="200"/>
        <w:textAlignment w:val="auto"/>
        <w:rPr>
          <w:rStyle w:val="32"/>
          <w:rFonts w:hint="default" w:ascii="Times New Roman" w:hAnsi="Times New Roman" w:cs="Times New Roman"/>
          <w:b w:val="0"/>
          <w:bCs w:val="0"/>
          <w:color w:val="auto"/>
          <w:highlight w:val="none"/>
        </w:rPr>
      </w:pPr>
      <w:bookmarkStart w:id="14" w:name="_Toc15377200"/>
      <w:bookmarkStart w:id="15" w:name="_Toc15396601"/>
      <w:r>
        <w:rPr>
          <w:rFonts w:hint="default" w:ascii="Times New Roman" w:hAnsi="Times New Roman" w:eastAsia="黑体" w:cs="Times New Roman"/>
          <w:b w:val="0"/>
          <w:color w:val="auto"/>
          <w:highlight w:val="none"/>
        </w:rPr>
        <w:t>二、机</w:t>
      </w:r>
      <w:r>
        <w:rPr>
          <w:rStyle w:val="32"/>
          <w:rFonts w:hint="default" w:ascii="Times New Roman" w:hAnsi="Times New Roman" w:eastAsia="黑体" w:cs="Times New Roman"/>
          <w:b w:val="0"/>
          <w:bCs w:val="0"/>
          <w:color w:val="auto"/>
          <w:highlight w:val="none"/>
        </w:rPr>
        <w:t>构设置</w:t>
      </w:r>
      <w:bookmarkEnd w:id="14"/>
      <w:bookmarkEnd w:id="15"/>
    </w:p>
    <w:p w14:paraId="23F3570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left="0" w:leftChars="0" w:right="0" w:rightChars="0" w:firstLine="640" w:firstLineChars="200"/>
        <w:jc w:val="both"/>
        <w:textAlignment w:val="auto"/>
        <w:rPr>
          <w:rFonts w:hint="default" w:ascii="Times New Roman" w:hAnsi="Times New Roman" w:eastAsia="仿宋_GB2312" w:cs="Times New Roman"/>
          <w:i w:val="0"/>
          <w:caps w:val="0"/>
          <w:color w:val="auto"/>
          <w:spacing w:val="0"/>
          <w:kern w:val="2"/>
          <w:sz w:val="32"/>
          <w:szCs w:val="32"/>
          <w:highlight w:val="none"/>
          <w:shd w:val="clear" w:color="auto" w:fill="auto"/>
          <w:lang w:val="en-US" w:eastAsia="zh-CN" w:bidi="ar-SA"/>
        </w:rPr>
      </w:pPr>
      <w:r>
        <w:rPr>
          <w:rFonts w:hint="default" w:ascii="Times New Roman" w:hAnsi="Times New Roman" w:eastAsia="仿宋_GB2312" w:cs="Times New Roman"/>
          <w:color w:val="auto"/>
          <w:sz w:val="32"/>
          <w:szCs w:val="32"/>
          <w:highlight w:val="none"/>
        </w:rPr>
        <w:t>四川省攀枝花市社会保险事务中心</w:t>
      </w:r>
      <w:r>
        <w:rPr>
          <w:rFonts w:hint="default" w:ascii="Times New Roman" w:hAnsi="Times New Roman" w:eastAsia="仿宋_GB2312" w:cs="Times New Roman"/>
          <w:sz w:val="32"/>
          <w:szCs w:val="32"/>
        </w:rPr>
        <w:t>为</w:t>
      </w:r>
      <w:r>
        <w:rPr>
          <w:rFonts w:hint="default" w:ascii="Times New Roman" w:hAnsi="Times New Roman" w:eastAsia="仿宋_GB2312" w:cs="Times New Roman"/>
          <w:color w:val="auto"/>
          <w:sz w:val="32"/>
          <w:szCs w:val="32"/>
        </w:rPr>
        <w:t>《</w:t>
      </w:r>
      <w:r>
        <w:rPr>
          <w:rFonts w:hint="eastAsia" w:eastAsia="仿宋_GB2312" w:cs="Times New Roman"/>
          <w:color w:val="auto"/>
          <w:sz w:val="32"/>
          <w:szCs w:val="32"/>
          <w:lang w:val="en-US" w:eastAsia="zh-CN"/>
        </w:rPr>
        <w:t>四川</w:t>
      </w:r>
      <w:r>
        <w:rPr>
          <w:rFonts w:hint="default" w:ascii="Times New Roman" w:hAnsi="Times New Roman" w:eastAsia="仿宋_GB2312" w:cs="Times New Roman"/>
          <w:color w:val="auto"/>
          <w:sz w:val="32"/>
          <w:szCs w:val="32"/>
        </w:rPr>
        <w:t>省人事厅</w:t>
      </w:r>
      <w:r>
        <w:rPr>
          <w:rFonts w:hint="default" w:ascii="Times New Roman" w:hAnsi="Times New Roman" w:eastAsia="仿宋_GB2312" w:cs="Times New Roman"/>
          <w:sz w:val="32"/>
          <w:szCs w:val="32"/>
        </w:rPr>
        <w:t>关于批准攀枝花市机关事务管理局等39个市属事业单位参照公务员法管理的函》（川人函〔2009〕68号）批准的参照公务员法管理事业单位</w:t>
      </w:r>
      <w:r>
        <w:rPr>
          <w:rFonts w:hint="default" w:ascii="Times New Roman" w:hAnsi="Times New Roman" w:eastAsia="仿宋_GB2312" w:cs="Times New Roman"/>
          <w:sz w:val="32"/>
          <w:szCs w:val="32"/>
          <w:lang w:eastAsia="zh-CN"/>
        </w:rPr>
        <w:t>。</w:t>
      </w:r>
    </w:p>
    <w:p w14:paraId="008134D2">
      <w:pPr>
        <w:widowControl/>
        <w:jc w:val="left"/>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sz w:val="32"/>
          <w:szCs w:val="32"/>
          <w:highlight w:val="none"/>
        </w:rPr>
        <w:br w:type="page"/>
      </w:r>
    </w:p>
    <w:p w14:paraId="788B4BE8">
      <w:pPr>
        <w:pStyle w:val="2"/>
        <w:jc w:val="center"/>
        <w:rPr>
          <w:rFonts w:hint="default" w:ascii="Times New Roman" w:hAnsi="Times New Roman" w:eastAsia="方正小标宋简体" w:cs="Times New Roman"/>
          <w:b w:val="0"/>
          <w:color w:val="auto"/>
          <w:highlight w:val="none"/>
        </w:rPr>
      </w:pPr>
      <w:bookmarkStart w:id="16" w:name="_Toc15396602"/>
      <w:bookmarkStart w:id="17" w:name="_Toc15377204"/>
      <w:r>
        <w:rPr>
          <w:rFonts w:hint="default" w:ascii="Times New Roman" w:hAnsi="Times New Roman" w:eastAsia="方正小标宋简体" w:cs="Times New Roman"/>
          <w:b w:val="0"/>
          <w:color w:val="auto"/>
          <w:highlight w:val="none"/>
        </w:rPr>
        <w:t>第二部分</w:t>
      </w:r>
      <w:r>
        <w:rPr>
          <w:rFonts w:hint="default" w:ascii="Times New Roman" w:hAnsi="Times New Roman" w:eastAsia="方正小标宋简体" w:cs="Times New Roman"/>
          <w:b w:val="0"/>
          <w:color w:val="auto"/>
          <w:highlight w:val="none"/>
          <w:lang w:val="en-US" w:eastAsia="zh-CN"/>
        </w:rPr>
        <w:t xml:space="preserve"> </w:t>
      </w:r>
      <w:r>
        <w:rPr>
          <w:rFonts w:hint="default" w:ascii="Times New Roman" w:hAnsi="Times New Roman" w:eastAsia="方正小标宋简体" w:cs="Times New Roman"/>
          <w:b w:val="0"/>
          <w:color w:val="auto"/>
          <w:highlight w:val="none"/>
        </w:rPr>
        <w:t xml:space="preserve"> </w:t>
      </w:r>
      <w:r>
        <w:rPr>
          <w:rFonts w:hint="default" w:ascii="Times New Roman" w:hAnsi="Times New Roman" w:eastAsia="方正小标宋简体" w:cs="Times New Roman"/>
          <w:b w:val="0"/>
          <w:color w:val="auto"/>
          <w:highlight w:val="none"/>
          <w:lang w:val="en-US" w:eastAsia="zh-CN"/>
        </w:rPr>
        <w:t>2025年度</w:t>
      </w:r>
      <w:r>
        <w:rPr>
          <w:rFonts w:hint="default" w:ascii="Times New Roman" w:hAnsi="Times New Roman" w:eastAsia="方正小标宋简体" w:cs="Times New Roman"/>
          <w:b w:val="0"/>
          <w:color w:val="auto"/>
          <w:highlight w:val="none"/>
        </w:rPr>
        <w:t>部门决算情况说明</w:t>
      </w:r>
      <w:bookmarkEnd w:id="16"/>
      <w:bookmarkEnd w:id="17"/>
    </w:p>
    <w:p w14:paraId="006801E9">
      <w:pPr>
        <w:rPr>
          <w:rFonts w:hint="default" w:ascii="Times New Roman" w:hAnsi="Times New Roman" w:cs="Times New Roman"/>
          <w:color w:val="auto"/>
          <w:highlight w:val="none"/>
        </w:rPr>
      </w:pPr>
    </w:p>
    <w:p w14:paraId="1A7B746D">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18" w:name="_Toc15377205"/>
      <w:bookmarkStart w:id="19" w:name="_Toc15396603"/>
      <w:r>
        <w:rPr>
          <w:rFonts w:hint="default" w:ascii="Times New Roman" w:hAnsi="Times New Roman" w:eastAsia="黑体" w:cs="Times New Roman"/>
          <w:color w:val="auto"/>
          <w:sz w:val="32"/>
          <w:szCs w:val="32"/>
          <w:highlight w:val="none"/>
          <w:lang w:eastAsia="zh-CN"/>
        </w:rPr>
        <w:t>一、</w:t>
      </w:r>
      <w:r>
        <w:rPr>
          <w:rFonts w:hint="default" w:ascii="Times New Roman" w:hAnsi="Times New Roman" w:eastAsia="黑体" w:cs="Times New Roman"/>
          <w:color w:val="auto"/>
          <w:sz w:val="32"/>
          <w:szCs w:val="32"/>
          <w:highlight w:val="none"/>
        </w:rPr>
        <w:t>收</w:t>
      </w:r>
      <w:r>
        <w:rPr>
          <w:rStyle w:val="32"/>
          <w:rFonts w:hint="default" w:ascii="Times New Roman" w:hAnsi="Times New Roman" w:eastAsia="黑体" w:cs="Times New Roman"/>
          <w:b w:val="0"/>
          <w:color w:val="auto"/>
          <w:highlight w:val="none"/>
        </w:rPr>
        <w:t>入支出决算总体情况说明</w:t>
      </w:r>
      <w:bookmarkEnd w:id="18"/>
      <w:bookmarkEnd w:id="19"/>
    </w:p>
    <w:p w14:paraId="20A05509">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lang w:eastAsia="zh-CN"/>
        </w:rPr>
        <w:t>2025年度收入</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支出</w:t>
      </w:r>
      <w:r>
        <w:rPr>
          <w:rFonts w:hint="default" w:ascii="Times New Roman" w:hAnsi="Times New Roman" w:eastAsia="仿宋_GB2312" w:cs="Times New Roman"/>
          <w:color w:val="auto"/>
          <w:sz w:val="32"/>
          <w:szCs w:val="32"/>
          <w:highlight w:val="none"/>
        </w:rPr>
        <w:t>总计</w:t>
      </w:r>
      <w:r>
        <w:rPr>
          <w:rFonts w:hint="default" w:ascii="Times New Roman" w:hAnsi="Times New Roman" w:eastAsia="仿宋_GB2312" w:cs="Times New Roman"/>
          <w:color w:val="auto"/>
          <w:sz w:val="32"/>
          <w:szCs w:val="32"/>
          <w:highlight w:val="none"/>
          <w:lang w:eastAsia="zh-CN"/>
        </w:rPr>
        <w:t>均为</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rPr>
        <w:t>万元。与</w:t>
      </w:r>
      <w:r>
        <w:rPr>
          <w:rFonts w:hint="default" w:ascii="Times New Roman" w:hAnsi="Times New Roman" w:eastAsia="仿宋_GB2312" w:cs="Times New Roman"/>
          <w:color w:val="auto"/>
          <w:sz w:val="32"/>
          <w:szCs w:val="32"/>
          <w:highlight w:val="none"/>
          <w:lang w:eastAsia="zh-CN"/>
        </w:rPr>
        <w:t>上</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相比，</w:t>
      </w:r>
      <w:r>
        <w:rPr>
          <w:rFonts w:hint="default" w:ascii="Times New Roman" w:hAnsi="Times New Roman" w:eastAsia="仿宋_GB2312" w:cs="Times New Roman"/>
          <w:color w:val="auto"/>
          <w:sz w:val="32"/>
          <w:szCs w:val="32"/>
          <w:highlight w:val="none"/>
          <w:lang w:eastAsia="zh-CN"/>
        </w:rPr>
        <w:t>收入</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支出</w:t>
      </w:r>
      <w:r>
        <w:rPr>
          <w:rFonts w:hint="default" w:ascii="Times New Roman" w:hAnsi="Times New Roman" w:eastAsia="仿宋_GB2312" w:cs="Times New Roman"/>
          <w:color w:val="auto"/>
          <w:sz w:val="32"/>
          <w:szCs w:val="32"/>
          <w:highlight w:val="none"/>
        </w:rPr>
        <w:t>总计各增加</w:t>
      </w:r>
      <w:r>
        <w:rPr>
          <w:rFonts w:hint="default" w:ascii="Times New Roman" w:hAnsi="Times New Roman" w:eastAsia="仿宋_GB2312" w:cs="Times New Roman"/>
          <w:color w:val="auto"/>
          <w:sz w:val="32"/>
          <w:szCs w:val="32"/>
          <w:highlight w:val="none"/>
          <w:lang w:val="en-US" w:eastAsia="zh-CN"/>
        </w:rPr>
        <w:t>68.77</w:t>
      </w:r>
      <w:r>
        <w:rPr>
          <w:rFonts w:hint="default" w:ascii="Times New Roman" w:hAnsi="Times New Roman" w:eastAsia="仿宋_GB2312" w:cs="Times New Roman"/>
          <w:color w:val="auto"/>
          <w:sz w:val="32"/>
          <w:szCs w:val="32"/>
          <w:highlight w:val="none"/>
        </w:rPr>
        <w:t>万元，增长</w:t>
      </w:r>
      <w:r>
        <w:rPr>
          <w:rFonts w:hint="default" w:ascii="Times New Roman" w:hAnsi="Times New Roman" w:eastAsia="仿宋_GB2312" w:cs="Times New Roman"/>
          <w:color w:val="auto"/>
          <w:sz w:val="32"/>
          <w:szCs w:val="32"/>
          <w:highlight w:val="none"/>
          <w:lang w:val="en-US" w:eastAsia="zh-CN"/>
        </w:rPr>
        <w:t>4.64</w:t>
      </w:r>
      <w:r>
        <w:rPr>
          <w:rFonts w:hint="default" w:ascii="Times New Roman" w:hAnsi="Times New Roman" w:eastAsia="仿宋_GB2312" w:cs="Times New Roman"/>
          <w:color w:val="auto"/>
          <w:sz w:val="32"/>
          <w:szCs w:val="32"/>
          <w:highlight w:val="none"/>
        </w:rPr>
        <w:t>%。主要变动原因是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229FF75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cs="Times New Roman"/>
        </w:rPr>
        <w:drawing>
          <wp:inline distT="0" distB="0" distL="114300" distR="114300">
            <wp:extent cx="4826000" cy="2742565"/>
            <wp:effectExtent l="4445" t="4445" r="8255" b="1524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92CA6C">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黑体" w:cs="Times New Roman"/>
          <w:color w:val="auto"/>
          <w:sz w:val="32"/>
          <w:szCs w:val="32"/>
          <w:highlight w:val="none"/>
          <w:lang w:eastAsia="zh-CN"/>
        </w:rPr>
      </w:pPr>
      <w:bookmarkStart w:id="20" w:name="_Toc15396604"/>
      <w:bookmarkStart w:id="21" w:name="_Toc15377206"/>
      <w:r>
        <w:rPr>
          <w:rFonts w:hint="default" w:ascii="Times New Roman" w:hAnsi="Times New Roman" w:eastAsia="黑体" w:cs="Times New Roman"/>
          <w:color w:val="auto"/>
          <w:sz w:val="32"/>
          <w:szCs w:val="32"/>
          <w:highlight w:val="none"/>
          <w:lang w:eastAsia="zh-CN"/>
        </w:rPr>
        <w:t>二、收入决算情况说明</w:t>
      </w:r>
      <w:bookmarkEnd w:id="20"/>
      <w:bookmarkEnd w:id="21"/>
    </w:p>
    <w:p w14:paraId="5DA024B8">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2025年度本年收入合计</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lang w:eastAsia="zh-CN"/>
        </w:rPr>
        <w:t>万元，其中：一般公共预算财政拨款收入</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99.99</w:t>
      </w:r>
      <w:r>
        <w:rPr>
          <w:rFonts w:hint="default" w:ascii="Times New Roman" w:hAnsi="Times New Roman" w:eastAsia="仿宋_GB2312" w:cs="Times New Roman"/>
          <w:color w:val="auto"/>
          <w:sz w:val="32"/>
          <w:szCs w:val="32"/>
          <w:highlight w:val="none"/>
          <w:lang w:eastAsia="zh-CN"/>
        </w:rPr>
        <w:t>%；其他收入</w:t>
      </w:r>
      <w:r>
        <w:rPr>
          <w:rFonts w:hint="default" w:ascii="Times New Roman" w:hAnsi="Times New Roman" w:eastAsia="仿宋_GB2312" w:cs="Times New Roman"/>
          <w:sz w:val="32"/>
          <w:szCs w:val="32"/>
        </w:rPr>
        <w:t>0.03</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en-US" w:eastAsia="zh-CN"/>
        </w:rPr>
        <w:t>.01</w:t>
      </w:r>
      <w:r>
        <w:rPr>
          <w:rFonts w:hint="default" w:ascii="Times New Roman" w:hAnsi="Times New Roman" w:eastAsia="仿宋_GB2312" w:cs="Times New Roman"/>
          <w:color w:val="auto"/>
          <w:sz w:val="32"/>
          <w:szCs w:val="32"/>
          <w:highlight w:val="none"/>
          <w:lang w:eastAsia="zh-CN"/>
        </w:rPr>
        <w:t>%。</w:t>
      </w:r>
    </w:p>
    <w:p w14:paraId="24F29E70">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200" w:hanging="210" w:hangingChars="100"/>
        <w:jc w:val="left"/>
        <w:textAlignment w:val="auto"/>
        <w:outlineLvl w:val="1"/>
        <w:rPr>
          <w:rStyle w:val="32"/>
          <w:rFonts w:hint="default" w:ascii="Times New Roman" w:hAnsi="Times New Roman" w:eastAsia="黑体" w:cs="Times New Roman"/>
          <w:b w:val="0"/>
          <w:color w:val="auto"/>
          <w:highlight w:val="none"/>
        </w:rPr>
      </w:pPr>
      <w:bookmarkStart w:id="22" w:name="_Toc15377207"/>
      <w:bookmarkStart w:id="23" w:name="_Toc15396605"/>
      <w:r>
        <w:rPr>
          <w:rFonts w:hint="default" w:ascii="Times New Roman" w:hAnsi="Times New Roman" w:cs="Times New Roman"/>
        </w:rPr>
        <w:drawing>
          <wp:inline distT="0" distB="0" distL="114300" distR="114300">
            <wp:extent cx="4826000" cy="2743200"/>
            <wp:effectExtent l="4445" t="4445" r="8255" b="527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hint="default" w:ascii="Times New Roman" w:hAnsi="Times New Roman" w:eastAsia="黑体" w:cs="Times New Roman"/>
          <w:color w:val="auto"/>
          <w:sz w:val="32"/>
          <w:szCs w:val="32"/>
          <w:highlight w:val="none"/>
          <w:lang w:eastAsia="zh-CN"/>
        </w:rPr>
        <w:t>三、</w:t>
      </w:r>
      <w:r>
        <w:rPr>
          <w:rFonts w:hint="default" w:ascii="Times New Roman" w:hAnsi="Times New Roman" w:eastAsia="黑体" w:cs="Times New Roman"/>
          <w:color w:val="auto"/>
          <w:sz w:val="32"/>
          <w:szCs w:val="32"/>
          <w:highlight w:val="none"/>
        </w:rPr>
        <w:t>支</w:t>
      </w:r>
      <w:r>
        <w:rPr>
          <w:rStyle w:val="32"/>
          <w:rFonts w:hint="default" w:ascii="Times New Roman" w:hAnsi="Times New Roman" w:eastAsia="黑体" w:cs="Times New Roman"/>
          <w:b w:val="0"/>
          <w:color w:val="auto"/>
          <w:highlight w:val="none"/>
        </w:rPr>
        <w:t>出决算情况说明</w:t>
      </w:r>
      <w:bookmarkEnd w:id="22"/>
      <w:bookmarkEnd w:id="23"/>
    </w:p>
    <w:p w14:paraId="0B5DBCE5">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center"/>
        <w:textAlignment w:val="auto"/>
        <w:outlineLvl w:val="1"/>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2025年度本年支出合计</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lang w:eastAsia="zh-CN"/>
        </w:rPr>
        <w:t>万元，其中：基本支出</w:t>
      </w:r>
      <w:r>
        <w:rPr>
          <w:rFonts w:hint="default" w:ascii="Times New Roman" w:hAnsi="Times New Roman" w:eastAsia="仿宋_GB2312" w:cs="Times New Roman"/>
          <w:sz w:val="32"/>
          <w:szCs w:val="32"/>
        </w:rPr>
        <w:t>1462.72</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94.3</w:t>
      </w:r>
      <w:r>
        <w:rPr>
          <w:rFonts w:hint="eastAsia"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highlight w:val="none"/>
          <w:lang w:eastAsia="zh-CN"/>
        </w:rPr>
        <w:t>%；项目支出</w:t>
      </w:r>
      <w:r>
        <w:rPr>
          <w:rFonts w:hint="default" w:ascii="Times New Roman" w:hAnsi="Times New Roman" w:eastAsia="仿宋_GB2312" w:cs="Times New Roman"/>
          <w:sz w:val="32"/>
          <w:szCs w:val="32"/>
        </w:rPr>
        <w:t>88.1</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5.68</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cs="Times New Roman"/>
        </w:rPr>
        <w:drawing>
          <wp:inline distT="0" distB="0" distL="114300" distR="114300">
            <wp:extent cx="4826000" cy="2743200"/>
            <wp:effectExtent l="4445" t="4445" r="8255" b="5270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162AE8">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24" w:name="_Toc15396606"/>
      <w:bookmarkStart w:id="25" w:name="_Toc15377208"/>
      <w:r>
        <w:rPr>
          <w:rFonts w:hint="default" w:ascii="Times New Roman" w:hAnsi="Times New Roman" w:eastAsia="黑体" w:cs="Times New Roman"/>
          <w:color w:val="auto"/>
          <w:sz w:val="32"/>
          <w:szCs w:val="32"/>
          <w:highlight w:val="none"/>
        </w:rPr>
        <w:t>四、财</w:t>
      </w:r>
      <w:r>
        <w:rPr>
          <w:rStyle w:val="32"/>
          <w:rFonts w:hint="default" w:ascii="Times New Roman" w:hAnsi="Times New Roman" w:eastAsia="黑体" w:cs="Times New Roman"/>
          <w:b w:val="0"/>
          <w:color w:val="auto"/>
          <w:highlight w:val="none"/>
        </w:rPr>
        <w:t>政拨款收入支出决算总体情况说明</w:t>
      </w:r>
      <w:bookmarkEnd w:id="24"/>
      <w:bookmarkEnd w:id="25"/>
    </w:p>
    <w:p w14:paraId="71A1F4B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2025年度财政拨款收入、支出总计均为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万元。与上年度相比，财政拨款收入、支出总计各增加68.77万元，增长4.64%。主要变动原因是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750BA5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14DE5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26" w:name="_Toc15396607"/>
      <w:bookmarkStart w:id="27" w:name="_Toc15377209"/>
      <w:r>
        <w:rPr>
          <w:rFonts w:hint="default" w:ascii="Times New Roman" w:hAnsi="Times New Roman" w:eastAsia="黑体" w:cs="Times New Roman"/>
          <w:color w:val="auto"/>
          <w:sz w:val="32"/>
          <w:szCs w:val="32"/>
          <w:highlight w:val="none"/>
        </w:rPr>
        <w:t>五、</w:t>
      </w:r>
      <w:r>
        <w:rPr>
          <w:rFonts w:hint="default" w:ascii="Times New Roman" w:hAnsi="Times New Roman" w:eastAsia="黑体" w:cs="Times New Roman"/>
          <w:b/>
          <w:color w:val="auto"/>
          <w:sz w:val="32"/>
          <w:szCs w:val="32"/>
          <w:highlight w:val="none"/>
        </w:rPr>
        <w:t>一</w:t>
      </w:r>
      <w:r>
        <w:rPr>
          <w:rStyle w:val="32"/>
          <w:rFonts w:hint="default" w:ascii="Times New Roman" w:hAnsi="Times New Roman" w:eastAsia="黑体" w:cs="Times New Roman"/>
          <w:b w:val="0"/>
          <w:color w:val="auto"/>
          <w:highlight w:val="none"/>
        </w:rPr>
        <w:t>般公共预算财政拨款支出决算情况说明</w:t>
      </w:r>
      <w:bookmarkEnd w:id="26"/>
      <w:bookmarkEnd w:id="27"/>
    </w:p>
    <w:p w14:paraId="64362FE2">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28" w:name="_Toc15377210"/>
      <w:r>
        <w:rPr>
          <w:rFonts w:hint="default" w:ascii="Times New Roman" w:hAnsi="Times New Roman" w:eastAsia="楷体_GB2312" w:cs="Times New Roman"/>
          <w:b/>
          <w:color w:val="auto"/>
          <w:sz w:val="32"/>
          <w:szCs w:val="32"/>
          <w:highlight w:val="none"/>
        </w:rPr>
        <w:t>（一）一般公共预算财政拨款支出决算总体情况</w:t>
      </w:r>
      <w:bookmarkEnd w:id="28"/>
    </w:p>
    <w:p w14:paraId="73C6A26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2025年度一般公共预算财政拨款支出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万元，占本年支出合计的</w:t>
      </w:r>
      <w:r>
        <w:rPr>
          <w:rFonts w:hint="default" w:ascii="Times New Roman" w:hAnsi="Times New Roman" w:eastAsia="仿宋_GB2312" w:cs="Times New Roman"/>
          <w:sz w:val="32"/>
          <w:szCs w:val="32"/>
        </w:rPr>
        <w:t>99.99</w:t>
      </w:r>
      <w:r>
        <w:rPr>
          <w:rFonts w:hint="default" w:ascii="Times New Roman" w:hAnsi="Times New Roman" w:eastAsia="仿宋_GB2312" w:cs="Times New Roman"/>
          <w:color w:val="auto"/>
          <w:kern w:val="2"/>
          <w:sz w:val="32"/>
          <w:szCs w:val="32"/>
          <w:highlight w:val="none"/>
          <w:lang w:val="en-US" w:eastAsia="zh-CN" w:bidi="ar-SA"/>
        </w:rPr>
        <w:t>%。与上年度相比，一般公共预算财政拨款支出增加68.77万元，增长4.64%。主要变动原因是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61253E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8"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FC515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29" w:name="_Toc15377211"/>
      <w:r>
        <w:rPr>
          <w:rFonts w:hint="default" w:ascii="Times New Roman" w:hAnsi="Times New Roman" w:eastAsia="楷体_GB2312" w:cs="Times New Roman"/>
          <w:b/>
          <w:color w:val="auto"/>
          <w:sz w:val="32"/>
          <w:szCs w:val="32"/>
          <w:highlight w:val="none"/>
        </w:rPr>
        <w:t>（二）一般公共预算财政拨款支出决算结构情况</w:t>
      </w:r>
      <w:bookmarkEnd w:id="29"/>
    </w:p>
    <w:p w14:paraId="67BE513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b/>
          <w:bCs/>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2025年度一般公共预算财政拨款支出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万元，主要用于以下方面：一般公共服务支出13.69万元，占0.88%；社会保障和就业支出1367.05万元，占88.15%；卫生健康支出75.93万元，占4.9%；住房保障支出94.12万元，占6.07%</w:t>
      </w:r>
      <w:r>
        <w:rPr>
          <w:rFonts w:hint="default" w:ascii="Times New Roman" w:hAnsi="Times New Roman" w:eastAsia="仿宋_GB2312" w:cs="Times New Roman"/>
          <w:b/>
          <w:bCs/>
          <w:color w:val="auto"/>
          <w:kern w:val="2"/>
          <w:sz w:val="32"/>
          <w:szCs w:val="32"/>
          <w:highlight w:val="none"/>
          <w:lang w:val="en-US" w:eastAsia="zh-CN" w:bidi="ar-SA"/>
        </w:rPr>
        <w:t>。</w:t>
      </w:r>
    </w:p>
    <w:p w14:paraId="17E5DF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F498B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0" w:name="_Toc15377212"/>
      <w:r>
        <w:rPr>
          <w:rFonts w:hint="default" w:ascii="Times New Roman" w:hAnsi="Times New Roman" w:eastAsia="楷体_GB2312" w:cs="Times New Roman"/>
          <w:b/>
          <w:color w:val="auto"/>
          <w:sz w:val="32"/>
          <w:szCs w:val="32"/>
          <w:highlight w:val="none"/>
        </w:rPr>
        <w:t>（三）一般公共预算财政拨款支出决算具体情况</w:t>
      </w:r>
      <w:bookmarkEnd w:id="30"/>
    </w:p>
    <w:p w14:paraId="4BBF776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bookmarkStart w:id="31" w:name="_Toc15378460"/>
      <w:bookmarkStart w:id="32" w:name="_Toc15377444"/>
      <w:bookmarkStart w:id="33" w:name="_Toc15377213"/>
      <w:r>
        <w:rPr>
          <w:rFonts w:hint="default" w:ascii="Times New Roman" w:hAnsi="Times New Roman" w:eastAsia="仿宋_GB2312" w:cs="Times New Roman"/>
          <w:color w:val="auto"/>
          <w:kern w:val="2"/>
          <w:sz w:val="32"/>
          <w:szCs w:val="32"/>
          <w:highlight w:val="none"/>
          <w:lang w:val="en-US" w:eastAsia="zh-CN" w:bidi="ar-SA"/>
        </w:rPr>
        <w:t>2025年度一般公共预算支出决算数为1550.79</w:t>
      </w:r>
      <w:r>
        <w:rPr>
          <w:rFonts w:hint="eastAsia" w:eastAsia="仿宋_GB2312" w:cs="Times New Roman"/>
          <w:color w:val="auto"/>
          <w:kern w:val="2"/>
          <w:sz w:val="32"/>
          <w:szCs w:val="32"/>
          <w:highlight w:val="none"/>
          <w:lang w:val="en-US" w:eastAsia="zh-CN" w:bidi="ar-SA"/>
        </w:rPr>
        <w:t>万元</w:t>
      </w:r>
      <w:r>
        <w:rPr>
          <w:rFonts w:hint="default" w:ascii="Times New Roman" w:hAnsi="Times New Roman" w:eastAsia="仿宋_GB2312" w:cs="Times New Roman"/>
          <w:color w:val="auto"/>
          <w:kern w:val="2"/>
          <w:sz w:val="32"/>
          <w:szCs w:val="32"/>
          <w:highlight w:val="none"/>
          <w:lang w:val="en-US" w:eastAsia="zh-CN" w:bidi="ar-SA"/>
        </w:rPr>
        <w:t>，完成预算100%。其中：</w:t>
      </w:r>
      <w:bookmarkEnd w:id="31"/>
      <w:bookmarkEnd w:id="32"/>
      <w:bookmarkEnd w:id="33"/>
    </w:p>
    <w:p w14:paraId="1A080571">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1.一般公共服务（类）组织事务（款）其他组织事务支出（项）：支出决算为13.69万元，完成预算100%，决算数等于预算数。</w:t>
      </w:r>
    </w:p>
    <w:p w14:paraId="0644E7C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bookmarkStart w:id="34" w:name="_Toc15396608"/>
      <w:bookmarkStart w:id="35" w:name="_Toc15377214"/>
      <w:r>
        <w:rPr>
          <w:rFonts w:hint="default" w:ascii="Times New Roman" w:hAnsi="Times New Roman" w:eastAsia="仿宋_GB2312" w:cs="Times New Roman"/>
          <w:color w:val="auto"/>
          <w:kern w:val="2"/>
          <w:sz w:val="32"/>
          <w:szCs w:val="32"/>
          <w:highlight w:val="none"/>
          <w:lang w:val="en-US" w:eastAsia="zh-CN" w:bidi="ar-SA"/>
        </w:rPr>
        <w:t>2.社会保障和就业支出（类）人力资源和社会保障管理事务（款）行政运行（项）:支出决算为991.4</w:t>
      </w:r>
      <w:r>
        <w:rPr>
          <w:rFonts w:hint="eastAsia" w:eastAsia="仿宋_GB2312" w:cs="Times New Roman"/>
          <w:color w:val="auto"/>
          <w:kern w:val="2"/>
          <w:sz w:val="32"/>
          <w:szCs w:val="32"/>
          <w:highlight w:val="none"/>
          <w:lang w:val="en-US" w:eastAsia="zh-CN" w:bidi="ar-SA"/>
        </w:rPr>
        <w:t>6</w:t>
      </w:r>
      <w:r>
        <w:rPr>
          <w:rFonts w:hint="default" w:ascii="Times New Roman" w:hAnsi="Times New Roman" w:eastAsia="仿宋_GB2312" w:cs="Times New Roman"/>
          <w:color w:val="auto"/>
          <w:kern w:val="2"/>
          <w:sz w:val="32"/>
          <w:szCs w:val="32"/>
          <w:highlight w:val="none"/>
          <w:lang w:val="en-US" w:eastAsia="zh-CN" w:bidi="ar-SA"/>
        </w:rPr>
        <w:t>万元，完成预算100%，决算数等于预算数。</w:t>
      </w:r>
    </w:p>
    <w:p w14:paraId="6DDB9F8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3.社会保障和就业支出（类）人力资源和社会保障管理事务（款）社会保险经办机构（项）:支出决算为140.59万元，完成预算100%，决算数等于预算数。</w:t>
      </w:r>
    </w:p>
    <w:p w14:paraId="56DFF71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4.社会保障和就业支出（类）行政事业单位养老支出（款）行政单位离退休（项）:支出决算为103.77万元，完成预算100%，决算数等于预算数。</w:t>
      </w:r>
    </w:p>
    <w:p w14:paraId="6705B5E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5.社会保障和就业支出（类）行政事业单位养老支出（款）机关事业单位基本养老保险缴费支出（项）:支出决算为115.07万元，完成预算100%，决算数等于预算数。</w:t>
      </w:r>
    </w:p>
    <w:p w14:paraId="0A75BAB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6.社会保障和就业支出（类）行政事业单位养老支出（款）机关事业单位职业年金缴费支出（项）:支出决算为16.16万元，完成预算100%，决算数等于预算数。</w:t>
      </w:r>
    </w:p>
    <w:p w14:paraId="5F3683D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7.卫生健康支出（类）行政事业单位医疗（款）行政单位医疗（项）:支出决算为61.36万元，完成预算100%，决算数等于预算数。</w:t>
      </w:r>
    </w:p>
    <w:p w14:paraId="45D12DB4">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8.卫生健康支出（类）行政事业单位医疗（款）公务员医疗补助（项）:支出决算为6.84万元，完成预算100%，决算数等于预算数。</w:t>
      </w:r>
    </w:p>
    <w:p w14:paraId="43D5BDE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9.卫生健康支出（类）行政事业单位医疗（款）其他行政事业单位医疗支出（项）:支出决算为7.73万元，完成预算100%，决算数等于预算数。</w:t>
      </w:r>
    </w:p>
    <w:p w14:paraId="01638C6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10.住房保障支出（类）住房改革支出（款）住房公积金（项）:支出决算为94.12万元，完成预算100%，决算数等于预算数。</w:t>
      </w:r>
    </w:p>
    <w:p w14:paraId="7250657C">
      <w:pPr>
        <w:keepNext w:val="0"/>
        <w:keepLines w:val="0"/>
        <w:pageBreakBefore w:val="0"/>
        <w:widowControl w:val="0"/>
        <w:tabs>
          <w:tab w:val="right" w:pos="8306"/>
        </w:tabs>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cs="Times New Roman"/>
          <w:color w:val="auto"/>
          <w:highlight w:val="none"/>
        </w:rPr>
      </w:pPr>
      <w:r>
        <w:rPr>
          <w:rFonts w:hint="default" w:ascii="Times New Roman" w:hAnsi="Times New Roman" w:eastAsia="黑体" w:cs="Times New Roman"/>
          <w:color w:val="auto"/>
          <w:sz w:val="32"/>
          <w:szCs w:val="32"/>
          <w:highlight w:val="none"/>
        </w:rPr>
        <w:t>六</w:t>
      </w:r>
      <w:r>
        <w:rPr>
          <w:rFonts w:hint="default" w:ascii="Times New Roman" w:hAnsi="Times New Roman" w:eastAsia="黑体" w:cs="Times New Roman"/>
          <w:b/>
          <w:color w:val="auto"/>
          <w:sz w:val="32"/>
          <w:szCs w:val="32"/>
          <w:highlight w:val="none"/>
        </w:rPr>
        <w:t>、一</w:t>
      </w:r>
      <w:r>
        <w:rPr>
          <w:rStyle w:val="32"/>
          <w:rFonts w:hint="default" w:ascii="Times New Roman" w:hAnsi="Times New Roman" w:eastAsia="黑体" w:cs="Times New Roman"/>
          <w:b w:val="0"/>
          <w:color w:val="auto"/>
          <w:highlight w:val="none"/>
        </w:rPr>
        <w:t>般公共预算财政拨款基本支出决算情况说明</w:t>
      </w:r>
      <w:bookmarkEnd w:id="34"/>
      <w:bookmarkEnd w:id="35"/>
      <w:r>
        <w:rPr>
          <w:rStyle w:val="32"/>
          <w:rFonts w:hint="default" w:ascii="Times New Roman" w:hAnsi="Times New Roman" w:eastAsia="黑体" w:cs="Times New Roman"/>
          <w:b w:val="0"/>
          <w:color w:val="auto"/>
          <w:highlight w:val="none"/>
        </w:rPr>
        <w:tab/>
      </w:r>
    </w:p>
    <w:p w14:paraId="55BA181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2025年度一般公共预算财政拨款基本支出</w:t>
      </w:r>
      <w:r>
        <w:rPr>
          <w:rFonts w:hint="default" w:ascii="Times New Roman" w:hAnsi="Times New Roman" w:eastAsia="仿宋_GB2312" w:cs="Times New Roman"/>
          <w:sz w:val="32"/>
          <w:szCs w:val="32"/>
        </w:rPr>
        <w:t>1462.69</w:t>
      </w:r>
      <w:r>
        <w:rPr>
          <w:rFonts w:hint="default" w:ascii="Times New Roman" w:hAnsi="Times New Roman" w:eastAsia="仿宋_GB2312" w:cs="Times New Roman"/>
          <w:color w:val="auto"/>
          <w:kern w:val="2"/>
          <w:sz w:val="32"/>
          <w:szCs w:val="32"/>
          <w:highlight w:val="none"/>
          <w:lang w:val="en-US" w:eastAsia="zh-CN" w:bidi="ar-SA"/>
        </w:rPr>
        <w:t>万元，其中：</w:t>
      </w:r>
    </w:p>
    <w:p w14:paraId="6F2D951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人员经费</w:t>
      </w:r>
      <w:r>
        <w:rPr>
          <w:rFonts w:hint="default" w:ascii="Times New Roman" w:hAnsi="Times New Roman" w:eastAsia="仿宋_GB2312" w:cs="Times New Roman"/>
          <w:sz w:val="32"/>
          <w:szCs w:val="32"/>
        </w:rPr>
        <w:t>1332.84</w:t>
      </w:r>
      <w:r>
        <w:rPr>
          <w:rFonts w:hint="default" w:ascii="Times New Roman" w:hAnsi="Times New Roman" w:eastAsia="仿宋_GB2312" w:cs="Times New Roman"/>
          <w:color w:val="auto"/>
          <w:kern w:val="2"/>
          <w:sz w:val="32"/>
          <w:szCs w:val="32"/>
          <w:highlight w:val="none"/>
          <w:lang w:val="en-US" w:eastAsia="zh-CN" w:bidi="ar-SA"/>
        </w:rPr>
        <w:t>万元，主要包括：基本工资、津贴补贴、奖金、机关事业单位基本养老保险缴费、职业年金缴费、职工基本医疗保险缴费、公务员医疗补助缴费、其他社会保障缴费、其他工资福利支出、生活补助、医疗费补助、奖励金、住房公积金、其他对个人和家庭的补助支出。</w:t>
      </w:r>
      <w:r>
        <w:rPr>
          <w:rFonts w:hint="default" w:ascii="Times New Roman" w:hAnsi="Times New Roman" w:eastAsia="仿宋_GB2312" w:cs="Times New Roman"/>
          <w:color w:val="auto"/>
          <w:kern w:val="2"/>
          <w:sz w:val="32"/>
          <w:szCs w:val="32"/>
          <w:highlight w:val="none"/>
          <w:lang w:val="en-US" w:eastAsia="zh-CN" w:bidi="ar-SA"/>
        </w:rPr>
        <w:br w:type="textWrapping"/>
      </w:r>
      <w:r>
        <w:rPr>
          <w:rFonts w:hint="default" w:ascii="Times New Roman" w:hAnsi="Times New Roman" w:eastAsia="仿宋_GB2312" w:cs="Times New Roman"/>
          <w:color w:val="auto"/>
          <w:kern w:val="2"/>
          <w:sz w:val="32"/>
          <w:szCs w:val="32"/>
          <w:highlight w:val="none"/>
          <w:lang w:val="en-US" w:eastAsia="zh-CN" w:bidi="ar-SA"/>
        </w:rPr>
        <w:t>　　公用经费</w:t>
      </w:r>
      <w:r>
        <w:rPr>
          <w:rFonts w:hint="default" w:ascii="Times New Roman" w:hAnsi="Times New Roman" w:eastAsia="仿宋_GB2312" w:cs="Times New Roman"/>
          <w:sz w:val="32"/>
          <w:szCs w:val="32"/>
        </w:rPr>
        <w:t>129.85</w:t>
      </w:r>
      <w:r>
        <w:rPr>
          <w:rFonts w:hint="default" w:ascii="Times New Roman" w:hAnsi="Times New Roman" w:eastAsia="仿宋_GB2312" w:cs="Times New Roman"/>
          <w:color w:val="auto"/>
          <w:kern w:val="2"/>
          <w:sz w:val="32"/>
          <w:szCs w:val="32"/>
          <w:highlight w:val="none"/>
          <w:lang w:val="en-US" w:eastAsia="zh-CN" w:bidi="ar-SA"/>
        </w:rPr>
        <w:t>万元，主要包括：办公费、印刷费、邮电费、差旅费、维修（护）费、培训费、公务接待费、工会经费、福利费、公务用车运行维护费、其他交通费、其他商品和服务支出。</w:t>
      </w:r>
    </w:p>
    <w:p w14:paraId="0CC61164">
      <w:pPr>
        <w:keepNext w:val="0"/>
        <w:keepLines w:val="0"/>
        <w:pageBreakBefore w:val="0"/>
        <w:widowControl w:val="0"/>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eastAsia="黑体" w:cs="Times New Roman"/>
          <w:b w:val="0"/>
          <w:color w:val="auto"/>
          <w:highlight w:val="none"/>
        </w:rPr>
      </w:pPr>
      <w:bookmarkStart w:id="36" w:name="_Toc15396609"/>
      <w:bookmarkStart w:id="37" w:name="_Toc15377215"/>
      <w:r>
        <w:rPr>
          <w:rFonts w:hint="default" w:ascii="Times New Roman" w:hAnsi="Times New Roman" w:eastAsia="黑体" w:cs="Times New Roman"/>
          <w:color w:val="auto"/>
          <w:sz w:val="32"/>
          <w:szCs w:val="32"/>
          <w:highlight w:val="none"/>
        </w:rPr>
        <w:t>七、</w:t>
      </w:r>
      <w:r>
        <w:rPr>
          <w:rStyle w:val="32"/>
          <w:rFonts w:hint="default" w:ascii="Times New Roman" w:hAnsi="Times New Roman" w:eastAsia="黑体" w:cs="Times New Roman"/>
          <w:b w:val="0"/>
          <w:color w:val="auto"/>
          <w:highlight w:val="none"/>
        </w:rPr>
        <w:t>财政拨款</w:t>
      </w:r>
      <w:r>
        <w:rPr>
          <w:rStyle w:val="32"/>
          <w:rFonts w:hint="default" w:ascii="Times New Roman" w:hAnsi="Times New Roman" w:eastAsia="黑体" w:cs="Times New Roman"/>
          <w:color w:val="auto"/>
          <w:highlight w:val="none"/>
        </w:rPr>
        <w:t>“</w:t>
      </w:r>
      <w:r>
        <w:rPr>
          <w:rStyle w:val="32"/>
          <w:rFonts w:hint="default" w:ascii="Times New Roman" w:hAnsi="Times New Roman" w:eastAsia="黑体" w:cs="Times New Roman"/>
          <w:b w:val="0"/>
          <w:color w:val="auto"/>
          <w:highlight w:val="none"/>
        </w:rPr>
        <w:t>三公”经费支出决算情况说明</w:t>
      </w:r>
      <w:bookmarkEnd w:id="36"/>
      <w:bookmarkEnd w:id="37"/>
    </w:p>
    <w:p w14:paraId="0E20870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8" w:name="_Toc15377216"/>
      <w:r>
        <w:rPr>
          <w:rFonts w:hint="default" w:ascii="Times New Roman" w:hAnsi="Times New Roman" w:eastAsia="楷体_GB2312" w:cs="Times New Roman"/>
          <w:b/>
          <w:color w:val="auto"/>
          <w:sz w:val="32"/>
          <w:szCs w:val="32"/>
          <w:highlight w:val="none"/>
        </w:rPr>
        <w:t>（一）财政拨款“三公”经费支出决算总体情况说明</w:t>
      </w:r>
      <w:bookmarkEnd w:id="38"/>
    </w:p>
    <w:p w14:paraId="004F7599">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2025年度财政拨款“三公”经费支出决算为</w:t>
      </w:r>
      <w:r>
        <w:rPr>
          <w:rFonts w:hint="default" w:ascii="Times New Roman" w:hAnsi="Times New Roman" w:eastAsia="仿宋_GB2312" w:cs="Times New Roman"/>
          <w:sz w:val="32"/>
          <w:szCs w:val="32"/>
        </w:rPr>
        <w:t>1.62</w:t>
      </w:r>
      <w:r>
        <w:rPr>
          <w:rFonts w:hint="default" w:ascii="Times New Roman" w:hAnsi="Times New Roman" w:eastAsia="仿宋_GB2312" w:cs="Times New Roman"/>
          <w:color w:val="auto"/>
          <w:kern w:val="2"/>
          <w:sz w:val="32"/>
          <w:szCs w:val="32"/>
          <w:highlight w:val="none"/>
          <w:lang w:val="en-US" w:eastAsia="zh-CN" w:bidi="ar-SA"/>
        </w:rPr>
        <w:t>万元，完成预算</w:t>
      </w:r>
      <w:r>
        <w:rPr>
          <w:rFonts w:hint="default" w:ascii="Times New Roman" w:hAnsi="Times New Roman" w:eastAsia="仿宋_GB2312" w:cs="Times New Roman"/>
          <w:sz w:val="32"/>
          <w:szCs w:val="32"/>
        </w:rPr>
        <w:t>100</w:t>
      </w:r>
      <w:r>
        <w:rPr>
          <w:rFonts w:hint="default" w:ascii="Times New Roman" w:hAnsi="Times New Roman" w:eastAsia="仿宋_GB2312" w:cs="Times New Roman"/>
          <w:color w:val="auto"/>
          <w:kern w:val="2"/>
          <w:sz w:val="32"/>
          <w:szCs w:val="32"/>
          <w:highlight w:val="none"/>
          <w:lang w:val="en-US" w:eastAsia="zh-CN" w:bidi="ar-SA"/>
        </w:rPr>
        <w:t>%，较上年度减少0.62万元，下降27.68%。</w:t>
      </w:r>
      <w:r>
        <w:rPr>
          <w:rFonts w:hint="default" w:ascii="Times New Roman" w:hAnsi="Times New Roman" w:eastAsia="仿宋" w:cs="Times New Roman"/>
          <w:color w:val="auto"/>
          <w:sz w:val="32"/>
          <w:szCs w:val="32"/>
        </w:rPr>
        <w:t>决算数与预算数持平。</w:t>
      </w:r>
    </w:p>
    <w:p w14:paraId="6E485C04">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9" w:name="_Toc15377217"/>
      <w:r>
        <w:rPr>
          <w:rFonts w:hint="default" w:ascii="Times New Roman" w:hAnsi="Times New Roman" w:eastAsia="楷体_GB2312" w:cs="Times New Roman"/>
          <w:b/>
          <w:color w:val="auto"/>
          <w:sz w:val="32"/>
          <w:szCs w:val="32"/>
          <w:highlight w:val="none"/>
        </w:rPr>
        <w:t>（二）财政拨款“三公”经费支出决算具体情况说明</w:t>
      </w:r>
      <w:bookmarkEnd w:id="39"/>
    </w:p>
    <w:p w14:paraId="34A98C2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2025年度财政拨款“三公”经费支出决算中，因公出国（境）费支出决算</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万元，占0%；公务用车购置及运行维护费支出决算</w:t>
      </w:r>
      <w:r>
        <w:rPr>
          <w:rFonts w:hint="default" w:ascii="Times New Roman" w:hAnsi="Times New Roman" w:eastAsia="仿宋_GB2312" w:cs="Times New Roman"/>
          <w:sz w:val="32"/>
          <w:szCs w:val="32"/>
        </w:rPr>
        <w:t>1.12</w:t>
      </w:r>
      <w:r>
        <w:rPr>
          <w:rFonts w:hint="default" w:ascii="Times New Roman" w:hAnsi="Times New Roman" w:eastAsia="仿宋_GB2312" w:cs="Times New Roman"/>
          <w:color w:val="auto"/>
          <w:kern w:val="2"/>
          <w:sz w:val="32"/>
          <w:szCs w:val="32"/>
          <w:highlight w:val="none"/>
          <w:lang w:val="en-US" w:eastAsia="zh-CN" w:bidi="ar-SA"/>
        </w:rPr>
        <w:t>万元，占69.14%；公务接待费支出决算</w:t>
      </w:r>
      <w:r>
        <w:rPr>
          <w:rFonts w:hint="default" w:ascii="Times New Roman" w:hAnsi="Times New Roman" w:eastAsia="仿宋_GB2312" w:cs="Times New Roman"/>
          <w:sz w:val="32"/>
          <w:szCs w:val="32"/>
        </w:rPr>
        <w:t>0.5</w:t>
      </w:r>
      <w:r>
        <w:rPr>
          <w:rFonts w:hint="default" w:ascii="Times New Roman" w:hAnsi="Times New Roman" w:eastAsia="仿宋_GB2312" w:cs="Times New Roman"/>
          <w:color w:val="auto"/>
          <w:kern w:val="2"/>
          <w:sz w:val="32"/>
          <w:szCs w:val="32"/>
          <w:highlight w:val="none"/>
          <w:lang w:val="en-US" w:eastAsia="zh-CN" w:bidi="ar-SA"/>
        </w:rPr>
        <w:t>万元，占30.86%。具体情况如下：</w:t>
      </w:r>
    </w:p>
    <w:p w14:paraId="04F759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rPr>
      </w:pPr>
      <w:r>
        <w:rPr>
          <w:rFonts w:hint="default" w:ascii="Times New Roman" w:hAnsi="Times New Roman" w:cs="Times New Roman"/>
        </w:rPr>
        <w:drawing>
          <wp:inline distT="0" distB="0" distL="114300" distR="114300">
            <wp:extent cx="4826000" cy="2743200"/>
            <wp:effectExtent l="4445" t="4445" r="8255" b="52705"/>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F89DB4">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both"/>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1.因公出国（境）经费支出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b/>
          <w:bCs/>
          <w:color w:val="auto"/>
          <w:kern w:val="2"/>
          <w:sz w:val="32"/>
          <w:szCs w:val="32"/>
          <w:highlight w:val="none"/>
          <w:lang w:val="en-US" w:eastAsia="zh-CN" w:bidi="ar-SA"/>
        </w:rPr>
        <w:t>万元，完成预算0%。</w:t>
      </w:r>
      <w:r>
        <w:rPr>
          <w:rFonts w:hint="default" w:ascii="Times New Roman" w:hAnsi="Times New Roman" w:eastAsia="仿宋_GB2312" w:cs="Times New Roman"/>
          <w:color w:val="auto"/>
          <w:kern w:val="2"/>
          <w:sz w:val="32"/>
          <w:szCs w:val="32"/>
          <w:highlight w:val="none"/>
          <w:lang w:val="en-US" w:eastAsia="zh-CN" w:bidi="ar-SA"/>
        </w:rPr>
        <w:t>全年安排因公出国（境）团组</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次，出国（境）</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人。因公出国（境）支出决算比上年度</w:t>
      </w:r>
      <w:r>
        <w:rPr>
          <w:rFonts w:hint="default" w:ascii="Times New Roman" w:hAnsi="Times New Roman" w:eastAsia="仿宋_GB2312" w:cs="Times New Roman"/>
          <w:color w:val="auto"/>
          <w:sz w:val="32"/>
          <w:szCs w:val="32"/>
          <w:highlight w:val="none"/>
        </w:rPr>
        <w:t>增加</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万元，增长</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w:t>
      </w:r>
    </w:p>
    <w:p w14:paraId="67F8F31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2.公务用车购置及运行维护费支出1.12万元，完成预算100%。</w:t>
      </w:r>
      <w:r>
        <w:rPr>
          <w:rFonts w:hint="default" w:ascii="Times New Roman" w:hAnsi="Times New Roman" w:eastAsia="仿宋_GB2312" w:cs="Times New Roman"/>
          <w:color w:val="auto"/>
          <w:kern w:val="2"/>
          <w:sz w:val="32"/>
          <w:szCs w:val="32"/>
          <w:highlight w:val="none"/>
          <w:lang w:val="en-US" w:eastAsia="zh-CN" w:bidi="ar-SA"/>
        </w:rPr>
        <w:t>公务用车购置及运行维护费支出决算比上年度减少0.01万元，下降0.88%。主要原因是车辆维修减少。</w:t>
      </w:r>
    </w:p>
    <w:p w14:paraId="2ABD6087">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其中：公务用车购置支出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万元。全年按规定更新购置公务用车0辆，其中：轿车0辆、金额0万元，越野车0辆、金额0万元，载客汽车0辆、金额0万元。截至2025年12月31日，单位共有公务用车1辆，其中：轿车1辆、越野车0辆、载客汽车0辆。</w:t>
      </w:r>
    </w:p>
    <w:p w14:paraId="10EC6BC7">
      <w:pPr>
        <w:keepNext w:val="0"/>
        <w:keepLines w:val="0"/>
        <w:pageBreakBefore w:val="0"/>
        <w:widowControl w:val="0"/>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2"/>
          <w:sz w:val="32"/>
          <w:szCs w:val="32"/>
          <w:highlight w:val="none"/>
          <w:lang w:val="en-US" w:eastAsia="zh-CN" w:bidi="ar-SA"/>
        </w:rPr>
        <w:t>公务用车运行维护费支出</w:t>
      </w:r>
      <w:r>
        <w:rPr>
          <w:rFonts w:hint="default" w:ascii="Times New Roman" w:hAnsi="Times New Roman" w:eastAsia="仿宋_GB2312" w:cs="Times New Roman"/>
          <w:sz w:val="32"/>
          <w:szCs w:val="32"/>
        </w:rPr>
        <w:t>1.12</w:t>
      </w:r>
      <w:r>
        <w:rPr>
          <w:rFonts w:hint="default" w:ascii="Times New Roman" w:hAnsi="Times New Roman" w:eastAsia="仿宋_GB2312" w:cs="Times New Roman"/>
          <w:color w:val="auto"/>
          <w:kern w:val="2"/>
          <w:sz w:val="32"/>
          <w:szCs w:val="32"/>
          <w:highlight w:val="none"/>
          <w:lang w:val="en-US" w:eastAsia="zh-CN" w:bidi="ar-SA"/>
        </w:rPr>
        <w:t>万元。主要</w:t>
      </w:r>
      <w:r>
        <w:rPr>
          <w:rFonts w:hint="default" w:ascii="Times New Roman" w:hAnsi="Times New Roman" w:eastAsia="仿宋_GB2312" w:cs="Times New Roman"/>
          <w:color w:val="auto"/>
          <w:sz w:val="32"/>
          <w:szCs w:val="32"/>
        </w:rPr>
        <w:t>用于</w:t>
      </w:r>
      <w:r>
        <w:rPr>
          <w:rFonts w:hint="default" w:ascii="Times New Roman" w:hAnsi="Times New Roman" w:eastAsia="仿宋_GB2312" w:cs="Times New Roman"/>
          <w:color w:val="auto"/>
          <w:sz w:val="32"/>
          <w:szCs w:val="32"/>
          <w:lang w:eastAsia="zh-CN"/>
        </w:rPr>
        <w:t>工伤预防到</w:t>
      </w:r>
      <w:r>
        <w:rPr>
          <w:rFonts w:hint="default" w:ascii="Times New Roman" w:hAnsi="Times New Roman" w:eastAsia="仿宋_GB2312" w:cs="Times New Roman"/>
          <w:color w:val="auto"/>
          <w:sz w:val="32"/>
          <w:szCs w:val="32"/>
        </w:rPr>
        <w:t>厂矿、企业、医疗机构开展调查取证、现场勘验和常规急救等专业技术工作等所需的公务用车燃料费、维修费、过路过桥费、保险费等支出。</w:t>
      </w:r>
    </w:p>
    <w:p w14:paraId="77816D0A">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3.公务接待费支出0.5万元，完成预算100%。</w:t>
      </w:r>
      <w:r>
        <w:rPr>
          <w:rFonts w:hint="default" w:ascii="Times New Roman" w:hAnsi="Times New Roman" w:eastAsia="仿宋_GB2312" w:cs="Times New Roman"/>
          <w:color w:val="auto"/>
          <w:kern w:val="2"/>
          <w:sz w:val="32"/>
          <w:szCs w:val="32"/>
          <w:highlight w:val="none"/>
          <w:lang w:val="en-US" w:eastAsia="zh-CN" w:bidi="ar-SA"/>
        </w:rPr>
        <w:t>公务接待费支出决算比上年度减少0.61万元，下降54.95%。</w:t>
      </w:r>
      <w:r>
        <w:rPr>
          <w:rFonts w:hint="default" w:ascii="Times New Roman" w:hAnsi="Times New Roman" w:eastAsia="仿宋_GB2312" w:cs="Times New Roman"/>
          <w:color w:val="000000"/>
          <w:sz w:val="32"/>
          <w:szCs w:val="32"/>
          <w:highlight w:val="none"/>
        </w:rPr>
        <w:t>主要原因是</w:t>
      </w:r>
      <w:r>
        <w:rPr>
          <w:rFonts w:hint="default" w:ascii="Times New Roman" w:hAnsi="Times New Roman" w:eastAsia="仿宋_GB2312" w:cs="Times New Roman"/>
          <w:color w:val="000000"/>
          <w:sz w:val="32"/>
          <w:szCs w:val="32"/>
          <w:highlight w:val="none"/>
          <w:lang w:eastAsia="zh-CN"/>
        </w:rPr>
        <w:t>接待批次和人数比</w:t>
      </w:r>
      <w:r>
        <w:rPr>
          <w:rFonts w:hint="default" w:ascii="Times New Roman" w:hAnsi="Times New Roman" w:eastAsia="仿宋_GB2312" w:cs="Times New Roman"/>
          <w:color w:val="000000"/>
          <w:sz w:val="32"/>
          <w:szCs w:val="32"/>
          <w:highlight w:val="none"/>
          <w:lang w:val="en-US" w:eastAsia="zh-CN"/>
        </w:rPr>
        <w:t>2024年度减少。</w:t>
      </w:r>
      <w:r>
        <w:rPr>
          <w:rFonts w:hint="default" w:ascii="Times New Roman" w:hAnsi="Times New Roman" w:eastAsia="仿宋_GB2312" w:cs="Times New Roman"/>
          <w:color w:val="auto"/>
          <w:kern w:val="2"/>
          <w:sz w:val="32"/>
          <w:szCs w:val="32"/>
          <w:highlight w:val="none"/>
          <w:lang w:val="en-US" w:eastAsia="zh-CN" w:bidi="ar-SA"/>
        </w:rPr>
        <w:t>其中：</w:t>
      </w:r>
    </w:p>
    <w:p w14:paraId="343F75C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国内公务接待支出</w:t>
      </w:r>
      <w:r>
        <w:rPr>
          <w:rFonts w:hint="default" w:ascii="Times New Roman" w:hAnsi="Times New Roman" w:eastAsia="仿宋_GB2312" w:cs="Times New Roman"/>
          <w:sz w:val="32"/>
          <w:szCs w:val="32"/>
        </w:rPr>
        <w:t>0.5</w:t>
      </w:r>
      <w:r>
        <w:rPr>
          <w:rFonts w:hint="default" w:ascii="Times New Roman" w:hAnsi="Times New Roman" w:eastAsia="仿宋_GB2312" w:cs="Times New Roman"/>
          <w:color w:val="auto"/>
          <w:kern w:val="2"/>
          <w:sz w:val="32"/>
          <w:szCs w:val="32"/>
          <w:highlight w:val="none"/>
          <w:lang w:val="en-US" w:eastAsia="zh-CN" w:bidi="ar-SA"/>
        </w:rPr>
        <w:t>万元，主要用于</w:t>
      </w:r>
      <w:r>
        <w:rPr>
          <w:rFonts w:hint="default" w:ascii="Times New Roman" w:hAnsi="Times New Roman" w:eastAsia="仿宋_GB2312" w:cs="Times New Roman"/>
          <w:color w:val="000000"/>
          <w:sz w:val="32"/>
          <w:szCs w:val="32"/>
        </w:rPr>
        <w:t>接待</w:t>
      </w:r>
      <w:r>
        <w:rPr>
          <w:rFonts w:hint="default" w:ascii="Times New Roman" w:hAnsi="Times New Roman" w:eastAsia="仿宋_GB2312" w:cs="Times New Roman"/>
          <w:color w:val="000000"/>
          <w:sz w:val="32"/>
          <w:szCs w:val="32"/>
          <w:lang w:val="en-US" w:eastAsia="zh-CN"/>
        </w:rPr>
        <w:t>人力资源社会保障</w:t>
      </w:r>
      <w:r>
        <w:rPr>
          <w:rFonts w:hint="default" w:ascii="Times New Roman" w:hAnsi="Times New Roman" w:eastAsia="仿宋_GB2312" w:cs="Times New Roman"/>
          <w:color w:val="000000"/>
          <w:sz w:val="32"/>
          <w:szCs w:val="32"/>
        </w:rPr>
        <w:t>厅、省</w:t>
      </w:r>
      <w:r>
        <w:rPr>
          <w:rFonts w:hint="default" w:ascii="Times New Roman" w:hAnsi="Times New Roman" w:eastAsia="仿宋_GB2312" w:cs="Times New Roman"/>
          <w:color w:val="000000"/>
          <w:sz w:val="32"/>
          <w:szCs w:val="32"/>
          <w:lang w:val="en-US" w:eastAsia="zh-CN"/>
        </w:rPr>
        <w:t>社会保险管理</w:t>
      </w:r>
      <w:r>
        <w:rPr>
          <w:rFonts w:hint="default" w:ascii="Times New Roman" w:hAnsi="Times New Roman" w:eastAsia="仿宋_GB2312" w:cs="Times New Roman"/>
          <w:color w:val="000000"/>
          <w:sz w:val="32"/>
          <w:szCs w:val="32"/>
        </w:rPr>
        <w:t>局领导</w:t>
      </w:r>
      <w:r>
        <w:rPr>
          <w:rFonts w:hint="default" w:ascii="Times New Roman" w:hAnsi="Times New Roman" w:eastAsia="仿宋_GB2312" w:cs="Times New Roman"/>
          <w:color w:val="000000"/>
          <w:sz w:val="32"/>
          <w:szCs w:val="32"/>
          <w:lang w:eastAsia="zh-CN"/>
        </w:rPr>
        <w:t>和</w:t>
      </w:r>
      <w:r>
        <w:rPr>
          <w:rFonts w:hint="default" w:ascii="Times New Roman" w:hAnsi="Times New Roman" w:eastAsia="仿宋_GB2312" w:cs="Times New Roman"/>
          <w:color w:val="000000"/>
          <w:sz w:val="32"/>
          <w:szCs w:val="32"/>
        </w:rPr>
        <w:t>其他地市州单位</w:t>
      </w:r>
      <w:r>
        <w:rPr>
          <w:rFonts w:hint="default" w:ascii="Times New Roman" w:hAnsi="Times New Roman" w:eastAsia="仿宋_GB2312" w:cs="Times New Roman"/>
          <w:color w:val="000000"/>
          <w:sz w:val="32"/>
          <w:szCs w:val="32"/>
          <w:lang w:eastAsia="zh-CN"/>
        </w:rPr>
        <w:t>检查、</w:t>
      </w:r>
      <w:r>
        <w:rPr>
          <w:rFonts w:hint="default" w:ascii="Times New Roman" w:hAnsi="Times New Roman" w:eastAsia="仿宋_GB2312" w:cs="Times New Roman"/>
          <w:color w:val="000000"/>
          <w:sz w:val="32"/>
          <w:szCs w:val="32"/>
        </w:rPr>
        <w:t>调研用餐费。</w:t>
      </w:r>
      <w:r>
        <w:rPr>
          <w:rFonts w:hint="default" w:ascii="Times New Roman" w:hAnsi="Times New Roman" w:eastAsia="仿宋_GB2312" w:cs="Times New Roman"/>
          <w:color w:val="auto"/>
          <w:kern w:val="2"/>
          <w:sz w:val="32"/>
          <w:szCs w:val="32"/>
          <w:highlight w:val="none"/>
          <w:lang w:val="en-US" w:eastAsia="zh-CN" w:bidi="ar-SA"/>
        </w:rPr>
        <w:t>国内公务接待</w:t>
      </w:r>
      <w:r>
        <w:rPr>
          <w:rFonts w:hint="default" w:ascii="Times New Roman" w:hAnsi="Times New Roman" w:eastAsia="仿宋_GB2312" w:cs="Times New Roman"/>
          <w:sz w:val="32"/>
          <w:szCs w:val="32"/>
        </w:rPr>
        <w:t>4</w:t>
      </w:r>
      <w:r>
        <w:rPr>
          <w:rFonts w:hint="default" w:ascii="Times New Roman" w:hAnsi="Times New Roman" w:eastAsia="仿宋_GB2312" w:cs="Times New Roman"/>
          <w:color w:val="auto"/>
          <w:kern w:val="2"/>
          <w:sz w:val="32"/>
          <w:szCs w:val="32"/>
          <w:highlight w:val="none"/>
          <w:lang w:val="en-US" w:eastAsia="zh-CN" w:bidi="ar-SA"/>
        </w:rPr>
        <w:t>批次，</w:t>
      </w:r>
      <w:r>
        <w:rPr>
          <w:rFonts w:hint="eastAsia" w:ascii="Times New Roman" w:hAnsi="Times New Roman" w:eastAsia="仿宋_GB2312" w:cs="Times New Roman"/>
          <w:sz w:val="32"/>
          <w:szCs w:val="32"/>
          <w:lang w:val="en-US" w:eastAsia="zh-CN"/>
        </w:rPr>
        <w:t>17</w:t>
      </w:r>
      <w:r>
        <w:rPr>
          <w:rFonts w:hint="default" w:ascii="Times New Roman" w:hAnsi="Times New Roman" w:eastAsia="仿宋_GB2312" w:cs="Times New Roman"/>
          <w:color w:val="auto"/>
          <w:kern w:val="2"/>
          <w:sz w:val="32"/>
          <w:szCs w:val="32"/>
          <w:highlight w:val="none"/>
          <w:lang w:val="en-US" w:eastAsia="zh-CN" w:bidi="ar-SA"/>
        </w:rPr>
        <w:t>人次（不包括陪同人员），共计支出0.5万元，具体内容包括：</w:t>
      </w:r>
    </w:p>
    <w:p w14:paraId="2009CB9C">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（1）接待</w:t>
      </w:r>
      <w:r>
        <w:rPr>
          <w:rFonts w:hint="default" w:ascii="Times New Roman" w:hAnsi="Times New Roman" w:eastAsia="仿宋_GB2312" w:cs="Times New Roman"/>
          <w:color w:val="auto"/>
          <w:sz w:val="32"/>
          <w:szCs w:val="32"/>
          <w:lang w:val="en-US" w:eastAsia="zh-CN"/>
        </w:rPr>
        <w:t>人力资源社会保障</w:t>
      </w:r>
      <w:r>
        <w:rPr>
          <w:rFonts w:hint="default" w:ascii="Times New Roman" w:hAnsi="Times New Roman" w:eastAsia="仿宋_GB2312" w:cs="Times New Roman"/>
          <w:color w:val="auto"/>
          <w:sz w:val="32"/>
          <w:szCs w:val="32"/>
          <w:lang w:eastAsia="zh-CN"/>
        </w:rPr>
        <w:t>厅</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参加工伤保险就医智能监审信息系统终验</w:t>
      </w:r>
      <w:r>
        <w:rPr>
          <w:rFonts w:hint="default" w:ascii="Times New Roman" w:hAnsi="Times New Roman" w:eastAsia="仿宋_GB2312" w:cs="Times New Roman"/>
          <w:color w:val="auto"/>
          <w:sz w:val="32"/>
          <w:szCs w:val="32"/>
          <w:lang w:eastAsia="zh-CN"/>
        </w:rPr>
        <w:t>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1050</w:t>
      </w:r>
      <w:r>
        <w:rPr>
          <w:rFonts w:hint="default" w:ascii="Times New Roman" w:hAnsi="Times New Roman" w:eastAsia="仿宋_GB2312" w:cs="Times New Roman"/>
          <w:color w:val="auto"/>
          <w:sz w:val="32"/>
          <w:szCs w:val="32"/>
        </w:rPr>
        <w:t>元。</w:t>
      </w:r>
    </w:p>
    <w:p w14:paraId="2230BD75">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（2）接待</w:t>
      </w:r>
      <w:r>
        <w:rPr>
          <w:rFonts w:hint="default" w:ascii="Times New Roman" w:hAnsi="Times New Roman" w:eastAsia="仿宋_GB2312" w:cs="Times New Roman"/>
          <w:color w:val="auto"/>
          <w:sz w:val="32"/>
          <w:szCs w:val="32"/>
          <w:lang w:eastAsia="zh-CN"/>
        </w:rPr>
        <w:t>省</w:t>
      </w:r>
      <w:r>
        <w:rPr>
          <w:rFonts w:hint="default" w:ascii="Times New Roman" w:hAnsi="Times New Roman" w:eastAsia="仿宋_GB2312" w:cs="Times New Roman"/>
          <w:color w:val="auto"/>
          <w:sz w:val="32"/>
          <w:szCs w:val="32"/>
          <w:lang w:val="en-US" w:eastAsia="zh-CN"/>
        </w:rPr>
        <w:t>社会保险管理</w:t>
      </w:r>
      <w:r>
        <w:rPr>
          <w:rFonts w:hint="default" w:ascii="Times New Roman" w:hAnsi="Times New Roman" w:eastAsia="仿宋_GB2312" w:cs="Times New Roman"/>
          <w:color w:val="auto"/>
          <w:sz w:val="32"/>
          <w:szCs w:val="32"/>
          <w:lang w:eastAsia="zh-CN"/>
        </w:rPr>
        <w:t>局</w:t>
      </w:r>
      <w:r>
        <w:rPr>
          <w:rFonts w:hint="eastAsia" w:eastAsia="仿宋_GB2312" w:cs="Times New Roman"/>
          <w:color w:val="auto"/>
          <w:sz w:val="32"/>
          <w:szCs w:val="32"/>
          <w:lang w:val="en-US" w:eastAsia="zh-CN"/>
        </w:rPr>
        <w:t>8</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调研社保待遇集中发放</w:t>
      </w:r>
      <w:r>
        <w:rPr>
          <w:rFonts w:hint="default" w:ascii="Times New Roman" w:hAnsi="Times New Roman" w:eastAsia="仿宋_GB2312" w:cs="Times New Roman"/>
          <w:color w:val="auto"/>
          <w:sz w:val="32"/>
          <w:szCs w:val="32"/>
        </w:rPr>
        <w:t>工作，公务接待支出</w:t>
      </w:r>
      <w:r>
        <w:rPr>
          <w:rFonts w:hint="eastAsia" w:ascii="Times New Roman" w:hAnsi="Times New Roman" w:eastAsia="仿宋_GB2312" w:cs="Times New Roman"/>
          <w:color w:val="auto"/>
          <w:sz w:val="32"/>
          <w:szCs w:val="32"/>
          <w:lang w:val="en-US" w:eastAsia="zh-CN"/>
        </w:rPr>
        <w:t>1880</w:t>
      </w:r>
      <w:r>
        <w:rPr>
          <w:rFonts w:hint="default" w:ascii="Times New Roman" w:hAnsi="Times New Roman" w:eastAsia="仿宋_GB2312" w:cs="Times New Roman"/>
          <w:color w:val="auto"/>
          <w:sz w:val="32"/>
          <w:szCs w:val="32"/>
        </w:rPr>
        <w:t>元。</w:t>
      </w:r>
    </w:p>
    <w:p w14:paraId="3D46FDF4">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（3）接待</w:t>
      </w:r>
      <w:r>
        <w:rPr>
          <w:rFonts w:hint="eastAsia" w:ascii="Times New Roman" w:hAnsi="Times New Roman" w:eastAsia="仿宋_GB2312" w:cs="Times New Roman"/>
          <w:color w:val="auto"/>
          <w:sz w:val="32"/>
          <w:szCs w:val="32"/>
          <w:lang w:val="en-US" w:eastAsia="zh-CN"/>
        </w:rPr>
        <w:t>凉山州</w:t>
      </w:r>
      <w:r>
        <w:rPr>
          <w:rFonts w:hint="default" w:ascii="Times New Roman" w:hAnsi="Times New Roman" w:eastAsia="仿宋_GB2312" w:cs="Times New Roman"/>
          <w:color w:val="auto"/>
          <w:sz w:val="32"/>
          <w:szCs w:val="32"/>
          <w:lang w:val="en-US" w:eastAsia="zh-CN"/>
        </w:rPr>
        <w:t>社会保险</w:t>
      </w:r>
      <w:r>
        <w:rPr>
          <w:rFonts w:hint="eastAsia" w:ascii="Times New Roman" w:hAnsi="Times New Roman" w:eastAsia="仿宋_GB2312" w:cs="Times New Roman"/>
          <w:color w:val="auto"/>
          <w:sz w:val="32"/>
          <w:szCs w:val="32"/>
          <w:lang w:val="en-US" w:eastAsia="zh-CN"/>
        </w:rPr>
        <w:t>事业</w:t>
      </w:r>
      <w:r>
        <w:rPr>
          <w:rFonts w:hint="default" w:ascii="Times New Roman" w:hAnsi="Times New Roman" w:eastAsia="仿宋_GB2312" w:cs="Times New Roman"/>
          <w:color w:val="auto"/>
          <w:sz w:val="32"/>
          <w:szCs w:val="32"/>
          <w:lang w:val="en-US" w:eastAsia="zh-CN"/>
        </w:rPr>
        <w:t>管理</w:t>
      </w:r>
      <w:r>
        <w:rPr>
          <w:rFonts w:hint="default" w:ascii="Times New Roman" w:hAnsi="Times New Roman" w:eastAsia="仿宋_GB2312" w:cs="Times New Roman"/>
          <w:color w:val="auto"/>
          <w:sz w:val="32"/>
          <w:szCs w:val="32"/>
          <w:lang w:eastAsia="zh-CN"/>
        </w:rPr>
        <w:t>局</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default" w:ascii="Times New Roman" w:hAnsi="Times New Roman" w:eastAsia="仿宋_GB2312" w:cs="Times New Roman"/>
          <w:color w:val="auto"/>
          <w:sz w:val="32"/>
          <w:szCs w:val="32"/>
          <w:lang w:eastAsia="zh-CN"/>
        </w:rPr>
        <w:t>调研社保经办工作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997.92</w:t>
      </w:r>
      <w:r>
        <w:rPr>
          <w:rFonts w:hint="default" w:ascii="Times New Roman" w:hAnsi="Times New Roman" w:eastAsia="仿宋_GB2312" w:cs="Times New Roman"/>
          <w:color w:val="auto"/>
          <w:sz w:val="32"/>
          <w:szCs w:val="32"/>
        </w:rPr>
        <w:t>元。</w:t>
      </w:r>
    </w:p>
    <w:p w14:paraId="682D94A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）接待</w:t>
      </w:r>
      <w:r>
        <w:rPr>
          <w:rFonts w:hint="default" w:ascii="Times New Roman" w:hAnsi="Times New Roman" w:eastAsia="仿宋_GB2312" w:cs="Times New Roman"/>
          <w:color w:val="auto"/>
          <w:sz w:val="32"/>
          <w:szCs w:val="32"/>
          <w:lang w:eastAsia="zh-CN"/>
        </w:rPr>
        <w:t>省</w:t>
      </w:r>
      <w:r>
        <w:rPr>
          <w:rFonts w:hint="default" w:ascii="Times New Roman" w:hAnsi="Times New Roman" w:eastAsia="仿宋_GB2312" w:cs="Times New Roman"/>
          <w:color w:val="auto"/>
          <w:sz w:val="32"/>
          <w:szCs w:val="32"/>
          <w:lang w:val="en-US" w:eastAsia="zh-CN"/>
        </w:rPr>
        <w:t>社会保险管理</w:t>
      </w:r>
      <w:r>
        <w:rPr>
          <w:rFonts w:hint="default" w:ascii="Times New Roman" w:hAnsi="Times New Roman" w:eastAsia="仿宋_GB2312" w:cs="Times New Roman"/>
          <w:color w:val="auto"/>
          <w:sz w:val="32"/>
          <w:szCs w:val="32"/>
          <w:lang w:eastAsia="zh-CN"/>
        </w:rPr>
        <w:t>局</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调研社保经办</w:t>
      </w:r>
      <w:r>
        <w:rPr>
          <w:rFonts w:hint="default" w:ascii="Times New Roman" w:hAnsi="Times New Roman" w:eastAsia="仿宋_GB2312" w:cs="Times New Roman"/>
          <w:color w:val="auto"/>
          <w:sz w:val="32"/>
          <w:szCs w:val="32"/>
          <w:lang w:eastAsia="zh-CN"/>
        </w:rPr>
        <w:t>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1080</w:t>
      </w:r>
      <w:r>
        <w:rPr>
          <w:rFonts w:hint="default" w:ascii="Times New Roman" w:hAnsi="Times New Roman" w:eastAsia="仿宋_GB2312" w:cs="Times New Roman"/>
          <w:color w:val="auto"/>
          <w:sz w:val="32"/>
          <w:szCs w:val="32"/>
        </w:rPr>
        <w:t>元。</w:t>
      </w:r>
    </w:p>
    <w:p w14:paraId="44159F7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外事接待支出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万元，外事接待</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批次，</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人次（不包括陪同人员），共计支出0万元。</w:t>
      </w:r>
    </w:p>
    <w:p w14:paraId="01296598">
      <w:pPr>
        <w:keepNext w:val="0"/>
        <w:keepLines w:val="0"/>
        <w:pageBreakBefore w:val="0"/>
        <w:widowControl w:val="0"/>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eastAsia="黑体" w:cs="Times New Roman"/>
          <w:color w:val="auto"/>
          <w:highlight w:val="none"/>
        </w:rPr>
      </w:pPr>
      <w:bookmarkStart w:id="40" w:name="_Toc15396610"/>
      <w:bookmarkStart w:id="41" w:name="_Toc15377218"/>
      <w:r>
        <w:rPr>
          <w:rFonts w:hint="default" w:ascii="Times New Roman" w:hAnsi="Times New Roman" w:eastAsia="黑体" w:cs="Times New Roman"/>
          <w:color w:val="auto"/>
          <w:sz w:val="32"/>
          <w:szCs w:val="32"/>
          <w:highlight w:val="none"/>
        </w:rPr>
        <w:t>八、</w:t>
      </w:r>
      <w:r>
        <w:rPr>
          <w:rStyle w:val="32"/>
          <w:rFonts w:hint="default" w:ascii="Times New Roman" w:hAnsi="Times New Roman" w:eastAsia="黑体" w:cs="Times New Roman"/>
          <w:b w:val="0"/>
          <w:color w:val="auto"/>
          <w:highlight w:val="none"/>
        </w:rPr>
        <w:t>政府性基金预算支出决算情况说明</w:t>
      </w:r>
      <w:bookmarkEnd w:id="40"/>
      <w:bookmarkEnd w:id="41"/>
    </w:p>
    <w:p w14:paraId="5C7BC2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color w:val="auto"/>
          <w:sz w:val="32"/>
          <w:szCs w:val="32"/>
          <w:highlight w:val="none"/>
        </w:rPr>
        <w:t>政府性基金预算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bookmarkStart w:id="42" w:name="_Toc15396611"/>
      <w:bookmarkStart w:id="43" w:name="_Toc15377219"/>
    </w:p>
    <w:p w14:paraId="09E1EA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Style w:val="32"/>
          <w:rFonts w:hint="default" w:ascii="Times New Roman" w:hAnsi="Times New Roman" w:eastAsia="黑体" w:cs="Times New Roman"/>
          <w:b w:val="0"/>
          <w:color w:val="auto"/>
          <w:highlight w:val="none"/>
        </w:rPr>
      </w:pPr>
      <w:r>
        <w:rPr>
          <w:rStyle w:val="32"/>
          <w:rFonts w:hint="default" w:ascii="Times New Roman" w:hAnsi="Times New Roman" w:eastAsia="黑体" w:cs="Times New Roman"/>
          <w:b w:val="0"/>
          <w:color w:val="auto"/>
          <w:highlight w:val="none"/>
          <w:lang w:eastAsia="zh-CN"/>
        </w:rPr>
        <w:t>九、</w:t>
      </w:r>
      <w:r>
        <w:rPr>
          <w:rStyle w:val="32"/>
          <w:rFonts w:hint="default" w:ascii="Times New Roman" w:hAnsi="Times New Roman" w:eastAsia="黑体" w:cs="Times New Roman"/>
          <w:b w:val="0"/>
          <w:color w:val="auto"/>
          <w:highlight w:val="none"/>
        </w:rPr>
        <w:t>国有资本经营预算支出决算情况说明</w:t>
      </w:r>
      <w:bookmarkEnd w:id="42"/>
      <w:bookmarkEnd w:id="43"/>
    </w:p>
    <w:p w14:paraId="0593EABE">
      <w:pPr>
        <w:keepNext w:val="0"/>
        <w:keepLines w:val="0"/>
        <w:pageBreakBefore w:val="0"/>
        <w:widowControl w:val="0"/>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w:t>
      </w:r>
      <w:bookmarkStart w:id="44" w:name="_Toc15377221"/>
      <w:bookmarkStart w:id="45" w:name="_Toc15396612"/>
      <w:r>
        <w:rPr>
          <w:rFonts w:hint="default" w:ascii="Times New Roman" w:hAnsi="Times New Roman" w:eastAsia="仿宋_GB2312" w:cs="Times New Roman"/>
          <w:color w:val="auto"/>
          <w:sz w:val="32"/>
          <w:szCs w:val="32"/>
          <w:highlight w:val="none"/>
        </w:rPr>
        <w:t>国有资本经营预算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p>
    <w:p w14:paraId="04A31E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Style w:val="32"/>
          <w:rFonts w:hint="default" w:ascii="Times New Roman" w:hAnsi="Times New Roman" w:eastAsia="黑体" w:cs="Times New Roman"/>
          <w:b w:val="0"/>
          <w:color w:val="auto"/>
          <w:highlight w:val="none"/>
        </w:rPr>
      </w:pPr>
      <w:r>
        <w:rPr>
          <w:rStyle w:val="32"/>
          <w:rFonts w:hint="default" w:ascii="Times New Roman" w:hAnsi="Times New Roman" w:eastAsia="黑体" w:cs="Times New Roman"/>
          <w:b w:val="0"/>
          <w:color w:val="auto"/>
          <w:highlight w:val="none"/>
          <w:lang w:eastAsia="zh-CN"/>
        </w:rPr>
        <w:t>十、</w:t>
      </w:r>
      <w:r>
        <w:rPr>
          <w:rStyle w:val="32"/>
          <w:rFonts w:hint="default" w:ascii="Times New Roman" w:hAnsi="Times New Roman" w:eastAsia="黑体" w:cs="Times New Roman"/>
          <w:b w:val="0"/>
          <w:color w:val="auto"/>
          <w:highlight w:val="none"/>
        </w:rPr>
        <w:t>其他重要事项的情况说明</w:t>
      </w:r>
      <w:bookmarkEnd w:id="44"/>
      <w:bookmarkEnd w:id="45"/>
    </w:p>
    <w:p w14:paraId="09B4B64C">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46" w:name="_Toc15377222"/>
      <w:r>
        <w:rPr>
          <w:rFonts w:hint="default" w:ascii="Times New Roman" w:hAnsi="Times New Roman" w:eastAsia="楷体_GB2312" w:cs="Times New Roman"/>
          <w:b/>
          <w:color w:val="auto"/>
          <w:sz w:val="32"/>
          <w:szCs w:val="32"/>
          <w:highlight w:val="none"/>
        </w:rPr>
        <w:t>（一）机关运行经费支出情况</w:t>
      </w:r>
      <w:bookmarkEnd w:id="46"/>
    </w:p>
    <w:p w14:paraId="54A32B1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2"/>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机关运行经费支出</w:t>
      </w:r>
      <w:r>
        <w:rPr>
          <w:rFonts w:hint="default" w:ascii="Times New Roman" w:hAnsi="Times New Roman" w:eastAsia="仿宋_GB2312" w:cs="Times New Roman"/>
          <w:sz w:val="32"/>
          <w:szCs w:val="32"/>
        </w:rPr>
        <w:t>129.85</w:t>
      </w:r>
      <w:r>
        <w:rPr>
          <w:rFonts w:hint="default" w:ascii="Times New Roman" w:hAnsi="Times New Roman" w:eastAsia="仿宋_GB2312" w:cs="Times New Roman"/>
          <w:color w:val="auto"/>
          <w:kern w:val="2"/>
          <w:sz w:val="32"/>
          <w:szCs w:val="32"/>
          <w:highlight w:val="none"/>
          <w:lang w:val="en-US" w:eastAsia="zh-CN" w:bidi="ar-SA"/>
        </w:rPr>
        <w:t>万元，比上年度减少10.65万元，下降7.58%。主要原因是</w:t>
      </w:r>
      <w:bookmarkStart w:id="47" w:name="_Toc15377223"/>
      <w:r>
        <w:rPr>
          <w:rFonts w:hint="default" w:ascii="Times New Roman" w:hAnsi="Times New Roman" w:eastAsia="仿宋_GB2312" w:cs="Times New Roman"/>
          <w:color w:val="auto"/>
          <w:kern w:val="2"/>
          <w:sz w:val="32"/>
          <w:szCs w:val="32"/>
          <w:highlight w:val="none"/>
          <w:lang w:val="en-US" w:eastAsia="zh-CN" w:bidi="ar-SA"/>
        </w:rPr>
        <w:t>2024年我中心按市人力资源社会保障局要求派遣2名同志到财政部、人力资源社会保障部挂职锻炼</w:t>
      </w:r>
      <w:r>
        <w:rPr>
          <w:rFonts w:hint="eastAsia" w:eastAsia="仿宋_GB2312" w:cs="Times New Roman"/>
          <w:color w:val="auto"/>
          <w:kern w:val="2"/>
          <w:sz w:val="32"/>
          <w:szCs w:val="32"/>
          <w:highlight w:val="none"/>
          <w:lang w:val="en-US" w:eastAsia="zh-CN" w:bidi="ar-SA"/>
        </w:rPr>
        <w:t>，支出了相应</w:t>
      </w:r>
      <w:r>
        <w:rPr>
          <w:rFonts w:hint="default" w:ascii="Times New Roman" w:hAnsi="Times New Roman" w:eastAsia="仿宋_GB2312" w:cs="Times New Roman"/>
          <w:color w:val="auto"/>
          <w:kern w:val="2"/>
          <w:sz w:val="32"/>
          <w:szCs w:val="32"/>
          <w:highlight w:val="none"/>
          <w:lang w:val="en-US" w:eastAsia="zh-CN" w:bidi="ar-SA"/>
        </w:rPr>
        <w:t>房租费和差旅费。</w:t>
      </w:r>
    </w:p>
    <w:p w14:paraId="467DB687">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r>
        <w:rPr>
          <w:rFonts w:hint="default" w:ascii="Times New Roman" w:hAnsi="Times New Roman" w:eastAsia="楷体_GB2312" w:cs="Times New Roman"/>
          <w:b/>
          <w:color w:val="auto"/>
          <w:sz w:val="32"/>
          <w:szCs w:val="32"/>
          <w:highlight w:val="none"/>
        </w:rPr>
        <w:t>（二）政府采购支出情况</w:t>
      </w:r>
      <w:bookmarkEnd w:id="47"/>
    </w:p>
    <w:p w14:paraId="636B40BB">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政府采购支出总额</w:t>
      </w:r>
      <w:r>
        <w:rPr>
          <w:rFonts w:hint="default" w:ascii="Times New Roman" w:hAnsi="Times New Roman" w:eastAsia="仿宋_GB2312" w:cs="Times New Roman"/>
          <w:sz w:val="32"/>
          <w:szCs w:val="32"/>
        </w:rPr>
        <w:t>220.58</w:t>
      </w:r>
      <w:r>
        <w:rPr>
          <w:rFonts w:hint="default" w:ascii="Times New Roman" w:hAnsi="Times New Roman" w:eastAsia="仿宋_GB2312" w:cs="Times New Roman"/>
          <w:color w:val="auto"/>
          <w:kern w:val="2"/>
          <w:sz w:val="32"/>
          <w:szCs w:val="32"/>
          <w:highlight w:val="none"/>
          <w:lang w:val="en-US" w:eastAsia="zh-CN" w:bidi="ar-SA"/>
        </w:rPr>
        <w:t>万元，其中：政府采购货物支出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万元、政府采购工程支出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万元、政府采购服务支出</w:t>
      </w:r>
      <w:r>
        <w:rPr>
          <w:rFonts w:hint="default" w:ascii="Times New Roman" w:hAnsi="Times New Roman" w:eastAsia="仿宋_GB2312" w:cs="Times New Roman"/>
          <w:sz w:val="32"/>
          <w:szCs w:val="32"/>
        </w:rPr>
        <w:t>220.58</w:t>
      </w:r>
      <w:r>
        <w:rPr>
          <w:rFonts w:hint="default" w:ascii="Times New Roman" w:hAnsi="Times New Roman" w:eastAsia="仿宋_GB2312" w:cs="Times New Roman"/>
          <w:color w:val="auto"/>
          <w:kern w:val="2"/>
          <w:sz w:val="32"/>
          <w:szCs w:val="32"/>
          <w:highlight w:val="none"/>
          <w:lang w:val="en-US" w:eastAsia="zh-CN" w:bidi="ar-SA"/>
        </w:rPr>
        <w:t>万元。主要用于</w:t>
      </w:r>
      <w:r>
        <w:rPr>
          <w:rFonts w:hint="default" w:ascii="Times New Roman" w:hAnsi="Times New Roman" w:eastAsia="仿宋_GB2312" w:cs="Times New Roman"/>
          <w:color w:val="000000"/>
          <w:sz w:val="32"/>
          <w:szCs w:val="32"/>
          <w:lang w:val="en-US" w:eastAsia="zh-CN"/>
        </w:rPr>
        <w:t>车辆加油服务框架协议采购0.5万元、车辆保险服务框架协议采购0.38万元和车辆维修服务框架协议采购0.2万元，用于2025年度工伤预防宣传及培训219.5万元</w:t>
      </w:r>
      <w:r>
        <w:rPr>
          <w:rFonts w:hint="default" w:ascii="Times New Roman" w:hAnsi="Times New Roman" w:eastAsia="仿宋_GB2312" w:cs="Times New Roman"/>
          <w:color w:val="auto"/>
          <w:kern w:val="2"/>
          <w:sz w:val="32"/>
          <w:szCs w:val="32"/>
          <w:highlight w:val="none"/>
          <w:lang w:val="en-US" w:eastAsia="zh-CN" w:bidi="ar-SA"/>
        </w:rPr>
        <w:t>。授予中小企业合同金额</w:t>
      </w:r>
      <w:r>
        <w:rPr>
          <w:rFonts w:hint="default" w:ascii="Times New Roman" w:hAnsi="Times New Roman" w:eastAsia="仿宋_GB2312" w:cs="Times New Roman"/>
          <w:sz w:val="32"/>
          <w:szCs w:val="32"/>
        </w:rPr>
        <w:t>220</w:t>
      </w:r>
      <w:r>
        <w:rPr>
          <w:rFonts w:hint="default" w:ascii="Times New Roman" w:hAnsi="Times New Roman" w:eastAsia="仿宋_GB2312" w:cs="Times New Roman"/>
          <w:color w:val="auto"/>
          <w:kern w:val="2"/>
          <w:sz w:val="32"/>
          <w:szCs w:val="32"/>
          <w:highlight w:val="none"/>
          <w:lang w:val="en-US" w:eastAsia="zh-CN" w:bidi="ar-SA"/>
        </w:rPr>
        <w:t>万元，占政府采购支出总额的</w:t>
      </w:r>
      <w:r>
        <w:rPr>
          <w:rFonts w:hint="default" w:ascii="Times New Roman" w:hAnsi="Times New Roman" w:eastAsia="仿宋_GB2312" w:cs="Times New Roman"/>
          <w:sz w:val="32"/>
          <w:szCs w:val="32"/>
        </w:rPr>
        <w:t>99.73</w:t>
      </w:r>
      <w:r>
        <w:rPr>
          <w:rFonts w:hint="default" w:ascii="Times New Roman" w:hAnsi="Times New Roman" w:eastAsia="仿宋_GB2312" w:cs="Times New Roman"/>
          <w:color w:val="auto"/>
          <w:kern w:val="2"/>
          <w:sz w:val="32"/>
          <w:szCs w:val="32"/>
          <w:highlight w:val="none"/>
          <w:lang w:val="en-US" w:eastAsia="zh-CN" w:bidi="ar-SA"/>
        </w:rPr>
        <w:t>%，其中：授予小微企业合同金额</w:t>
      </w:r>
      <w:r>
        <w:rPr>
          <w:rFonts w:hint="default" w:ascii="Times New Roman" w:hAnsi="Times New Roman" w:eastAsia="仿宋_GB2312" w:cs="Times New Roman"/>
          <w:sz w:val="32"/>
          <w:szCs w:val="32"/>
        </w:rPr>
        <w:t>219.5</w:t>
      </w:r>
      <w:r>
        <w:rPr>
          <w:rFonts w:hint="default" w:ascii="Times New Roman" w:hAnsi="Times New Roman" w:eastAsia="仿宋_GB2312" w:cs="Times New Roman"/>
          <w:color w:val="auto"/>
          <w:kern w:val="2"/>
          <w:sz w:val="32"/>
          <w:szCs w:val="32"/>
          <w:highlight w:val="none"/>
          <w:lang w:val="en-US" w:eastAsia="zh-CN" w:bidi="ar-SA"/>
        </w:rPr>
        <w:t>万元，占政府采购支出总额的</w:t>
      </w:r>
      <w:r>
        <w:rPr>
          <w:rFonts w:hint="default" w:ascii="Times New Roman" w:hAnsi="Times New Roman" w:eastAsia="仿宋_GB2312" w:cs="Times New Roman"/>
          <w:sz w:val="32"/>
          <w:szCs w:val="32"/>
        </w:rPr>
        <w:t>99.51</w:t>
      </w:r>
      <w:r>
        <w:rPr>
          <w:rFonts w:hint="default" w:ascii="Times New Roman" w:hAnsi="Times New Roman" w:eastAsia="仿宋_GB2312" w:cs="Times New Roman"/>
          <w:color w:val="auto"/>
          <w:kern w:val="2"/>
          <w:sz w:val="32"/>
          <w:szCs w:val="32"/>
          <w:highlight w:val="none"/>
          <w:lang w:val="en-US" w:eastAsia="zh-CN" w:bidi="ar-SA"/>
        </w:rPr>
        <w:t>%。</w:t>
      </w:r>
    </w:p>
    <w:p w14:paraId="1DC40A8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48" w:name="_Toc15377224"/>
      <w:r>
        <w:rPr>
          <w:rFonts w:hint="default" w:ascii="Times New Roman" w:hAnsi="Times New Roman" w:eastAsia="楷体_GB2312" w:cs="Times New Roman"/>
          <w:b/>
          <w:color w:val="auto"/>
          <w:sz w:val="32"/>
          <w:szCs w:val="32"/>
          <w:highlight w:val="none"/>
        </w:rPr>
        <w:t>（三）国有资产占有使用情况</w:t>
      </w:r>
      <w:bookmarkEnd w:id="48"/>
    </w:p>
    <w:p w14:paraId="42FC758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截至2025年12月31日，</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共有车辆</w:t>
      </w:r>
      <w:r>
        <w:rPr>
          <w:rFonts w:hint="default" w:ascii="Times New Roman" w:hAnsi="Times New Roman" w:eastAsia="仿宋_GB2312" w:cs="Times New Roman"/>
          <w:sz w:val="32"/>
          <w:szCs w:val="32"/>
        </w:rPr>
        <w:t>1</w:t>
      </w:r>
      <w:r>
        <w:rPr>
          <w:rFonts w:hint="default" w:ascii="Times New Roman" w:hAnsi="Times New Roman" w:eastAsia="仿宋_GB2312" w:cs="Times New Roman"/>
          <w:color w:val="auto"/>
          <w:kern w:val="2"/>
          <w:sz w:val="32"/>
          <w:szCs w:val="32"/>
          <w:highlight w:val="none"/>
          <w:lang w:val="en-US" w:eastAsia="zh-CN" w:bidi="ar-SA"/>
        </w:rPr>
        <w:t>辆，其中：副部（省）级及以上领导用车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辆、主要负责人用车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辆、机要通信用车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辆、应急保障用车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辆、执法执勤用车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辆、特种专业技术用车</w:t>
      </w:r>
      <w:r>
        <w:rPr>
          <w:rFonts w:hint="default" w:ascii="Times New Roman" w:hAnsi="Times New Roman" w:eastAsia="仿宋_GB2312" w:cs="Times New Roman"/>
          <w:sz w:val="32"/>
          <w:szCs w:val="32"/>
        </w:rPr>
        <w:t>1</w:t>
      </w:r>
      <w:r>
        <w:rPr>
          <w:rFonts w:hint="default" w:ascii="Times New Roman" w:hAnsi="Times New Roman" w:eastAsia="仿宋_GB2312" w:cs="Times New Roman"/>
          <w:color w:val="auto"/>
          <w:kern w:val="2"/>
          <w:sz w:val="32"/>
          <w:szCs w:val="32"/>
          <w:highlight w:val="none"/>
          <w:lang w:val="en-US" w:eastAsia="zh-CN" w:bidi="ar-SA"/>
        </w:rPr>
        <w:t>辆、离退休干部服务用车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辆、其他用车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辆，其他用车主要是用于</w:t>
      </w:r>
      <w:r>
        <w:rPr>
          <w:rFonts w:hint="default" w:ascii="Times New Roman" w:hAnsi="Times New Roman" w:eastAsia="仿宋_GB2312" w:cs="Times New Roman"/>
          <w:color w:val="auto"/>
          <w:sz w:val="32"/>
          <w:szCs w:val="32"/>
          <w:lang w:eastAsia="zh-CN"/>
        </w:rPr>
        <w:t>工伤预防到</w:t>
      </w:r>
      <w:r>
        <w:rPr>
          <w:rFonts w:hint="default" w:ascii="Times New Roman" w:hAnsi="Times New Roman" w:eastAsia="仿宋_GB2312" w:cs="Times New Roman"/>
          <w:color w:val="auto"/>
          <w:sz w:val="32"/>
          <w:szCs w:val="32"/>
        </w:rPr>
        <w:t>厂矿、企业、医疗机构开展调查取证、现场勘验和常规急救等专业技术工作等。</w:t>
      </w:r>
      <w:r>
        <w:rPr>
          <w:rFonts w:hint="default" w:ascii="Times New Roman" w:hAnsi="Times New Roman" w:eastAsia="仿宋_GB2312" w:cs="Times New Roman"/>
          <w:color w:val="auto"/>
          <w:kern w:val="2"/>
          <w:sz w:val="32"/>
          <w:szCs w:val="32"/>
          <w:highlight w:val="none"/>
          <w:lang w:val="en-US" w:eastAsia="zh-CN" w:bidi="ar-SA"/>
        </w:rPr>
        <w:t>单价100万元（含）以上设备（不含车辆）</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台（套）。</w:t>
      </w:r>
    </w:p>
    <w:p w14:paraId="38A6AAF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r>
        <w:rPr>
          <w:rFonts w:hint="default" w:ascii="Times New Roman" w:hAnsi="Times New Roman" w:eastAsia="楷体_GB2312" w:cs="Times New Roman"/>
          <w:b/>
          <w:color w:val="auto"/>
          <w:sz w:val="32"/>
          <w:szCs w:val="32"/>
          <w:highlight w:val="none"/>
        </w:rPr>
        <w:t>（四）预算绩效管理情况</w:t>
      </w:r>
    </w:p>
    <w:p w14:paraId="619E488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根据预算绩效管理要求，</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在2025年度预算编制阶段，组织对“入驻政务中心单位租金、物业费及水电费”项目开展了预算事前绩效评估，对1个项目编制了绩效目标，选取1个项目开展绩效监控。</w:t>
      </w:r>
    </w:p>
    <w:p w14:paraId="7DDC5DF7">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组织对2025年度一般公共预算、政府性基金预算、国有资本经营预算、社会保险基金预算以及资本资产、债券资金等全面开展绩效自评，形成</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部门整体绩效自评报告、“入驻政务中心单位租金、物业费及水电费”等专项预算项目绩效自评报告，其中，</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部门整体绩效自评得分为93.1分，绩效自评综述：</w:t>
      </w:r>
      <w:r>
        <w:rPr>
          <w:rFonts w:hint="default" w:ascii="Times New Roman" w:hAnsi="Times New Roman" w:eastAsia="仿宋_GB2312" w:cs="Times New Roman"/>
          <w:sz w:val="32"/>
          <w:szCs w:val="32"/>
        </w:rPr>
        <w:t>四川省攀枝花市社会保险事务中心着力推进社保改革任务落地落实、公共服务提质增效、运行管理提档升级、严防风险确保基金安全，推动全市社保经办事业高质量、可持续发展。扎实开展社保经办工作，不断提升人民群众获得感、幸</w:t>
      </w:r>
      <w:r>
        <w:rPr>
          <w:rFonts w:hint="default" w:ascii="Times New Roman" w:hAnsi="Times New Roman" w:eastAsia="仿宋_GB2312" w:cs="Times New Roman"/>
          <w:color w:val="auto"/>
          <w:kern w:val="2"/>
          <w:sz w:val="32"/>
          <w:szCs w:val="32"/>
          <w:highlight w:val="none"/>
          <w:lang w:val="en-US" w:eastAsia="zh-CN" w:bidi="ar-SA"/>
        </w:rPr>
        <w:t>福感和安全感，各项工作成效显著。继续确保各项社会保险待遇的按时足额发放和支付，维护参保人员合法权益，调整增加各类退休人员基本养老金，积极完善工伤保险信息系统功能，做好工伤保险预防工作，全面完成年初预算绩效目标及省级下达的目标任务。“入驻政务中心单位租金、物业费及水电费”专项预算项目绩效自评得分为100分，绩效自评综述：保障了单位正常运转，能更好</w:t>
      </w:r>
      <w:r>
        <w:rPr>
          <w:rFonts w:hint="eastAsia" w:eastAsia="仿宋_GB2312" w:cs="Times New Roman"/>
          <w:color w:val="auto"/>
          <w:kern w:val="2"/>
          <w:sz w:val="32"/>
          <w:szCs w:val="32"/>
          <w:highlight w:val="none"/>
          <w:lang w:val="en-US" w:eastAsia="zh-CN" w:bidi="ar-SA"/>
        </w:rPr>
        <w:t>地</w:t>
      </w:r>
      <w:r>
        <w:rPr>
          <w:rFonts w:hint="default" w:ascii="Times New Roman" w:hAnsi="Times New Roman" w:eastAsia="仿宋_GB2312" w:cs="Times New Roman"/>
          <w:color w:val="auto"/>
          <w:kern w:val="2"/>
          <w:sz w:val="32"/>
          <w:szCs w:val="32"/>
          <w:highlight w:val="none"/>
          <w:lang w:val="en-US" w:eastAsia="zh-CN" w:bidi="ar-SA"/>
        </w:rPr>
        <w:t>为参保人员提供社保服务。</w:t>
      </w:r>
      <w:r>
        <w:rPr>
          <w:rFonts w:hint="default" w:ascii="Times New Roman" w:hAnsi="Times New Roman" w:eastAsia="仿宋_GB2312" w:cs="Times New Roman"/>
          <w:color w:val="auto"/>
          <w:sz w:val="32"/>
          <w:szCs w:val="32"/>
        </w:rPr>
        <w:t>“省管森工企业离退休人员社会化管理经费”</w:t>
      </w:r>
      <w:r>
        <w:rPr>
          <w:rFonts w:hint="default" w:ascii="Times New Roman" w:hAnsi="Times New Roman" w:eastAsia="仿宋_GB2312" w:cs="Times New Roman"/>
          <w:color w:val="auto"/>
          <w:kern w:val="2"/>
          <w:sz w:val="32"/>
          <w:szCs w:val="32"/>
          <w:highlight w:val="none"/>
          <w:lang w:val="en-US" w:eastAsia="zh-CN" w:bidi="ar-SA"/>
        </w:rPr>
        <w:t>专项预算项目绩效自评得分为100分，绩效自评综述：</w:t>
      </w:r>
      <w:r>
        <w:rPr>
          <w:rFonts w:hint="default" w:ascii="Times New Roman" w:hAnsi="Times New Roman" w:eastAsia="仿宋_GB2312" w:cs="Times New Roman"/>
          <w:color w:val="auto"/>
          <w:kern w:val="0"/>
          <w:sz w:val="32"/>
          <w:szCs w:val="32"/>
        </w:rPr>
        <w:t>确保代管的省管森工企业离退休人员基本养老金按时足额发放，提升省管森工企业离退休人员社会化管理服务水平。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2"/>
          <w:sz w:val="32"/>
          <w:szCs w:val="32"/>
          <w:highlight w:val="none"/>
          <w:lang w:val="en-US" w:eastAsia="zh-CN" w:bidi="ar-SA"/>
        </w:rPr>
        <w:t>绩效自评报告详见附件。</w:t>
      </w:r>
    </w:p>
    <w:p w14:paraId="67B5CF75">
      <w:pPr>
        <w:spacing w:line="600" w:lineRule="exact"/>
        <w:ind w:firstLine="640"/>
        <w:rPr>
          <w:rFonts w:hint="default" w:ascii="Times New Roman" w:hAnsi="Times New Roman" w:eastAsia="仿宋_GB2312" w:cs="Times New Roman"/>
          <w:color w:val="auto"/>
          <w:kern w:val="2"/>
          <w:sz w:val="32"/>
          <w:szCs w:val="32"/>
          <w:highlight w:val="none"/>
          <w:lang w:val="en-US" w:eastAsia="zh-CN" w:bidi="ar-SA"/>
        </w:rPr>
      </w:pPr>
    </w:p>
    <w:p w14:paraId="6451F323">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bookmarkStart w:id="49" w:name="_Toc15377225"/>
      <w:bookmarkStart w:id="50" w:name="_Toc15396613"/>
    </w:p>
    <w:p w14:paraId="240268AC">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100A45D9">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52024F88">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709E272A">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7FA109B">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70C1A1F5">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60860A5C">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2B39C25D">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DDDAF79">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49F4AB35">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0C3C8481">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CA2D28D">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1BB03723">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5485034B">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t>第</w:t>
      </w:r>
      <w:r>
        <w:rPr>
          <w:rFonts w:hint="default" w:ascii="Times New Roman" w:hAnsi="Times New Roman" w:eastAsia="黑体" w:cs="Times New Roman"/>
          <w:color w:val="auto"/>
          <w:sz w:val="44"/>
          <w:szCs w:val="44"/>
          <w:highlight w:val="none"/>
          <w:lang w:eastAsia="zh-CN"/>
        </w:rPr>
        <w:t>三</w:t>
      </w:r>
      <w:r>
        <w:rPr>
          <w:rFonts w:hint="default" w:ascii="Times New Roman" w:hAnsi="Times New Roman" w:eastAsia="黑体" w:cs="Times New Roman"/>
          <w:color w:val="auto"/>
          <w:sz w:val="44"/>
          <w:szCs w:val="44"/>
          <w:highlight w:val="none"/>
        </w:rPr>
        <w:t>部分</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rPr>
        <w:t>名词解释</w:t>
      </w:r>
      <w:bookmarkEnd w:id="49"/>
      <w:bookmarkEnd w:id="50"/>
    </w:p>
    <w:p w14:paraId="3F7677B3">
      <w:pPr>
        <w:spacing w:line="600" w:lineRule="exact"/>
        <w:jc w:val="left"/>
        <w:rPr>
          <w:rFonts w:hint="default" w:ascii="Times New Roman" w:hAnsi="Times New Roman" w:cs="Times New Roman"/>
          <w:b/>
          <w:color w:val="auto"/>
          <w:sz w:val="44"/>
          <w:szCs w:val="44"/>
          <w:highlight w:val="none"/>
        </w:rPr>
      </w:pPr>
    </w:p>
    <w:p w14:paraId="1D6262F5">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1.财政拨款收入：指单位从同级财政部门取得的财政预算资金。</w:t>
      </w:r>
    </w:p>
    <w:p w14:paraId="084C66D4">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2.事业收入：指事业单位开展专业业务活动及辅助活动取得的收入。</w:t>
      </w:r>
    </w:p>
    <w:p w14:paraId="37508845">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3.经营收入：指事业单位在专业业务活动及其辅助活动之外开展非独立核算经营活动取得的收入。</w:t>
      </w:r>
    </w:p>
    <w:p w14:paraId="545FC21F">
      <w:pPr>
        <w:pStyle w:val="29"/>
        <w:spacing w:line="60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4.其他收入：指单位取得的除上述收入以外的各项收入。主要是自有资金账户利息收入（收入类型）等。 </w:t>
      </w:r>
    </w:p>
    <w:p w14:paraId="649F885C">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5.使用非财政拨款结余：指事业单位使用以前年度积累的非财政拨款结余弥补当年收支差额的金额。 </w:t>
      </w:r>
    </w:p>
    <w:p w14:paraId="27CBB0C3">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6.年初结转和结余：指以前年度尚未完成、结转到本年按有关规定继续使用的资金。 </w:t>
      </w:r>
    </w:p>
    <w:p w14:paraId="65FF1CBA">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7.结余分配：指事业单位按照会计制度规定缴纳的所得税、提取的专用结余以及转入非财政拨款结余的金额等。</w:t>
      </w:r>
    </w:p>
    <w:p w14:paraId="6CA7E9FB">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年末结转和结余：指单位按有关规定结转到下年或以后年度继续使用的资金。</w:t>
      </w:r>
    </w:p>
    <w:p w14:paraId="1BDAB751">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9.社会保障和就业支出（类）人力资源和社会保障管理事务（款）行政运行（项）：指行政单位的基本支出。</w:t>
      </w:r>
    </w:p>
    <w:p w14:paraId="0F92FFA9">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10.住房保障支出（类）住房改革支出（款）住房公积金（项）：指行政事业单位按人力资源和社会保障部、财政部规定的基本工资和津贴补贴以及规定比例为职工缴纳的住房公积金。</w:t>
      </w:r>
    </w:p>
    <w:p w14:paraId="1E62E6F2">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11.社会保障和就业（类）人力资源和社会保障管理事务（款）社会保险经办机构（项）：指社会保险经办机构开展业务工作的支出。</w:t>
      </w:r>
    </w:p>
    <w:p w14:paraId="1FE370A3">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（款）行政单位离退休（项）：指行政单位</w:t>
      </w:r>
      <w:r>
        <w:rPr>
          <w:rFonts w:hint="default" w:ascii="Times New Roman" w:hAnsi="Times New Roman" w:eastAsia="仿宋_GB2312" w:cs="Times New Roman"/>
          <w:color w:val="auto"/>
          <w:sz w:val="32"/>
          <w:szCs w:val="32"/>
          <w:lang w:eastAsia="zh-CN"/>
        </w:rPr>
        <w:t>（包括实行公务员管理的事业单位）</w:t>
      </w:r>
      <w:r>
        <w:rPr>
          <w:rFonts w:hint="default" w:ascii="Times New Roman" w:hAnsi="Times New Roman" w:eastAsia="仿宋_GB2312" w:cs="Times New Roman"/>
          <w:color w:val="auto"/>
          <w:sz w:val="32"/>
          <w:szCs w:val="32"/>
        </w:rPr>
        <w:t>开支的离退休</w:t>
      </w:r>
      <w:r>
        <w:rPr>
          <w:rFonts w:hint="default" w:ascii="Times New Roman" w:hAnsi="Times New Roman" w:eastAsia="仿宋_GB2312" w:cs="Times New Roman"/>
          <w:color w:val="auto"/>
          <w:sz w:val="32"/>
          <w:szCs w:val="32"/>
          <w:lang w:eastAsia="zh-CN"/>
        </w:rPr>
        <w:t>经费</w:t>
      </w:r>
      <w:r>
        <w:rPr>
          <w:rFonts w:hint="default" w:ascii="Times New Roman" w:hAnsi="Times New Roman" w:eastAsia="仿宋_GB2312" w:cs="Times New Roman"/>
          <w:color w:val="auto"/>
          <w:sz w:val="32"/>
          <w:szCs w:val="32"/>
        </w:rPr>
        <w:t>。</w:t>
      </w:r>
    </w:p>
    <w:p w14:paraId="5F6392E7">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（款）机关事业单位基本养老保险缴费支出（项）：指机关事业单位实施养老保险制度由单位缴纳的基本养老保险费支出。</w:t>
      </w:r>
    </w:p>
    <w:p w14:paraId="0B2C2EE1">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14.</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（款）机关事业单位</w:t>
      </w:r>
      <w:r>
        <w:rPr>
          <w:rFonts w:hint="default" w:ascii="Times New Roman" w:hAnsi="Times New Roman" w:eastAsia="仿宋_GB2312" w:cs="Times New Roman"/>
          <w:color w:val="auto"/>
          <w:sz w:val="32"/>
          <w:szCs w:val="32"/>
          <w:lang w:eastAsia="zh-CN"/>
        </w:rPr>
        <w:t>职业年金缴费</w:t>
      </w:r>
      <w:r>
        <w:rPr>
          <w:rFonts w:hint="default" w:ascii="Times New Roman" w:hAnsi="Times New Roman" w:eastAsia="仿宋_GB2312" w:cs="Times New Roman"/>
          <w:color w:val="auto"/>
          <w:sz w:val="32"/>
          <w:szCs w:val="32"/>
        </w:rPr>
        <w:t>支出（项）：指机关事业单位实施养老保险制度由单位</w:t>
      </w:r>
      <w:r>
        <w:rPr>
          <w:rFonts w:hint="default" w:ascii="Times New Roman" w:hAnsi="Times New Roman" w:eastAsia="仿宋_GB2312" w:cs="Times New Roman"/>
          <w:color w:val="auto"/>
          <w:sz w:val="32"/>
          <w:szCs w:val="32"/>
          <w:lang w:eastAsia="zh-CN"/>
        </w:rPr>
        <w:t>实际</w:t>
      </w:r>
      <w:r>
        <w:rPr>
          <w:rFonts w:hint="default" w:ascii="Times New Roman" w:hAnsi="Times New Roman" w:eastAsia="仿宋_GB2312" w:cs="Times New Roman"/>
          <w:color w:val="auto"/>
          <w:sz w:val="32"/>
          <w:szCs w:val="32"/>
        </w:rPr>
        <w:t>缴纳的</w:t>
      </w:r>
      <w:r>
        <w:rPr>
          <w:rFonts w:hint="default" w:ascii="Times New Roman" w:hAnsi="Times New Roman" w:eastAsia="仿宋_GB2312" w:cs="Times New Roman"/>
          <w:color w:val="auto"/>
          <w:sz w:val="32"/>
          <w:szCs w:val="32"/>
          <w:lang w:eastAsia="zh-CN"/>
        </w:rPr>
        <w:t>职业年金</w:t>
      </w:r>
      <w:r>
        <w:rPr>
          <w:rFonts w:hint="default" w:ascii="Times New Roman" w:hAnsi="Times New Roman" w:eastAsia="仿宋_GB2312" w:cs="Times New Roman"/>
          <w:color w:val="auto"/>
          <w:sz w:val="32"/>
          <w:szCs w:val="32"/>
        </w:rPr>
        <w:t>支出。</w:t>
      </w:r>
    </w:p>
    <w:p w14:paraId="155DEF49">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15.卫生健康支出（类）行政事业单位医疗（款）行政单位医疗（项）</w:t>
      </w:r>
      <w:r>
        <w:rPr>
          <w:rFonts w:hint="default" w:ascii="Times New Roman" w:hAnsi="Times New Roman" w:eastAsia="仿宋_GB2312" w:cs="Times New Roman"/>
          <w:sz w:val="32"/>
          <w:szCs w:val="32"/>
          <w:highlight w:val="none"/>
          <w:lang w:eastAsia="zh-CN"/>
        </w:rPr>
        <w:t>指：反映财政部门安排的行政单位（包括实行公务员管理的事业单位）基本医疗保险缴费经费，未参加医疗保险的行政单位的公费医疗经费，按国家规定享受离休人员、红军老战士待遇人员的医疗经费。</w:t>
      </w:r>
    </w:p>
    <w:p w14:paraId="2393877F">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16.卫生健康支出（类）行政事业单位医疗（款）公务员医疗补助（项）</w:t>
      </w:r>
      <w:r>
        <w:rPr>
          <w:rFonts w:hint="default" w:ascii="Times New Roman" w:hAnsi="Times New Roman" w:eastAsia="仿宋_GB2312" w:cs="Times New Roman"/>
          <w:sz w:val="32"/>
          <w:szCs w:val="32"/>
          <w:highlight w:val="none"/>
          <w:lang w:eastAsia="zh-CN"/>
        </w:rPr>
        <w:t>指：反映财政部门安排的公务员医疗补助经费。</w:t>
      </w:r>
    </w:p>
    <w:p w14:paraId="6A80B839">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17.卫生健康支出（类）行政事业单位医疗（款）其他行政事业单位医疗支出（项）</w:t>
      </w:r>
      <w:r>
        <w:rPr>
          <w:rFonts w:hint="default" w:ascii="Times New Roman" w:hAnsi="Times New Roman" w:eastAsia="仿宋_GB2312" w:cs="Times New Roman"/>
          <w:sz w:val="32"/>
          <w:szCs w:val="32"/>
          <w:highlight w:val="none"/>
          <w:lang w:eastAsia="zh-CN"/>
        </w:rPr>
        <w:t>指：反映其他用于行政事业单位医疗方面的支出。</w:t>
      </w:r>
    </w:p>
    <w:p w14:paraId="10DFBAB2">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18.一般公共服务支出（类）组织事务（款）其他组织事务支出（项）指：其他用于中国共产党组织部门的事务支出。</w:t>
      </w:r>
    </w:p>
    <w:p w14:paraId="3B24871D">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color w:val="auto"/>
          <w:sz w:val="32"/>
          <w:szCs w:val="32"/>
        </w:rPr>
        <w:t>基本支出：指为保障机构正常运转、完成日常工作任务而发生的人员支出和公用支出。</w:t>
      </w:r>
    </w:p>
    <w:p w14:paraId="38BDCAA6">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20</w:t>
      </w:r>
      <w:r>
        <w:rPr>
          <w:rFonts w:hint="default" w:ascii="Times New Roman" w:hAnsi="Times New Roman" w:eastAsia="仿宋_GB2312" w:cs="Times New Roman"/>
          <w:color w:val="auto"/>
          <w:sz w:val="32"/>
          <w:szCs w:val="32"/>
        </w:rPr>
        <w:t xml:space="preserve">.项目支出：指在基本支出之外为完成特定行政任务和事业发展目标所发生的支出。 </w:t>
      </w:r>
    </w:p>
    <w:p w14:paraId="0E3F7E73">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5542003">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23</w:t>
      </w:r>
      <w:r>
        <w:rPr>
          <w:rFonts w:hint="default" w:ascii="Times New Roman" w:hAnsi="Times New Roman" w:eastAsia="仿宋_GB2312" w:cs="Times New Roman"/>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3835E42">
      <w:pPr>
        <w:spacing w:line="600" w:lineRule="exact"/>
        <w:jc w:val="center"/>
        <w:rPr>
          <w:rFonts w:hint="default" w:ascii="Times New Roman" w:hAnsi="Times New Roman" w:eastAsia="黑体" w:cs="Times New Roman"/>
          <w:color w:val="auto"/>
          <w:sz w:val="44"/>
          <w:szCs w:val="44"/>
          <w:highlight w:val="none"/>
        </w:rPr>
      </w:pPr>
      <w:bookmarkStart w:id="51" w:name="_Toc15396614"/>
      <w:bookmarkStart w:id="52" w:name="_Toc15377226"/>
    </w:p>
    <w:p w14:paraId="146C9907">
      <w:pPr>
        <w:spacing w:line="600" w:lineRule="exact"/>
        <w:jc w:val="center"/>
        <w:rPr>
          <w:rFonts w:hint="default" w:ascii="Times New Roman" w:hAnsi="Times New Roman" w:eastAsia="黑体" w:cs="Times New Roman"/>
          <w:color w:val="auto"/>
          <w:sz w:val="44"/>
          <w:szCs w:val="44"/>
          <w:highlight w:val="none"/>
        </w:rPr>
      </w:pPr>
    </w:p>
    <w:p w14:paraId="6F330080">
      <w:pPr>
        <w:spacing w:line="600" w:lineRule="exact"/>
        <w:jc w:val="center"/>
        <w:rPr>
          <w:rStyle w:val="31"/>
          <w:rFonts w:hint="default" w:ascii="Times New Roman" w:hAnsi="Times New Roman" w:eastAsia="黑体" w:cs="Times New Roman"/>
          <w:b w:val="0"/>
          <w:color w:val="auto"/>
          <w:highlight w:val="none"/>
          <w:lang w:eastAsia="zh-CN"/>
        </w:rPr>
      </w:pPr>
      <w:r>
        <w:rPr>
          <w:rFonts w:hint="default" w:ascii="Times New Roman" w:hAnsi="Times New Roman" w:eastAsia="黑体" w:cs="Times New Roman"/>
          <w:color w:val="auto"/>
          <w:sz w:val="44"/>
          <w:szCs w:val="44"/>
          <w:highlight w:val="none"/>
        </w:rPr>
        <w:t>第四部分</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rPr>
        <w:t xml:space="preserve"> 附件</w:t>
      </w:r>
      <w:bookmarkEnd w:id="51"/>
    </w:p>
    <w:p w14:paraId="4BB6139A">
      <w:pPr>
        <w:keepNext w:val="0"/>
        <w:keepLines w:val="0"/>
        <w:pageBreakBefore w:val="0"/>
        <w:kinsoku/>
        <w:wordWrap/>
        <w:overflowPunct/>
        <w:topLinePunct w:val="0"/>
        <w:autoSpaceDE/>
        <w:autoSpaceDN/>
        <w:bidi w:val="0"/>
        <w:spacing w:line="572" w:lineRule="exact"/>
        <w:jc w:val="left"/>
        <w:textAlignment w:val="auto"/>
        <w:outlineLvl w:val="0"/>
        <w:rPr>
          <w:rFonts w:hint="default" w:ascii="Times New Roman" w:hAnsi="Times New Roman" w:eastAsia="黑体" w:cs="Times New Roman"/>
          <w:color w:val="FF0000"/>
          <w:sz w:val="32"/>
          <w:szCs w:val="32"/>
          <w:highlight w:val="none"/>
        </w:rPr>
      </w:pPr>
    </w:p>
    <w:p w14:paraId="4064B4C9">
      <w:pPr>
        <w:keepNext w:val="0"/>
        <w:keepLines w:val="0"/>
        <w:pageBreakBefore w:val="0"/>
        <w:kinsoku/>
        <w:wordWrap/>
        <w:overflowPunct/>
        <w:topLinePunct w:val="0"/>
        <w:autoSpaceDE/>
        <w:autoSpaceDN/>
        <w:bidi w:val="0"/>
        <w:spacing w:line="572" w:lineRule="exact"/>
        <w:jc w:val="left"/>
        <w:textAlignment w:val="auto"/>
        <w:outlineLvl w:val="0"/>
        <w:rPr>
          <w:rFonts w:hint="eastAsia" w:ascii="方正黑体_GBK" w:hAnsi="方正黑体_GBK" w:eastAsia="方正黑体_GBK" w:cs="方正黑体_GBK"/>
          <w:color w:val="auto"/>
          <w:sz w:val="44"/>
          <w:szCs w:val="44"/>
          <w:highlight w:val="none"/>
          <w:lang w:val="en-US" w:eastAsia="zh-CN"/>
        </w:rPr>
      </w:pPr>
      <w:r>
        <w:rPr>
          <w:rFonts w:hint="eastAsia" w:ascii="方正黑体_GBK" w:hAnsi="方正黑体_GBK" w:eastAsia="方正黑体_GBK" w:cs="方正黑体_GBK"/>
          <w:color w:val="auto"/>
          <w:sz w:val="32"/>
          <w:szCs w:val="32"/>
          <w:highlight w:val="none"/>
        </w:rPr>
        <w:t>附件</w:t>
      </w:r>
      <w:r>
        <w:rPr>
          <w:rFonts w:hint="eastAsia" w:ascii="方正黑体_GBK" w:hAnsi="方正黑体_GBK" w:eastAsia="方正黑体_GBK" w:cs="方正黑体_GBK"/>
          <w:color w:val="auto"/>
          <w:sz w:val="32"/>
          <w:szCs w:val="32"/>
          <w:highlight w:val="none"/>
          <w:lang w:val="en-US" w:eastAsia="zh-CN"/>
        </w:rPr>
        <w:t>1</w:t>
      </w:r>
    </w:p>
    <w:p w14:paraId="391F63E1">
      <w:pPr>
        <w:widowControl/>
        <w:tabs>
          <w:tab w:val="left" w:pos="1464"/>
          <w:tab w:val="center" w:pos="4482"/>
        </w:tabs>
        <w:spacing w:line="578" w:lineRule="exact"/>
        <w:contextualSpacing/>
        <w:jc w:val="left"/>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方正小标宋简体" w:cs="Times New Roman"/>
          <w:bCs/>
          <w:sz w:val="44"/>
          <w:szCs w:val="44"/>
          <w:shd w:val="clear" w:color="auto" w:fill="FFFFFF"/>
          <w:lang w:eastAsia="zh-CN"/>
        </w:rPr>
        <w:tab/>
      </w:r>
      <w:r>
        <w:rPr>
          <w:rFonts w:hint="default" w:ascii="Times New Roman" w:hAnsi="Times New Roman" w:eastAsia="方正小标宋简体" w:cs="Times New Roman"/>
          <w:bCs/>
          <w:sz w:val="44"/>
          <w:szCs w:val="44"/>
          <w:shd w:val="clear" w:color="auto" w:fill="FFFFFF"/>
        </w:rPr>
        <w:t>攀枝花市社会保险事务中心</w:t>
      </w:r>
    </w:p>
    <w:p w14:paraId="43376797">
      <w:pPr>
        <w:widowControl/>
        <w:spacing w:line="578" w:lineRule="exact"/>
        <w:contextualSpacing/>
        <w:jc w:val="center"/>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方正小标宋简体" w:cs="Times New Roman"/>
          <w:bCs/>
          <w:sz w:val="44"/>
          <w:szCs w:val="44"/>
          <w:shd w:val="clear" w:color="auto" w:fill="FFFFFF"/>
          <w:lang w:val="en-US" w:eastAsia="zh-CN"/>
        </w:rPr>
        <w:t>2025年</w:t>
      </w:r>
      <w:r>
        <w:rPr>
          <w:rFonts w:hint="default" w:ascii="Times New Roman" w:hAnsi="Times New Roman" w:eastAsia="方正小标宋简体" w:cs="Times New Roman"/>
          <w:bCs/>
          <w:sz w:val="44"/>
          <w:szCs w:val="44"/>
          <w:shd w:val="clear" w:color="auto" w:fill="FFFFFF"/>
        </w:rPr>
        <w:t>部门预算绩效自评报告</w:t>
      </w:r>
    </w:p>
    <w:p w14:paraId="5BF6B595">
      <w:pPr>
        <w:widowControl/>
        <w:spacing w:line="578" w:lineRule="exact"/>
        <w:contextualSpacing/>
        <w:jc w:val="center"/>
        <w:rPr>
          <w:rFonts w:hint="default" w:ascii="Times New Roman" w:hAnsi="Times New Roman" w:eastAsia="方正小标宋简体" w:cs="Times New Roman"/>
          <w:bCs/>
          <w:sz w:val="44"/>
          <w:szCs w:val="44"/>
          <w:shd w:val="clear" w:color="auto" w:fill="FFFFFF"/>
        </w:rPr>
      </w:pPr>
    </w:p>
    <w:p w14:paraId="2387B04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按照《攀枝花市财政局关于开展市本级预算绩效自评工作的通知》（攀财绩〔202</w:t>
      </w:r>
      <w:r>
        <w:rPr>
          <w:rFonts w:hint="default" w:ascii="Times New Roman" w:hAnsi="Times New Roman" w:eastAsia="仿宋_GB2312" w:cs="Times New Roman"/>
          <w:color w:val="auto"/>
          <w:kern w:val="0"/>
          <w:sz w:val="32"/>
          <w:szCs w:val="32"/>
          <w:lang w:val="en-US" w:eastAsia="zh-CN" w:bidi="ar-SA"/>
        </w:rPr>
        <w:t>6</w:t>
      </w: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号）要求，</w:t>
      </w:r>
      <w:r>
        <w:rPr>
          <w:rFonts w:hint="default" w:ascii="Times New Roman" w:hAnsi="Times New Roman" w:eastAsia="仿宋_GB2312" w:cs="Times New Roman"/>
          <w:color w:val="auto"/>
          <w:kern w:val="0"/>
          <w:sz w:val="32"/>
          <w:szCs w:val="32"/>
          <w:lang w:val="en-US" w:eastAsia="zh-CN" w:bidi="ar-SA"/>
        </w:rPr>
        <w:t>着力提升财政资源配置效率和资金</w:t>
      </w:r>
      <w:r>
        <w:rPr>
          <w:rFonts w:hint="default" w:ascii="Times New Roman" w:hAnsi="Times New Roman" w:eastAsia="仿宋_GB2312" w:cs="Times New Roman"/>
          <w:color w:val="auto"/>
          <w:kern w:val="0"/>
          <w:sz w:val="32"/>
          <w:szCs w:val="32"/>
          <w:lang w:val="zh-CN" w:eastAsia="zh-CN" w:bidi="ar-SA"/>
        </w:rPr>
        <w:t>使用效益，</w:t>
      </w:r>
      <w:r>
        <w:rPr>
          <w:rFonts w:hint="default" w:ascii="Times New Roman" w:hAnsi="Times New Roman" w:eastAsia="仿宋_GB2312" w:cs="Times New Roman"/>
          <w:color w:val="auto"/>
          <w:kern w:val="0"/>
          <w:sz w:val="32"/>
          <w:szCs w:val="32"/>
          <w:lang w:val="en-US" w:eastAsia="zh-CN" w:bidi="ar-SA"/>
        </w:rPr>
        <w:t>市社会保险事务中心</w:t>
      </w:r>
      <w:r>
        <w:rPr>
          <w:rFonts w:hint="default" w:ascii="Times New Roman" w:hAnsi="Times New Roman" w:eastAsia="仿宋_GB2312" w:cs="Times New Roman"/>
          <w:color w:val="auto"/>
          <w:kern w:val="0"/>
          <w:sz w:val="32"/>
          <w:szCs w:val="32"/>
          <w:lang w:val="zh-CN" w:eastAsia="zh-CN" w:bidi="ar-SA"/>
        </w:rPr>
        <w:t>中心认真组织开展了202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年部门预算整体绩效自评工作，</w:t>
      </w:r>
      <w:r>
        <w:rPr>
          <w:rFonts w:hint="default" w:ascii="Times New Roman" w:hAnsi="Times New Roman" w:eastAsia="仿宋_GB2312" w:cs="Times New Roman"/>
          <w:color w:val="auto"/>
          <w:kern w:val="0"/>
          <w:sz w:val="32"/>
          <w:szCs w:val="32"/>
          <w:lang w:val="en-US" w:eastAsia="zh-CN" w:bidi="ar-SA"/>
        </w:rPr>
        <w:t>现将相关情况</w:t>
      </w:r>
      <w:r>
        <w:rPr>
          <w:rFonts w:hint="default" w:ascii="Times New Roman" w:hAnsi="Times New Roman" w:eastAsia="仿宋_GB2312" w:cs="Times New Roman"/>
          <w:color w:val="auto"/>
          <w:kern w:val="0"/>
          <w:sz w:val="32"/>
          <w:szCs w:val="32"/>
          <w:lang w:val="zh-CN" w:eastAsia="zh-CN" w:bidi="ar-SA"/>
        </w:rPr>
        <w:t>报告如下。</w:t>
      </w:r>
    </w:p>
    <w:p w14:paraId="22A2405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一、部门（单位）基本情况</w:t>
      </w:r>
    </w:p>
    <w:p w14:paraId="2F53B1B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（一）机构组成</w:t>
      </w:r>
    </w:p>
    <w:p w14:paraId="12D51EA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攀枝花市社会保险事务中心是攀枝花市人力资源和社会保障局下属参照公务员法管理的事业单位，内设十科一室。</w:t>
      </w:r>
    </w:p>
    <w:p w14:paraId="0B6F75F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）机构职能</w:t>
      </w:r>
    </w:p>
    <w:p w14:paraId="7217E756">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sz w:val="32"/>
          <w:szCs w:val="32"/>
          <w:lang w:eastAsia="zh-CN"/>
        </w:rPr>
        <w:t>四川省攀枝花市社会保险事务中心</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4054039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三</w:t>
      </w:r>
      <w:r>
        <w:rPr>
          <w:rFonts w:hint="default" w:ascii="Times New Roman" w:hAnsi="Times New Roman" w:eastAsia="楷体_GB2312" w:cs="Times New Roman"/>
          <w:b/>
          <w:bCs/>
          <w:color w:val="000000"/>
          <w:kern w:val="0"/>
          <w:sz w:val="32"/>
          <w:szCs w:val="32"/>
          <w:shd w:val="clear" w:color="auto" w:fill="FFFFFF"/>
          <w:lang w:val="zh-CN"/>
        </w:rPr>
        <w:t>）人员概况</w:t>
      </w:r>
    </w:p>
    <w:p w14:paraId="52EC5C7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截至202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年末，攀枝花市社会保险事务中心核定人员编制数6</w:t>
      </w:r>
      <w:r>
        <w:rPr>
          <w:rFonts w:hint="default" w:ascii="Times New Roman" w:hAnsi="Times New Roman"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zh-CN" w:eastAsia="zh-CN" w:bidi="ar-SA"/>
        </w:rPr>
        <w:t>人，实有在编人员5</w:t>
      </w:r>
      <w:r>
        <w:rPr>
          <w:rFonts w:hint="default" w:ascii="Times New Roman" w:hAnsi="Times New Roman" w:eastAsia="仿宋_GB2312" w:cs="Times New Roman"/>
          <w:color w:val="auto"/>
          <w:kern w:val="0"/>
          <w:sz w:val="32"/>
          <w:szCs w:val="32"/>
          <w:lang w:val="en-US" w:eastAsia="zh-CN" w:bidi="ar-SA"/>
        </w:rPr>
        <w:t>8</w:t>
      </w:r>
      <w:r>
        <w:rPr>
          <w:rFonts w:hint="default" w:ascii="Times New Roman" w:hAnsi="Times New Roman" w:eastAsia="仿宋_GB2312" w:cs="Times New Roman"/>
          <w:color w:val="auto"/>
          <w:kern w:val="0"/>
          <w:sz w:val="32"/>
          <w:szCs w:val="32"/>
          <w:lang w:val="zh-CN" w:eastAsia="zh-CN" w:bidi="ar-SA"/>
        </w:rPr>
        <w:t>人，退休人员</w:t>
      </w:r>
      <w:r>
        <w:rPr>
          <w:rFonts w:hint="default" w:ascii="Times New Roman" w:hAnsi="Times New Roman" w:eastAsia="仿宋_GB2312" w:cs="Times New Roman"/>
          <w:color w:val="auto"/>
          <w:kern w:val="0"/>
          <w:sz w:val="32"/>
          <w:szCs w:val="32"/>
          <w:lang w:val="en-US" w:eastAsia="zh-CN" w:bidi="ar-SA"/>
        </w:rPr>
        <w:t>34</w:t>
      </w:r>
      <w:r>
        <w:rPr>
          <w:rFonts w:hint="default" w:ascii="Times New Roman" w:hAnsi="Times New Roman" w:eastAsia="仿宋_GB2312" w:cs="Times New Roman"/>
          <w:color w:val="auto"/>
          <w:kern w:val="0"/>
          <w:sz w:val="32"/>
          <w:szCs w:val="32"/>
          <w:lang w:val="zh-CN" w:eastAsia="zh-CN" w:bidi="ar-SA"/>
        </w:rPr>
        <w:t>人。根据工作需要另外聘用人员1</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人。</w:t>
      </w:r>
    </w:p>
    <w:p w14:paraId="77A6667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二、部门资金收支情况</w:t>
      </w:r>
    </w:p>
    <w:p w14:paraId="4298D6C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（一）收入情况</w:t>
      </w:r>
    </w:p>
    <w:p w14:paraId="752B6D0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年初预算收入</w:t>
      </w:r>
      <w:r>
        <w:rPr>
          <w:rFonts w:hint="default" w:ascii="Times New Roman" w:hAnsi="Times New Roman" w:eastAsia="仿宋_GB2312" w:cs="Times New Roman"/>
          <w:color w:val="auto"/>
          <w:kern w:val="0"/>
          <w:sz w:val="32"/>
          <w:szCs w:val="32"/>
          <w:lang w:val="en-US" w:eastAsia="zh-CN" w:bidi="ar-SA"/>
        </w:rPr>
        <w:t>1442.31万</w:t>
      </w:r>
      <w:r>
        <w:rPr>
          <w:rFonts w:hint="default" w:ascii="Times New Roman" w:hAnsi="Times New Roman" w:eastAsia="仿宋_GB2312" w:cs="Times New Roman"/>
          <w:color w:val="auto"/>
          <w:kern w:val="0"/>
          <w:sz w:val="32"/>
          <w:szCs w:val="32"/>
          <w:lang w:val="zh-CN" w:eastAsia="zh-CN" w:bidi="ar-SA"/>
        </w:rPr>
        <w:t>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年决算报表中本年收入</w:t>
      </w:r>
      <w:r>
        <w:rPr>
          <w:rFonts w:hint="default" w:ascii="Times New Roman" w:hAnsi="Times New Roman" w:eastAsia="仿宋_GB2312" w:cs="Times New Roman"/>
          <w:color w:val="auto"/>
          <w:kern w:val="0"/>
          <w:sz w:val="32"/>
          <w:szCs w:val="32"/>
          <w:lang w:val="en-US" w:eastAsia="zh-CN" w:bidi="ar-SA"/>
        </w:rPr>
        <w:t>1550.82万</w:t>
      </w:r>
      <w:r>
        <w:rPr>
          <w:rFonts w:hint="default" w:ascii="Times New Roman" w:hAnsi="Times New Roman" w:eastAsia="仿宋_GB2312" w:cs="Times New Roman"/>
          <w:color w:val="auto"/>
          <w:kern w:val="0"/>
          <w:sz w:val="32"/>
          <w:szCs w:val="32"/>
          <w:lang w:val="zh-CN" w:eastAsia="zh-CN" w:bidi="ar-SA"/>
        </w:rPr>
        <w:t>元，其中：其他组织事务支出</w:t>
      </w:r>
      <w:r>
        <w:rPr>
          <w:rFonts w:hint="default" w:ascii="Times New Roman" w:hAnsi="Times New Roman" w:eastAsia="仿宋_GB2312" w:cs="Times New Roman"/>
          <w:color w:val="auto"/>
          <w:kern w:val="0"/>
          <w:sz w:val="32"/>
          <w:szCs w:val="32"/>
          <w:lang w:val="en-US" w:eastAsia="zh-CN" w:bidi="ar-SA"/>
        </w:rPr>
        <w:t>13.69万元，占0.88%；</w:t>
      </w:r>
      <w:r>
        <w:rPr>
          <w:rFonts w:hint="default" w:ascii="Times New Roman" w:hAnsi="Times New Roman" w:eastAsia="仿宋_GB2312" w:cs="Times New Roman"/>
          <w:color w:val="auto"/>
          <w:kern w:val="0"/>
          <w:sz w:val="32"/>
          <w:szCs w:val="32"/>
          <w:lang w:val="zh-CN" w:eastAsia="zh-CN" w:bidi="ar-SA"/>
        </w:rPr>
        <w:t>行政运行</w:t>
      </w:r>
      <w:r>
        <w:rPr>
          <w:rFonts w:hint="default" w:ascii="Times New Roman" w:hAnsi="Times New Roman" w:eastAsia="仿宋_GB2312" w:cs="Times New Roman"/>
          <w:color w:val="auto"/>
          <w:kern w:val="0"/>
          <w:sz w:val="32"/>
          <w:szCs w:val="32"/>
          <w:lang w:val="en-US" w:eastAsia="zh-CN" w:bidi="ar-SA"/>
        </w:rPr>
        <w:t>991.49万元，</w:t>
      </w:r>
      <w:r>
        <w:rPr>
          <w:rFonts w:hint="default" w:ascii="Times New Roman" w:hAnsi="Times New Roman" w:eastAsia="仿宋_GB2312" w:cs="Times New Roman"/>
          <w:color w:val="auto"/>
          <w:kern w:val="0"/>
          <w:sz w:val="32"/>
          <w:szCs w:val="32"/>
          <w:lang w:val="zh-CN" w:eastAsia="zh-CN" w:bidi="ar-SA"/>
        </w:rPr>
        <w:t>占6</w:t>
      </w:r>
      <w:r>
        <w:rPr>
          <w:rFonts w:hint="default" w:ascii="Times New Roman" w:hAnsi="Times New Roman" w:eastAsia="仿宋_GB2312" w:cs="Times New Roman"/>
          <w:color w:val="auto"/>
          <w:kern w:val="0"/>
          <w:sz w:val="32"/>
          <w:szCs w:val="32"/>
          <w:lang w:val="en-US" w:eastAsia="zh-CN" w:bidi="ar-SA"/>
        </w:rPr>
        <w:t>3.93</w:t>
      </w:r>
      <w:r>
        <w:rPr>
          <w:rFonts w:hint="default" w:ascii="Times New Roman" w:hAnsi="Times New Roman" w:eastAsia="仿宋_GB2312" w:cs="Times New Roman"/>
          <w:color w:val="auto"/>
          <w:kern w:val="0"/>
          <w:sz w:val="32"/>
          <w:szCs w:val="32"/>
          <w:lang w:val="zh-CN" w:eastAsia="zh-CN" w:bidi="ar-SA"/>
        </w:rPr>
        <w:t>%；社会保险经办机构</w:t>
      </w:r>
      <w:r>
        <w:rPr>
          <w:rFonts w:hint="default" w:ascii="Times New Roman" w:hAnsi="Times New Roman" w:eastAsia="仿宋_GB2312" w:cs="Times New Roman"/>
          <w:color w:val="auto"/>
          <w:kern w:val="0"/>
          <w:sz w:val="32"/>
          <w:szCs w:val="32"/>
          <w:lang w:val="en-US" w:eastAsia="zh-CN" w:bidi="ar-SA"/>
        </w:rPr>
        <w:t>140.59万元，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9.07</w:t>
      </w:r>
      <w:r>
        <w:rPr>
          <w:rFonts w:hint="default" w:ascii="Times New Roman" w:hAnsi="Times New Roman" w:eastAsia="仿宋_GB2312" w:cs="Times New Roman"/>
          <w:color w:val="auto"/>
          <w:kern w:val="0"/>
          <w:sz w:val="32"/>
          <w:szCs w:val="32"/>
          <w:lang w:val="zh-CN" w:eastAsia="zh-CN" w:bidi="ar-SA"/>
        </w:rPr>
        <w:t>%；行政单位离退休</w:t>
      </w:r>
      <w:r>
        <w:rPr>
          <w:rFonts w:hint="default" w:ascii="Times New Roman" w:hAnsi="Times New Roman" w:eastAsia="仿宋_GB2312" w:cs="Times New Roman"/>
          <w:color w:val="auto"/>
          <w:kern w:val="0"/>
          <w:sz w:val="32"/>
          <w:szCs w:val="32"/>
          <w:lang w:val="en-US" w:eastAsia="zh-CN" w:bidi="ar-SA"/>
        </w:rPr>
        <w:t>103.77万元，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6.69</w:t>
      </w:r>
      <w:r>
        <w:rPr>
          <w:rFonts w:hint="default" w:ascii="Times New Roman" w:hAnsi="Times New Roman" w:eastAsia="仿宋_GB2312" w:cs="Times New Roman"/>
          <w:color w:val="auto"/>
          <w:kern w:val="0"/>
          <w:sz w:val="32"/>
          <w:szCs w:val="32"/>
          <w:lang w:val="zh-CN" w:eastAsia="zh-CN" w:bidi="ar-SA"/>
        </w:rPr>
        <w:t>%；机关事业单位基本养老保险缴费</w:t>
      </w:r>
      <w:r>
        <w:rPr>
          <w:rFonts w:hint="default" w:ascii="Times New Roman" w:hAnsi="Times New Roman" w:eastAsia="仿宋_GB2312" w:cs="Times New Roman"/>
          <w:color w:val="auto"/>
          <w:kern w:val="0"/>
          <w:sz w:val="32"/>
          <w:szCs w:val="32"/>
          <w:lang w:val="en-US" w:eastAsia="zh-CN" w:bidi="ar-SA"/>
        </w:rPr>
        <w:t>115.07万元，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7.42</w:t>
      </w:r>
      <w:r>
        <w:rPr>
          <w:rFonts w:hint="default" w:ascii="Times New Roman" w:hAnsi="Times New Roman" w:eastAsia="仿宋_GB2312" w:cs="Times New Roman"/>
          <w:color w:val="auto"/>
          <w:kern w:val="0"/>
          <w:sz w:val="32"/>
          <w:szCs w:val="32"/>
          <w:lang w:val="zh-CN" w:eastAsia="zh-CN" w:bidi="ar-SA"/>
        </w:rPr>
        <w:t>%；机关事业单位职业年金缴费</w:t>
      </w:r>
      <w:r>
        <w:rPr>
          <w:rFonts w:hint="default" w:ascii="Times New Roman" w:hAnsi="Times New Roman" w:eastAsia="仿宋_GB2312" w:cs="Times New Roman"/>
          <w:color w:val="auto"/>
          <w:kern w:val="0"/>
          <w:sz w:val="32"/>
          <w:szCs w:val="32"/>
          <w:lang w:val="en-US" w:eastAsia="zh-CN" w:bidi="ar-SA"/>
        </w:rPr>
        <w:t>16.16万元，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1.04</w:t>
      </w:r>
      <w:r>
        <w:rPr>
          <w:rFonts w:hint="default" w:ascii="Times New Roman" w:hAnsi="Times New Roman" w:eastAsia="仿宋_GB2312" w:cs="Times New Roman"/>
          <w:color w:val="auto"/>
          <w:kern w:val="0"/>
          <w:sz w:val="32"/>
          <w:szCs w:val="32"/>
          <w:lang w:val="zh-CN" w:eastAsia="zh-CN" w:bidi="ar-SA"/>
        </w:rPr>
        <w:t>%；行政单位医疗</w:t>
      </w:r>
      <w:r>
        <w:rPr>
          <w:rFonts w:hint="default" w:ascii="Times New Roman" w:hAnsi="Times New Roman" w:eastAsia="仿宋_GB2312" w:cs="Times New Roman"/>
          <w:color w:val="auto"/>
          <w:kern w:val="0"/>
          <w:sz w:val="32"/>
          <w:szCs w:val="32"/>
          <w:lang w:val="en-US" w:eastAsia="zh-CN" w:bidi="ar-SA"/>
        </w:rPr>
        <w:t>61.36万元，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3.96</w:t>
      </w:r>
      <w:r>
        <w:rPr>
          <w:rFonts w:hint="default" w:ascii="Times New Roman" w:hAnsi="Times New Roman" w:eastAsia="仿宋_GB2312" w:cs="Times New Roman"/>
          <w:color w:val="auto"/>
          <w:kern w:val="0"/>
          <w:sz w:val="32"/>
          <w:szCs w:val="32"/>
          <w:lang w:val="zh-CN" w:eastAsia="zh-CN" w:bidi="ar-SA"/>
        </w:rPr>
        <w:t>%；公务员医疗</w:t>
      </w:r>
      <w:r>
        <w:rPr>
          <w:rFonts w:hint="default" w:ascii="Times New Roman" w:hAnsi="Times New Roman" w:eastAsia="仿宋_GB2312" w:cs="Times New Roman"/>
          <w:color w:val="auto"/>
          <w:kern w:val="0"/>
          <w:sz w:val="32"/>
          <w:szCs w:val="32"/>
          <w:lang w:val="en-US" w:eastAsia="zh-CN" w:bidi="ar-SA"/>
        </w:rPr>
        <w:t>补助6.84万元，占0.44%；其他行政事业单位医疗7.73万元，占0.5%；住房公积金94.12万元，占6.07%。</w:t>
      </w:r>
    </w:p>
    <w:p w14:paraId="6769BF3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）支出情况</w:t>
      </w:r>
    </w:p>
    <w:p w14:paraId="2F3DBF6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年初预算支出</w:t>
      </w:r>
      <w:r>
        <w:rPr>
          <w:rFonts w:hint="default" w:ascii="Times New Roman" w:hAnsi="Times New Roman" w:eastAsia="仿宋_GB2312" w:cs="Times New Roman"/>
          <w:color w:val="auto"/>
          <w:kern w:val="0"/>
          <w:sz w:val="32"/>
          <w:szCs w:val="32"/>
          <w:lang w:val="en-US" w:eastAsia="zh-CN" w:bidi="ar-SA"/>
        </w:rPr>
        <w:t>1442.31万</w:t>
      </w:r>
      <w:r>
        <w:rPr>
          <w:rFonts w:hint="default" w:ascii="Times New Roman" w:hAnsi="Times New Roman" w:eastAsia="仿宋_GB2312" w:cs="Times New Roman"/>
          <w:color w:val="auto"/>
          <w:kern w:val="0"/>
          <w:sz w:val="32"/>
          <w:szCs w:val="32"/>
          <w:lang w:val="zh-CN" w:eastAsia="zh-CN" w:bidi="ar-SA"/>
        </w:rPr>
        <w:t>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年决算报表中本年支出</w:t>
      </w:r>
      <w:r>
        <w:rPr>
          <w:rFonts w:hint="default" w:ascii="Times New Roman" w:hAnsi="Times New Roman" w:eastAsia="仿宋_GB2312" w:cs="Times New Roman"/>
          <w:color w:val="auto"/>
          <w:kern w:val="0"/>
          <w:sz w:val="32"/>
          <w:szCs w:val="32"/>
          <w:lang w:val="en-US" w:eastAsia="zh-CN" w:bidi="ar-SA"/>
        </w:rPr>
        <w:t>1550.82万</w:t>
      </w:r>
      <w:r>
        <w:rPr>
          <w:rFonts w:hint="default" w:ascii="Times New Roman" w:hAnsi="Times New Roman" w:eastAsia="仿宋_GB2312" w:cs="Times New Roman"/>
          <w:color w:val="auto"/>
          <w:kern w:val="0"/>
          <w:sz w:val="32"/>
          <w:szCs w:val="32"/>
          <w:lang w:val="zh-CN" w:eastAsia="zh-CN" w:bidi="ar-SA"/>
        </w:rPr>
        <w:t>元，其中：其他组织事务支出</w:t>
      </w:r>
      <w:r>
        <w:rPr>
          <w:rFonts w:hint="default" w:ascii="Times New Roman" w:hAnsi="Times New Roman" w:eastAsia="仿宋_GB2312" w:cs="Times New Roman"/>
          <w:color w:val="auto"/>
          <w:kern w:val="0"/>
          <w:sz w:val="32"/>
          <w:szCs w:val="32"/>
          <w:lang w:val="en-US" w:eastAsia="zh-CN" w:bidi="ar-SA"/>
        </w:rPr>
        <w:t>13.69万元，占0.88%；</w:t>
      </w:r>
      <w:r>
        <w:rPr>
          <w:rFonts w:hint="default" w:ascii="Times New Roman" w:hAnsi="Times New Roman" w:eastAsia="仿宋_GB2312" w:cs="Times New Roman"/>
          <w:color w:val="auto"/>
          <w:kern w:val="0"/>
          <w:sz w:val="32"/>
          <w:szCs w:val="32"/>
          <w:lang w:val="zh-CN" w:eastAsia="zh-CN" w:bidi="ar-SA"/>
        </w:rPr>
        <w:t>行政运行</w:t>
      </w:r>
      <w:r>
        <w:rPr>
          <w:rFonts w:hint="default" w:ascii="Times New Roman" w:hAnsi="Times New Roman" w:eastAsia="仿宋_GB2312" w:cs="Times New Roman"/>
          <w:color w:val="auto"/>
          <w:kern w:val="0"/>
          <w:sz w:val="32"/>
          <w:szCs w:val="32"/>
          <w:lang w:val="en-US" w:eastAsia="zh-CN" w:bidi="ar-SA"/>
        </w:rPr>
        <w:t>991.49万元，</w:t>
      </w:r>
      <w:r>
        <w:rPr>
          <w:rFonts w:hint="default" w:ascii="Times New Roman" w:hAnsi="Times New Roman" w:eastAsia="仿宋_GB2312" w:cs="Times New Roman"/>
          <w:color w:val="auto"/>
          <w:kern w:val="0"/>
          <w:sz w:val="32"/>
          <w:szCs w:val="32"/>
          <w:lang w:val="zh-CN" w:eastAsia="zh-CN" w:bidi="ar-SA"/>
        </w:rPr>
        <w:t>占6</w:t>
      </w:r>
      <w:r>
        <w:rPr>
          <w:rFonts w:hint="default" w:ascii="Times New Roman" w:hAnsi="Times New Roman" w:eastAsia="仿宋_GB2312" w:cs="Times New Roman"/>
          <w:color w:val="auto"/>
          <w:kern w:val="0"/>
          <w:sz w:val="32"/>
          <w:szCs w:val="32"/>
          <w:lang w:val="en-US" w:eastAsia="zh-CN" w:bidi="ar-SA"/>
        </w:rPr>
        <w:t>3.93</w:t>
      </w:r>
      <w:r>
        <w:rPr>
          <w:rFonts w:hint="default" w:ascii="Times New Roman" w:hAnsi="Times New Roman" w:eastAsia="仿宋_GB2312" w:cs="Times New Roman"/>
          <w:color w:val="auto"/>
          <w:kern w:val="0"/>
          <w:sz w:val="32"/>
          <w:szCs w:val="32"/>
          <w:lang w:val="zh-CN" w:eastAsia="zh-CN" w:bidi="ar-SA"/>
        </w:rPr>
        <w:t>%；社会保险经办机构</w:t>
      </w:r>
      <w:r>
        <w:rPr>
          <w:rFonts w:hint="default" w:ascii="Times New Roman" w:hAnsi="Times New Roman" w:eastAsia="仿宋_GB2312" w:cs="Times New Roman"/>
          <w:color w:val="auto"/>
          <w:kern w:val="0"/>
          <w:sz w:val="32"/>
          <w:szCs w:val="32"/>
          <w:lang w:val="en-US" w:eastAsia="zh-CN" w:bidi="ar-SA"/>
        </w:rPr>
        <w:t>140.59万元，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9.07</w:t>
      </w:r>
      <w:r>
        <w:rPr>
          <w:rFonts w:hint="default" w:ascii="Times New Roman" w:hAnsi="Times New Roman" w:eastAsia="仿宋_GB2312" w:cs="Times New Roman"/>
          <w:color w:val="auto"/>
          <w:kern w:val="0"/>
          <w:sz w:val="32"/>
          <w:szCs w:val="32"/>
          <w:lang w:val="zh-CN" w:eastAsia="zh-CN" w:bidi="ar-SA"/>
        </w:rPr>
        <w:t>%；行政单位离退休</w:t>
      </w:r>
      <w:r>
        <w:rPr>
          <w:rFonts w:hint="default" w:ascii="Times New Roman" w:hAnsi="Times New Roman" w:eastAsia="仿宋_GB2312" w:cs="Times New Roman"/>
          <w:color w:val="auto"/>
          <w:kern w:val="0"/>
          <w:sz w:val="32"/>
          <w:szCs w:val="32"/>
          <w:lang w:val="en-US" w:eastAsia="zh-CN" w:bidi="ar-SA"/>
        </w:rPr>
        <w:t>103.77万元，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6.69</w:t>
      </w:r>
      <w:r>
        <w:rPr>
          <w:rFonts w:hint="default" w:ascii="Times New Roman" w:hAnsi="Times New Roman" w:eastAsia="仿宋_GB2312" w:cs="Times New Roman"/>
          <w:color w:val="auto"/>
          <w:kern w:val="0"/>
          <w:sz w:val="32"/>
          <w:szCs w:val="32"/>
          <w:lang w:val="zh-CN" w:eastAsia="zh-CN" w:bidi="ar-SA"/>
        </w:rPr>
        <w:t>%；机关事业单位基本养老保险缴费</w:t>
      </w:r>
      <w:r>
        <w:rPr>
          <w:rFonts w:hint="default" w:ascii="Times New Roman" w:hAnsi="Times New Roman" w:eastAsia="仿宋_GB2312" w:cs="Times New Roman"/>
          <w:color w:val="auto"/>
          <w:kern w:val="0"/>
          <w:sz w:val="32"/>
          <w:szCs w:val="32"/>
          <w:lang w:val="en-US" w:eastAsia="zh-CN" w:bidi="ar-SA"/>
        </w:rPr>
        <w:t>115.07万元，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7.42</w:t>
      </w:r>
      <w:r>
        <w:rPr>
          <w:rFonts w:hint="default" w:ascii="Times New Roman" w:hAnsi="Times New Roman" w:eastAsia="仿宋_GB2312" w:cs="Times New Roman"/>
          <w:color w:val="auto"/>
          <w:kern w:val="0"/>
          <w:sz w:val="32"/>
          <w:szCs w:val="32"/>
          <w:lang w:val="zh-CN" w:eastAsia="zh-CN" w:bidi="ar-SA"/>
        </w:rPr>
        <w:t>%；机关事业单位职业年金缴费</w:t>
      </w:r>
      <w:r>
        <w:rPr>
          <w:rFonts w:hint="default" w:ascii="Times New Roman" w:hAnsi="Times New Roman" w:eastAsia="仿宋_GB2312" w:cs="Times New Roman"/>
          <w:color w:val="auto"/>
          <w:kern w:val="0"/>
          <w:sz w:val="32"/>
          <w:szCs w:val="32"/>
          <w:lang w:val="en-US" w:eastAsia="zh-CN" w:bidi="ar-SA"/>
        </w:rPr>
        <w:t>16.16万元，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1.04</w:t>
      </w:r>
      <w:r>
        <w:rPr>
          <w:rFonts w:hint="default" w:ascii="Times New Roman" w:hAnsi="Times New Roman" w:eastAsia="仿宋_GB2312" w:cs="Times New Roman"/>
          <w:color w:val="auto"/>
          <w:kern w:val="0"/>
          <w:sz w:val="32"/>
          <w:szCs w:val="32"/>
          <w:lang w:val="zh-CN" w:eastAsia="zh-CN" w:bidi="ar-SA"/>
        </w:rPr>
        <w:t>%；行政单位医疗</w:t>
      </w:r>
      <w:r>
        <w:rPr>
          <w:rFonts w:hint="default" w:ascii="Times New Roman" w:hAnsi="Times New Roman" w:eastAsia="仿宋_GB2312" w:cs="Times New Roman"/>
          <w:color w:val="auto"/>
          <w:kern w:val="0"/>
          <w:sz w:val="32"/>
          <w:szCs w:val="32"/>
          <w:lang w:val="en-US" w:eastAsia="zh-CN" w:bidi="ar-SA"/>
        </w:rPr>
        <w:t>61.36万元，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3.96</w:t>
      </w:r>
      <w:r>
        <w:rPr>
          <w:rFonts w:hint="default" w:ascii="Times New Roman" w:hAnsi="Times New Roman" w:eastAsia="仿宋_GB2312" w:cs="Times New Roman"/>
          <w:color w:val="auto"/>
          <w:kern w:val="0"/>
          <w:sz w:val="32"/>
          <w:szCs w:val="32"/>
          <w:lang w:val="zh-CN" w:eastAsia="zh-CN" w:bidi="ar-SA"/>
        </w:rPr>
        <w:t>%；公务员医疗</w:t>
      </w:r>
      <w:r>
        <w:rPr>
          <w:rFonts w:hint="default" w:ascii="Times New Roman" w:hAnsi="Times New Roman" w:eastAsia="仿宋_GB2312" w:cs="Times New Roman"/>
          <w:color w:val="auto"/>
          <w:kern w:val="0"/>
          <w:sz w:val="32"/>
          <w:szCs w:val="32"/>
          <w:lang w:val="en-US" w:eastAsia="zh-CN" w:bidi="ar-SA"/>
        </w:rPr>
        <w:t>补助6.84万元，占0.44%；其他行政事业单位医疗7.73万元，占0.5%；住房公积金94.12万元，占6.07%。</w:t>
      </w:r>
    </w:p>
    <w:p w14:paraId="0ABF4BB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2025年，市社会保险事务中心认真落实各项</w:t>
      </w:r>
      <w:r>
        <w:rPr>
          <w:rFonts w:hint="default" w:ascii="Times New Roman" w:hAnsi="Times New Roman" w:eastAsia="仿宋_GB2312" w:cs="Times New Roman"/>
          <w:color w:val="auto"/>
          <w:kern w:val="0"/>
          <w:sz w:val="32"/>
          <w:szCs w:val="32"/>
          <w:lang w:val="en-US" w:eastAsia="zh-CN" w:bidi="ar-SA"/>
        </w:rPr>
        <w:t>社保</w:t>
      </w:r>
      <w:r>
        <w:rPr>
          <w:rFonts w:hint="default" w:ascii="Times New Roman" w:hAnsi="Times New Roman" w:eastAsia="仿宋_GB2312" w:cs="Times New Roman"/>
          <w:color w:val="auto"/>
          <w:kern w:val="0"/>
          <w:sz w:val="32"/>
          <w:szCs w:val="32"/>
          <w:lang w:val="zh-CN" w:eastAsia="zh-CN" w:bidi="ar-SA"/>
        </w:rPr>
        <w:t>经办任务，坚持保发放、拓扩面、优服务、防风险、促发展，持续推进社保经办精细化、规范化、数字化、智能化、专业化建设，兜住、兜准、兜牢民生底线，为高质量发展建设共同富裕试验区提供坚强保障。</w:t>
      </w:r>
    </w:p>
    <w:p w14:paraId="77270BD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1.全力提升社会保险覆盖面。</w:t>
      </w:r>
      <w:r>
        <w:rPr>
          <w:rFonts w:hint="default" w:ascii="Times New Roman" w:hAnsi="Times New Roman" w:eastAsia="仿宋_GB2312" w:cs="Times New Roman"/>
          <w:color w:val="auto"/>
          <w:kern w:val="0"/>
          <w:sz w:val="32"/>
          <w:szCs w:val="32"/>
          <w:lang w:val="en-US" w:eastAsia="zh-CN" w:bidi="ar-SA"/>
        </w:rPr>
        <w:t>加大社会保险扩面力度，</w:t>
      </w:r>
      <w:r>
        <w:rPr>
          <w:rFonts w:hint="default" w:ascii="Times New Roman" w:hAnsi="Times New Roman" w:eastAsia="仿宋_GB2312" w:cs="Times New Roman"/>
          <w:color w:val="auto"/>
          <w:kern w:val="0"/>
          <w:sz w:val="32"/>
          <w:szCs w:val="32"/>
          <w:lang w:val="zh-CN" w:eastAsia="zh-CN" w:bidi="ar-SA"/>
        </w:rPr>
        <w:t>积极掌握参保人员底数，督促用人单位依法为职工参加社会保险，持续做好新就业形态就业人员、灵活就业人员、农民工等重点群体精准扩面。继续推进落实基层快递网点优先参加工伤保险政策，持续做好公务员、参公事业单位人员参加工伤保险经办工作。</w:t>
      </w:r>
      <w:r>
        <w:rPr>
          <w:rFonts w:hint="default" w:ascii="Times New Roman" w:hAnsi="Times New Roman" w:eastAsia="仿宋_GB2312" w:cs="Times New Roman"/>
          <w:color w:val="auto"/>
          <w:kern w:val="0"/>
          <w:sz w:val="32"/>
          <w:szCs w:val="32"/>
          <w:lang w:val="en-US" w:eastAsia="zh-CN" w:bidi="ar-SA"/>
        </w:rPr>
        <w:t>全市被征地农民和退捕渔民做到“应保尽保”。</w:t>
      </w:r>
    </w:p>
    <w:p w14:paraId="1DA21BA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zh-CN" w:eastAsia="zh-CN" w:bidi="ar-SA"/>
        </w:rPr>
        <w:t>2.深化社保帮扶助力乡村振兴。</w:t>
      </w:r>
      <w:r>
        <w:rPr>
          <w:rFonts w:hint="default" w:ascii="Times New Roman" w:hAnsi="Times New Roman" w:eastAsia="仿宋_GB2312" w:cs="Times New Roman"/>
          <w:color w:val="auto"/>
          <w:kern w:val="0"/>
          <w:sz w:val="32"/>
          <w:szCs w:val="32"/>
          <w:lang w:val="en-US" w:eastAsia="zh-CN" w:bidi="ar-SA"/>
        </w:rPr>
        <w:t>完善城乡居民基本养老保险帮扶政策，对困难群体代缴城乡居民养老保险费，继续巩固乡村振兴成果。为全市低保对象、特困人员、重度残疾人、原建档立卡贫困人员等困难群体代缴养老保险费，代缴率100%。</w:t>
      </w:r>
    </w:p>
    <w:p w14:paraId="2253850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3.多渠道筹资促进养老缴费提质增效。</w:t>
      </w:r>
      <w:r>
        <w:rPr>
          <w:rFonts w:hint="default" w:ascii="Times New Roman" w:hAnsi="Times New Roman" w:eastAsia="仿宋_GB2312" w:cs="Times New Roman"/>
          <w:color w:val="auto"/>
          <w:kern w:val="0"/>
          <w:sz w:val="32"/>
          <w:szCs w:val="32"/>
          <w:lang w:val="en-US" w:eastAsia="zh-CN" w:bidi="ar-SA"/>
        </w:rPr>
        <w:t>开展集体经济补助城乡居民基本养老保险参保缴费试点工作，有效提升参保居民的缴费积极性和村集体凝聚力，助推攀枝花市共同富裕试验区建设。</w:t>
      </w:r>
    </w:p>
    <w:p w14:paraId="6C3C7313">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4.保障社保待遇按时足额发放。</w:t>
      </w:r>
      <w:r>
        <w:rPr>
          <w:rFonts w:hint="default" w:ascii="Times New Roman" w:hAnsi="Times New Roman" w:eastAsia="仿宋_GB2312" w:cs="Times New Roman"/>
          <w:color w:val="auto"/>
          <w:kern w:val="0"/>
          <w:sz w:val="32"/>
          <w:szCs w:val="32"/>
          <w:lang w:val="en-US" w:eastAsia="zh-CN" w:bidi="ar-SA"/>
        </w:rPr>
        <w:t>积极向上争取资金支持，保障退休人员基本养老金和工伤人员待遇按时足额发放。稳步提高社会保险待遇水平，</w:t>
      </w:r>
      <w:r>
        <w:rPr>
          <w:rFonts w:hint="default" w:ascii="Times New Roman" w:hAnsi="Times New Roman" w:eastAsia="仿宋_GB2312" w:cs="Times New Roman"/>
          <w:color w:val="auto"/>
          <w:kern w:val="0"/>
          <w:sz w:val="32"/>
          <w:szCs w:val="32"/>
          <w:lang w:val="zh-CN" w:eastAsia="zh-CN" w:bidi="ar-SA"/>
        </w:rPr>
        <w:t>深化社保待遇精细化管理。</w:t>
      </w:r>
    </w:p>
    <w:p w14:paraId="56846650">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5</w:t>
      </w:r>
      <w:r>
        <w:rPr>
          <w:rFonts w:hint="default" w:ascii="Times New Roman" w:hAnsi="Times New Roman" w:eastAsia="仿宋_GB2312" w:cs="Times New Roman"/>
          <w:b/>
          <w:bCs/>
          <w:color w:val="auto"/>
          <w:kern w:val="0"/>
          <w:sz w:val="32"/>
          <w:szCs w:val="32"/>
          <w:lang w:val="zh-CN" w:eastAsia="zh-CN" w:bidi="ar-SA"/>
        </w:rPr>
        <w:t>.有序落实渐进式延迟法定退休年龄改革与企业职工养老保险全国统筹。</w:t>
      </w:r>
      <w:r>
        <w:rPr>
          <w:rFonts w:hint="default" w:ascii="Times New Roman" w:hAnsi="Times New Roman" w:eastAsia="仿宋_GB2312" w:cs="Times New Roman"/>
          <w:color w:val="auto"/>
          <w:kern w:val="0"/>
          <w:sz w:val="32"/>
          <w:szCs w:val="32"/>
          <w:lang w:val="en-US" w:eastAsia="zh-CN" w:bidi="ar-SA"/>
        </w:rPr>
        <w:t>扎实做好政策宣传、人员培训、信访维稳等工作，统一政策解释口径，建立应急处置机制，增强群众对延迟退休改革的理解，确保延迟退休政策有序落地。紧密跟进我省企业职工基本养老保险新政策及女性灵活就业人员延迟退休政策制定情况，同时加强与企业沟通协调及对县区的政策指导，力争平稳过渡。</w:t>
      </w:r>
    </w:p>
    <w:p w14:paraId="7B46E8FE">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6.稳步推进机关事业单位养老保险制度改革。</w:t>
      </w:r>
      <w:r>
        <w:rPr>
          <w:rFonts w:hint="default" w:ascii="Times New Roman" w:hAnsi="Times New Roman" w:eastAsia="仿宋_GB2312" w:cs="Times New Roman"/>
          <w:color w:val="auto"/>
          <w:kern w:val="0"/>
          <w:sz w:val="32"/>
          <w:szCs w:val="32"/>
          <w:lang w:val="en-US" w:eastAsia="zh-CN" w:bidi="ar-SA"/>
        </w:rPr>
        <w:t>高效有序开展机关事业单位2024年退休人员待遇重算，成功兑现全市机关事业单位退休人员待遇，及时兑现退休人员职业年金待遇。</w:t>
      </w:r>
    </w:p>
    <w:p w14:paraId="4A09DF31">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7.持续推进社保数字化转型。</w:t>
      </w:r>
      <w:r>
        <w:rPr>
          <w:rFonts w:hint="default" w:ascii="Times New Roman" w:hAnsi="Times New Roman" w:eastAsia="仿宋_GB2312" w:cs="Times New Roman"/>
          <w:color w:val="auto"/>
          <w:kern w:val="0"/>
          <w:sz w:val="32"/>
          <w:szCs w:val="32"/>
          <w:lang w:val="en-US" w:eastAsia="zh-CN" w:bidi="ar-SA"/>
        </w:rPr>
        <w:t>依托四川省社会保险信息系统，积极对接四川省政务服务网、四川人社在线公共服务平台等网上办事平台，充分利用互联网、大数据等技术信息，推进社保经办全流程数据化服务，推进社保服务“网上办”“掌上办”“云端办”，变“群众跑腿”为“数据跑路”。</w:t>
      </w:r>
    </w:p>
    <w:p w14:paraId="3EDA6C4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en-US" w:eastAsia="zh-CN"/>
        </w:rPr>
      </w:pPr>
      <w:r>
        <w:rPr>
          <w:rFonts w:hint="default" w:ascii="Times New Roman" w:hAnsi="Times New Roman" w:eastAsia="楷体_GB2312" w:cs="Times New Roman"/>
          <w:b/>
          <w:bCs/>
          <w:color w:val="000000"/>
          <w:kern w:val="0"/>
          <w:sz w:val="32"/>
          <w:szCs w:val="32"/>
          <w:shd w:val="clear" w:color="auto" w:fill="FFFFFF"/>
          <w:lang w:val="en-US" w:eastAsia="zh-CN"/>
        </w:rPr>
        <w:t>（三）结余分配和结转结余情况</w:t>
      </w:r>
    </w:p>
    <w:p w14:paraId="2BA174E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攀枝花市社会保险事务中心2025年决算报表中无结转结余。</w:t>
      </w:r>
    </w:p>
    <w:p w14:paraId="3A37669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三、部门预算绩效分析</w:t>
      </w:r>
    </w:p>
    <w:p w14:paraId="5C92DB68">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（一）部门预算总体绩效分析</w:t>
      </w:r>
    </w:p>
    <w:p w14:paraId="243F2E0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履职效能</w:t>
      </w:r>
    </w:p>
    <w:p w14:paraId="2D83981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1）“省管森工企业离退休人员社会化管理经费”项目在当期完成了项目的总体实施，执行率100%。2025年为省管森工企业离退休人员完善了社会化服务管理信息，退休人员社会化管理率达到100%。确保代管的省管森工企业离退休人员基本养老金按时足额发放，提升省管森工企业离退休人员社会化管理服务水平。</w:t>
      </w:r>
    </w:p>
    <w:p w14:paraId="11A5A1A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“入驻政务中心单位租金、物业费及水电费”项目在当期完成了项目的总体实施，执行率100%。保证了市社会保险事务中心工作正常开展</w:t>
      </w:r>
      <w:r>
        <w:rPr>
          <w:rFonts w:hint="default" w:ascii="Times New Roman" w:hAnsi="Times New Roman" w:eastAsia="仿宋_GB2312" w:cs="Times New Roman"/>
          <w:color w:val="auto"/>
          <w:kern w:val="0"/>
          <w:sz w:val="32"/>
          <w:szCs w:val="32"/>
          <w:lang w:val="zh-CN" w:eastAsia="zh-CN" w:bidi="ar-SA"/>
        </w:rPr>
        <w:t>。</w:t>
      </w:r>
    </w:p>
    <w:p w14:paraId="04A2767D">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预算管理</w:t>
      </w:r>
    </w:p>
    <w:p w14:paraId="766776E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严格按要求编制年初部门预算，年初预算编制具有科学性和准确性。严控“三公”经费、会议费、培训费、差旅费等支出，年终无结转结余。</w:t>
      </w:r>
    </w:p>
    <w:p w14:paraId="0DD573F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财务管理</w:t>
      </w:r>
    </w:p>
    <w:p w14:paraId="292327C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建立了财务管理制度，由办公室统一管理</w:t>
      </w:r>
      <w:r>
        <w:rPr>
          <w:rFonts w:hint="default" w:ascii="Times New Roman" w:hAnsi="Times New Roman" w:eastAsia="仿宋_GB2312" w:cs="Times New Roman"/>
          <w:color w:val="auto"/>
          <w:kern w:val="0"/>
          <w:sz w:val="32"/>
          <w:szCs w:val="32"/>
          <w:lang w:val="en-US" w:eastAsia="zh-CN" w:bidi="ar-SA"/>
        </w:rPr>
        <w:t>各项</w:t>
      </w:r>
      <w:r>
        <w:rPr>
          <w:rFonts w:hint="default" w:ascii="Times New Roman" w:hAnsi="Times New Roman" w:eastAsia="仿宋_GB2312" w:cs="Times New Roman"/>
          <w:color w:val="auto"/>
          <w:kern w:val="0"/>
          <w:sz w:val="32"/>
          <w:szCs w:val="32"/>
          <w:lang w:val="zh-CN" w:eastAsia="zh-CN" w:bidi="ar-SA"/>
        </w:rPr>
        <w:t>资金，</w:t>
      </w:r>
      <w:r>
        <w:rPr>
          <w:rFonts w:hint="default" w:ascii="Times New Roman" w:hAnsi="Times New Roman" w:eastAsia="仿宋_GB2312" w:cs="Times New Roman"/>
          <w:color w:val="auto"/>
          <w:kern w:val="0"/>
          <w:sz w:val="32"/>
          <w:szCs w:val="32"/>
          <w:lang w:val="en-US" w:eastAsia="zh-CN" w:bidi="ar-SA"/>
        </w:rPr>
        <w:t>严格按照财政要求上报资金使用计划，并在实施过程中做到资金专项专用。所有支出严格按照财务会计管理规定，做到资金使用有计划、审批有手续、支出合理规范。并</w:t>
      </w:r>
      <w:r>
        <w:rPr>
          <w:rFonts w:hint="default" w:ascii="Times New Roman" w:hAnsi="Times New Roman" w:eastAsia="仿宋_GB2312" w:cs="Times New Roman"/>
          <w:color w:val="auto"/>
          <w:kern w:val="0"/>
          <w:sz w:val="32"/>
          <w:szCs w:val="32"/>
          <w:lang w:val="zh-CN" w:eastAsia="zh-CN" w:bidi="ar-SA"/>
        </w:rPr>
        <w:t>及时进行账务处理和会计核算。</w:t>
      </w:r>
    </w:p>
    <w:p w14:paraId="24A4A2F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资产管理</w:t>
      </w:r>
    </w:p>
    <w:p w14:paraId="743918E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攀枝花市社会保险事务中心无资产超最低使用年限的情况，无闲置一年以上的资产。</w:t>
      </w:r>
    </w:p>
    <w:p w14:paraId="7A32497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5.</w:t>
      </w:r>
      <w:r>
        <w:rPr>
          <w:rFonts w:hint="default" w:ascii="Times New Roman" w:hAnsi="Times New Roman" w:eastAsia="仿宋_GB2312" w:cs="Times New Roman"/>
          <w:b/>
          <w:bCs/>
          <w:color w:val="auto"/>
          <w:kern w:val="0"/>
          <w:sz w:val="32"/>
          <w:szCs w:val="32"/>
          <w:lang w:val="zh-CN" w:eastAsia="zh-CN" w:bidi="ar-SA"/>
        </w:rPr>
        <w:t>采购管理</w:t>
      </w:r>
    </w:p>
    <w:p w14:paraId="7C730ED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攀枝花市社会保险事务中心按规定进行政府采购，严格执行政府采购促进中小企业发展相关管理办法。</w:t>
      </w:r>
    </w:p>
    <w:p w14:paraId="566EF16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（二）部门预算项目绩效分析</w:t>
      </w:r>
    </w:p>
    <w:p w14:paraId="3B4D9DD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常年项目绩效分析。</w:t>
      </w:r>
      <w:r>
        <w:rPr>
          <w:rFonts w:hint="default" w:ascii="Times New Roman" w:hAnsi="Times New Roman" w:eastAsia="仿宋_GB2312" w:cs="Times New Roman"/>
          <w:color w:val="auto"/>
          <w:kern w:val="0"/>
          <w:sz w:val="32"/>
          <w:szCs w:val="32"/>
          <w:lang w:val="zh-CN" w:eastAsia="zh-CN" w:bidi="ar-SA"/>
        </w:rPr>
        <w:t>该类项目总数</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个，涉及预算总金额</w:t>
      </w:r>
      <w:r>
        <w:rPr>
          <w:rFonts w:hint="default" w:ascii="Times New Roman" w:hAnsi="Times New Roman" w:eastAsia="仿宋_GB2312" w:cs="Times New Roman"/>
          <w:color w:val="auto"/>
          <w:kern w:val="0"/>
          <w:sz w:val="32"/>
          <w:szCs w:val="32"/>
          <w:lang w:val="en-US" w:eastAsia="zh-CN" w:bidi="ar-SA"/>
        </w:rPr>
        <w:t>88.1</w:t>
      </w:r>
      <w:r>
        <w:rPr>
          <w:rFonts w:hint="default" w:ascii="Times New Roman" w:hAnsi="Times New Roman" w:eastAsia="仿宋_GB2312" w:cs="Times New Roman"/>
          <w:color w:val="auto"/>
          <w:kern w:val="0"/>
          <w:sz w:val="32"/>
          <w:szCs w:val="32"/>
          <w:lang w:val="zh-CN" w:eastAsia="zh-CN" w:bidi="ar-SA"/>
        </w:rPr>
        <w:t>万元，1—1</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月预算执行总体进度为</w:t>
      </w:r>
      <w:r>
        <w:rPr>
          <w:rFonts w:hint="default" w:ascii="Times New Roman" w:hAnsi="Times New Roman" w:eastAsia="仿宋_GB2312" w:cs="Times New Roman"/>
          <w:color w:val="auto"/>
          <w:kern w:val="0"/>
          <w:sz w:val="32"/>
          <w:szCs w:val="32"/>
          <w:lang w:val="en-US" w:eastAsia="zh-CN" w:bidi="ar-SA"/>
        </w:rPr>
        <w:t>100</w:t>
      </w:r>
      <w:r>
        <w:rPr>
          <w:rFonts w:hint="default" w:ascii="Times New Roman" w:hAnsi="Times New Roman" w:eastAsia="仿宋_GB2312" w:cs="Times New Roman"/>
          <w:color w:val="auto"/>
          <w:kern w:val="0"/>
          <w:sz w:val="32"/>
          <w:szCs w:val="32"/>
          <w:lang w:val="zh-CN" w:eastAsia="zh-CN" w:bidi="ar-SA"/>
        </w:rPr>
        <w:t>%，其中：预算结余率大于</w:t>
      </w:r>
      <w:r>
        <w:rPr>
          <w:rFonts w:hint="default" w:ascii="Times New Roman" w:hAnsi="Times New Roman" w:eastAsia="仿宋_GB2312" w:cs="Times New Roman"/>
          <w:color w:val="auto"/>
          <w:kern w:val="0"/>
          <w:sz w:val="32"/>
          <w:szCs w:val="32"/>
          <w:lang w:val="en-US" w:eastAsia="zh-CN" w:bidi="ar-SA"/>
        </w:rPr>
        <w:t>10%</w:t>
      </w:r>
      <w:r>
        <w:rPr>
          <w:rFonts w:hint="default" w:ascii="Times New Roman" w:hAnsi="Times New Roman" w:eastAsia="仿宋_GB2312" w:cs="Times New Roman"/>
          <w:color w:val="auto"/>
          <w:kern w:val="0"/>
          <w:sz w:val="32"/>
          <w:szCs w:val="32"/>
          <w:lang w:val="zh-CN" w:eastAsia="zh-CN" w:bidi="ar-SA"/>
        </w:rPr>
        <w:t>的项目共计</w:t>
      </w:r>
      <w:r>
        <w:rPr>
          <w:rFonts w:hint="default" w:ascii="Times New Roman" w:hAnsi="Times New Roman" w:eastAsia="仿宋_GB2312" w:cs="Times New Roman"/>
          <w:color w:val="auto"/>
          <w:kern w:val="0"/>
          <w:sz w:val="32"/>
          <w:szCs w:val="32"/>
          <w:lang w:val="en-US" w:eastAsia="zh-CN" w:bidi="ar-SA"/>
        </w:rPr>
        <w:t>0</w:t>
      </w:r>
      <w:r>
        <w:rPr>
          <w:rFonts w:hint="default" w:ascii="Times New Roman" w:hAnsi="Times New Roman" w:eastAsia="仿宋_GB2312" w:cs="Times New Roman"/>
          <w:color w:val="auto"/>
          <w:kern w:val="0"/>
          <w:sz w:val="32"/>
          <w:szCs w:val="32"/>
          <w:lang w:val="zh-CN" w:eastAsia="zh-CN" w:bidi="ar-SA"/>
        </w:rPr>
        <w:t>个。</w:t>
      </w:r>
    </w:p>
    <w:p w14:paraId="47CDF0B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项目决策</w:t>
      </w:r>
    </w:p>
    <w:p w14:paraId="7D1FD5A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项目设立、调整延续等方面符合资金管理基本规范和决策程序要求，项目规划论证符合中省要求，项目绩效目标设置是否科学合理，属于政府支持范围，且符合财政事权支出责任划分规定，资金投向与项目总体规划、相关行业事业发展相匹配，项目制度办法体系健全、要素完备。</w:t>
      </w:r>
    </w:p>
    <w:p w14:paraId="1303D51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2.项目执行</w:t>
      </w:r>
    </w:p>
    <w:p w14:paraId="0ED88EB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预算执行过程严把审核关口，强化资金监督使用，确保项目资金专款专用。对预算执行进度缓慢的项目，督促并加快资金执行进度。资金执行进度100%。</w:t>
      </w:r>
    </w:p>
    <w:p w14:paraId="3328B5A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目标实现</w:t>
      </w:r>
    </w:p>
    <w:p w14:paraId="4CA4E32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cs="Times New Roman"/>
          <w:szCs w:val="32"/>
          <w:lang w:val="zh-CN"/>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紧紧围绕</w:t>
      </w:r>
      <w:r>
        <w:rPr>
          <w:rFonts w:hint="default" w:ascii="Times New Roman" w:hAnsi="Times New Roman" w:eastAsia="仿宋_GB2312" w:cs="Times New Roman"/>
          <w:color w:val="auto"/>
          <w:kern w:val="0"/>
          <w:sz w:val="32"/>
          <w:szCs w:val="32"/>
          <w:lang w:val="en-US" w:eastAsia="zh-CN" w:bidi="ar-SA"/>
        </w:rPr>
        <w:t>年度</w:t>
      </w:r>
      <w:r>
        <w:rPr>
          <w:rFonts w:hint="default" w:ascii="Times New Roman" w:hAnsi="Times New Roman" w:eastAsia="仿宋_GB2312" w:cs="Times New Roman"/>
          <w:color w:val="auto"/>
          <w:kern w:val="0"/>
          <w:sz w:val="32"/>
          <w:szCs w:val="32"/>
          <w:lang w:val="zh-CN" w:eastAsia="zh-CN" w:bidi="ar-SA"/>
        </w:rPr>
        <w:t>目标任务和重点工作，按照财政部门预算绩效管理相关规定，</w:t>
      </w:r>
      <w:r>
        <w:rPr>
          <w:rFonts w:hint="default" w:ascii="Times New Roman" w:hAnsi="Times New Roman" w:eastAsia="仿宋_GB2312" w:cs="Times New Roman"/>
          <w:color w:val="auto"/>
          <w:kern w:val="0"/>
          <w:sz w:val="32"/>
          <w:szCs w:val="32"/>
          <w:lang w:val="en-US" w:eastAsia="zh-CN" w:bidi="ar-SA"/>
        </w:rPr>
        <w:t>结合实际</w:t>
      </w:r>
      <w:r>
        <w:rPr>
          <w:rFonts w:hint="default" w:ascii="Times New Roman" w:hAnsi="Times New Roman" w:eastAsia="仿宋_GB2312" w:cs="Times New Roman"/>
          <w:color w:val="auto"/>
          <w:kern w:val="0"/>
          <w:sz w:val="32"/>
          <w:szCs w:val="32"/>
          <w:lang w:val="zh-CN" w:eastAsia="zh-CN" w:bidi="ar-SA"/>
        </w:rPr>
        <w:t>从数量、质量、成本和时效等方面</w:t>
      </w:r>
      <w:r>
        <w:rPr>
          <w:rFonts w:hint="default" w:ascii="Times New Roman" w:hAnsi="Times New Roman" w:eastAsia="仿宋_GB2312" w:cs="Times New Roman"/>
          <w:color w:val="auto"/>
          <w:kern w:val="0"/>
          <w:sz w:val="32"/>
          <w:szCs w:val="32"/>
          <w:lang w:val="en-US" w:eastAsia="zh-CN" w:bidi="ar-SA"/>
        </w:rPr>
        <w:t>细化绩效指标，</w:t>
      </w:r>
      <w:r>
        <w:rPr>
          <w:rFonts w:hint="default" w:ascii="Times New Roman" w:hAnsi="Times New Roman" w:eastAsia="仿宋_GB2312" w:cs="Times New Roman"/>
          <w:color w:val="auto"/>
          <w:kern w:val="0"/>
          <w:sz w:val="32"/>
          <w:szCs w:val="32"/>
          <w:lang w:val="zh-CN" w:eastAsia="zh-CN" w:bidi="ar-SA"/>
        </w:rPr>
        <w:t>注重绩效目标符合客观实际，</w:t>
      </w:r>
      <w:r>
        <w:rPr>
          <w:rFonts w:hint="default" w:ascii="Times New Roman" w:hAnsi="Times New Roman" w:eastAsia="仿宋_GB2312" w:cs="Times New Roman"/>
          <w:color w:val="auto"/>
          <w:kern w:val="0"/>
          <w:sz w:val="32"/>
          <w:szCs w:val="32"/>
          <w:lang w:val="en-US" w:eastAsia="zh-CN" w:bidi="ar-SA"/>
        </w:rPr>
        <w:t>以定量方式表述，绩效目标设置科学</w:t>
      </w:r>
      <w:r>
        <w:rPr>
          <w:rFonts w:hint="default" w:ascii="Times New Roman" w:hAnsi="Times New Roman" w:eastAsia="仿宋_GB2312" w:cs="Times New Roman"/>
          <w:color w:val="auto"/>
          <w:kern w:val="0"/>
          <w:sz w:val="32"/>
          <w:szCs w:val="32"/>
          <w:lang w:val="zh-CN" w:eastAsia="zh-CN" w:bidi="ar-SA"/>
        </w:rPr>
        <w:t>。积极推进预算绩效运行管理，开展事中绩效监控，确保绩效目标实现。</w:t>
      </w:r>
      <w:r>
        <w:rPr>
          <w:rFonts w:hint="default" w:ascii="Times New Roman" w:hAnsi="Times New Roman" w:eastAsia="仿宋_GB2312" w:cs="Times New Roman"/>
          <w:color w:val="auto"/>
          <w:kern w:val="0"/>
          <w:sz w:val="32"/>
          <w:szCs w:val="32"/>
          <w:lang w:val="en-US" w:eastAsia="zh-CN" w:bidi="ar-SA"/>
        </w:rPr>
        <w:t>2025年度一般公共预算中</w:t>
      </w:r>
      <w:r>
        <w:rPr>
          <w:rFonts w:hint="default" w:ascii="Times New Roman" w:hAnsi="Times New Roman" w:eastAsia="仿宋_GB2312" w:cs="Times New Roman"/>
          <w:color w:val="auto"/>
          <w:kern w:val="0"/>
          <w:sz w:val="32"/>
          <w:szCs w:val="32"/>
          <w:lang w:val="zh-CN" w:eastAsia="zh-CN" w:bidi="ar-SA"/>
        </w:rPr>
        <w:t>工资、五险一金等人员支出保障了职工正常待遇按月发放；办公费、水电费、差旅费</w:t>
      </w:r>
      <w:r>
        <w:rPr>
          <w:rFonts w:hint="default" w:ascii="Times New Roman" w:hAnsi="Times New Roman" w:eastAsia="仿宋_GB2312" w:cs="Times New Roman"/>
          <w:color w:val="auto"/>
          <w:kern w:val="0"/>
          <w:sz w:val="32"/>
          <w:szCs w:val="32"/>
          <w:lang w:val="en-US" w:eastAsia="zh-CN" w:bidi="ar-SA"/>
        </w:rPr>
        <w:t>等日常开支</w:t>
      </w:r>
      <w:r>
        <w:rPr>
          <w:rFonts w:hint="default" w:ascii="Times New Roman" w:hAnsi="Times New Roman" w:eastAsia="仿宋_GB2312" w:cs="Times New Roman"/>
          <w:color w:val="auto"/>
          <w:kern w:val="0"/>
          <w:sz w:val="32"/>
          <w:szCs w:val="32"/>
          <w:lang w:val="zh-CN" w:eastAsia="zh-CN" w:bidi="ar-SA"/>
        </w:rPr>
        <w:t>，保障了中心日常办公和人员运转支出。202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年完成项目资金支付，达到预期目标。</w:t>
      </w:r>
    </w:p>
    <w:p w14:paraId="65F4C41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（三）绩效结果应用情况</w:t>
      </w:r>
    </w:p>
    <w:p w14:paraId="0FD27A1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攀枝花市</w:t>
      </w:r>
      <w:r>
        <w:rPr>
          <w:rFonts w:hint="default" w:ascii="Times New Roman" w:hAnsi="Times New Roman" w:eastAsia="仿宋_GB2312" w:cs="Times New Roman"/>
          <w:color w:val="auto"/>
          <w:kern w:val="0"/>
          <w:sz w:val="32"/>
          <w:szCs w:val="32"/>
          <w:lang w:val="en-US" w:eastAsia="zh-CN" w:bidi="ar-SA"/>
        </w:rPr>
        <w:t>社会保险事务中心</w:t>
      </w:r>
      <w:r>
        <w:rPr>
          <w:rFonts w:hint="default" w:ascii="Times New Roman" w:hAnsi="Times New Roman" w:eastAsia="仿宋_GB2312" w:cs="Times New Roman"/>
          <w:color w:val="auto"/>
          <w:kern w:val="0"/>
          <w:sz w:val="32"/>
          <w:szCs w:val="32"/>
          <w:lang w:val="zh-CN" w:eastAsia="zh-CN" w:bidi="ar-SA"/>
        </w:rPr>
        <w:t>将实际完成数和年度指标值进行对比分析，对预算指标进行合理评估，科学、合理的编制部门预算，提高资金使用效率，绩效自评结果拟在我中心网站公示公开。</w:t>
      </w:r>
    </w:p>
    <w:p w14:paraId="3BF4314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Times New Roman"/>
          <w:color w:val="000000"/>
          <w:kern w:val="0"/>
          <w:sz w:val="32"/>
          <w:szCs w:val="32"/>
          <w:shd w:val="clear" w:color="auto" w:fill="FFFFFF"/>
        </w:rPr>
        <w:t>四、评价结论及建议</w:t>
      </w:r>
    </w:p>
    <w:p w14:paraId="0468F9B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（一）评价结论</w:t>
      </w:r>
    </w:p>
    <w:p w14:paraId="2D8698C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攀枝花市社会保险事务中心着力推进社保改革任务落地落实、公共服务提质增效、运行管理提档升级、严防风险确保基金安全，推动全市社保经办事业高质量、可持续发展。扎实开展社保经办工作，不断提升人民群众获得感、幸福感和安全感，各项工作成效显著。继续确保各项社会保险待遇的按时足额发放和支付，维护参保人员合法权益，调整增加各类退休人员基本养老金，积极完善工伤保险信息系统功能，做好工伤保险预防工作，全面完成年初预算绩效目标及省级下达的目标任务。</w:t>
      </w:r>
    </w:p>
    <w:p w14:paraId="12430F2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（二）存在问题</w:t>
      </w:r>
    </w:p>
    <w:p w14:paraId="032DE0D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无。</w:t>
      </w:r>
    </w:p>
    <w:p w14:paraId="291E8101">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宋体" w:cs="Times New Roman"/>
          <w:kern w:val="2"/>
          <w:sz w:val="21"/>
          <w:szCs w:val="24"/>
          <w:lang w:val="zh-CN" w:eastAsia="zh-CN" w:bidi="ar-SA"/>
        </w:rPr>
      </w:pPr>
      <w:r>
        <w:rPr>
          <w:rFonts w:hint="default" w:ascii="Times New Roman" w:hAnsi="Times New Roman" w:eastAsia="楷体_GB2312" w:cs="Times New Roman"/>
          <w:b/>
          <w:bCs/>
          <w:color w:val="000000"/>
          <w:kern w:val="0"/>
          <w:sz w:val="32"/>
          <w:szCs w:val="32"/>
          <w:shd w:val="clear" w:color="auto" w:fill="FFFFFF"/>
          <w:lang w:val="zh-CN" w:eastAsia="zh-CN"/>
        </w:rPr>
        <w:t>（三）改进建议</w:t>
      </w:r>
      <w:bookmarkStart w:id="53" w:name="_Hlk110546638"/>
    </w:p>
    <w:p w14:paraId="7049FFB3">
      <w:pPr>
        <w:keepNext w:val="0"/>
        <w:keepLines w:val="0"/>
        <w:pageBreakBefore w:val="0"/>
        <w:tabs>
          <w:tab w:val="left" w:pos="614"/>
        </w:tabs>
        <w:kinsoku/>
        <w:wordWrap/>
        <w:overflowPunct/>
        <w:topLinePunct w:val="0"/>
        <w:autoSpaceDE/>
        <w:autoSpaceDN/>
        <w:bidi w:val="0"/>
        <w:spacing w:line="600" w:lineRule="exact"/>
        <w:ind w:firstLine="420" w:firstLineChars="200"/>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cs="Times New Roman"/>
          <w:lang w:val="zh-CN" w:eastAsia="zh-CN"/>
        </w:rPr>
        <w:tab/>
      </w:r>
      <w:bookmarkEnd w:id="53"/>
      <w:r>
        <w:rPr>
          <w:rFonts w:hint="default" w:ascii="Times New Roman" w:hAnsi="Times New Roman" w:eastAsia="仿宋_GB2312" w:cs="Times New Roman"/>
          <w:color w:val="auto"/>
          <w:kern w:val="0"/>
          <w:sz w:val="32"/>
          <w:szCs w:val="32"/>
          <w:lang w:val="zh-CN" w:eastAsia="zh-CN" w:bidi="ar-SA"/>
        </w:rPr>
        <w:t>在今后的工作中，我中心将加强与财政部门的紧密配合，开展好整体支出及项日资金绩效管理工作，运用好绩效评价的结果，不断提升预算管理水平。</w:t>
      </w:r>
    </w:p>
    <w:p w14:paraId="1FB1DA54">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kern w:val="2"/>
          <w:sz w:val="32"/>
          <w:szCs w:val="32"/>
          <w:u w:val="none"/>
          <w:lang w:val="zh-CN" w:eastAsia="zh-CN" w:bidi="ar"/>
        </w:rPr>
      </w:pPr>
      <w:r>
        <w:rPr>
          <w:rFonts w:hint="default" w:ascii="Times New Roman" w:hAnsi="Times New Roman" w:eastAsia="仿宋_GB2312" w:cs="Times New Roman"/>
          <w:kern w:val="2"/>
          <w:sz w:val="32"/>
          <w:szCs w:val="32"/>
          <w:u w:val="none"/>
          <w:lang w:val="zh-CN" w:eastAsia="zh-CN" w:bidi="ar"/>
        </w:rPr>
        <w:t>附表：</w:t>
      </w:r>
      <w:r>
        <w:rPr>
          <w:rFonts w:hint="default" w:ascii="Times New Roman" w:hAnsi="Times New Roman" w:eastAsia="仿宋_GB2312" w:cs="Times New Roman"/>
          <w:kern w:val="2"/>
          <w:sz w:val="32"/>
          <w:szCs w:val="32"/>
          <w:u w:val="none"/>
          <w:lang w:val="en-US" w:eastAsia="zh-CN" w:bidi="ar"/>
        </w:rPr>
        <w:t>部门预算项目支出绩效自评表（2025年度）</w:t>
      </w:r>
    </w:p>
    <w:tbl>
      <w:tblPr>
        <w:tblStyle w:val="18"/>
        <w:tblW w:w="8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051"/>
        <w:gridCol w:w="917"/>
        <w:gridCol w:w="1131"/>
        <w:gridCol w:w="396"/>
        <w:gridCol w:w="874"/>
        <w:gridCol w:w="396"/>
        <w:gridCol w:w="861"/>
        <w:gridCol w:w="486"/>
        <w:gridCol w:w="486"/>
        <w:gridCol w:w="1226"/>
      </w:tblGrid>
      <w:tr w14:paraId="52249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6" w:hRule="atLeast"/>
        </w:trPr>
        <w:tc>
          <w:tcPr>
            <w:tcW w:w="84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A14642C">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30"/>
                <w:szCs w:val="30"/>
                <w:u w:val="none"/>
              </w:rPr>
            </w:pPr>
            <w:r>
              <w:rPr>
                <w:rFonts w:hint="default" w:ascii="Times New Roman" w:hAnsi="Times New Roman" w:eastAsia="黑体" w:cs="Times New Roman"/>
                <w:b/>
                <w:bCs/>
                <w:i w:val="0"/>
                <w:iCs w:val="0"/>
                <w:color w:val="000000"/>
                <w:kern w:val="0"/>
                <w:sz w:val="30"/>
                <w:szCs w:val="30"/>
                <w:u w:val="none"/>
                <w:lang w:val="en-US" w:eastAsia="zh-CN" w:bidi="ar"/>
              </w:rPr>
              <w:t>部门预算项目支出绩效自评表（2025年度）</w:t>
            </w:r>
          </w:p>
        </w:tc>
      </w:tr>
      <w:tr w14:paraId="624CE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16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C3E1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项目名称</w:t>
            </w:r>
          </w:p>
        </w:tc>
        <w:tc>
          <w:tcPr>
            <w:tcW w:w="677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F0003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51040022T000007251342-省管森工社会化管理工作经费</w:t>
            </w:r>
          </w:p>
        </w:tc>
      </w:tr>
      <w:tr w14:paraId="78D25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16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B491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主管部门</w:t>
            </w: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60323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c>
          <w:tcPr>
            <w:tcW w:w="861" w:type="dxa"/>
            <w:tcBorders>
              <w:top w:val="nil"/>
              <w:left w:val="nil"/>
              <w:bottom w:val="nil"/>
              <w:right w:val="nil"/>
            </w:tcBorders>
            <w:shd w:val="clear" w:color="auto" w:fill="auto"/>
            <w:vAlign w:val="center"/>
          </w:tcPr>
          <w:p w14:paraId="6AA31D42">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实施单位 （盖章）</w:t>
            </w:r>
          </w:p>
        </w:tc>
        <w:tc>
          <w:tcPr>
            <w:tcW w:w="219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35D3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r>
      <w:tr w14:paraId="695F8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9521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项目基本情况</w:t>
            </w: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8EAC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1.项目年度目标完成情况</w:t>
            </w: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1017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项目年度目标</w:t>
            </w:r>
          </w:p>
        </w:tc>
        <w:tc>
          <w:tcPr>
            <w:tcW w:w="30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EEB1A6">
            <w:pPr>
              <w:keepNext w:val="0"/>
              <w:keepLines w:val="0"/>
              <w:widowControl/>
              <w:suppressLineNumbers w:val="0"/>
              <w:jc w:val="center"/>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年度目标完成情况</w:t>
            </w:r>
          </w:p>
        </w:tc>
      </w:tr>
      <w:tr w14:paraId="429B2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DAB96">
            <w:pP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28B93">
            <w:pPr>
              <w:rPr>
                <w:rFonts w:hint="default" w:ascii="Times New Roman" w:hAnsi="Times New Roman" w:eastAsia="宋体" w:cs="Times New Roman"/>
                <w:i w:val="0"/>
                <w:iCs w:val="0"/>
                <w:color w:val="000000"/>
                <w:sz w:val="18"/>
                <w:szCs w:val="18"/>
                <w:u w:val="none"/>
              </w:rPr>
            </w:pP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73500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做好省管森工退休人员社会化管理工作</w:t>
            </w:r>
          </w:p>
        </w:tc>
        <w:tc>
          <w:tcPr>
            <w:tcW w:w="30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45E6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确保社保经办机构代管的省管森工企业离退休人员基本养老金按时足额发放，提升省管森工企业离退休人员社会化管理服务水平。</w:t>
            </w:r>
          </w:p>
        </w:tc>
      </w:tr>
      <w:tr w14:paraId="7FF7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F2018">
            <w:pP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696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2.项目实施内容及过程概述</w:t>
            </w:r>
          </w:p>
        </w:tc>
        <w:tc>
          <w:tcPr>
            <w:tcW w:w="677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0A118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按月为省管森工企业离退休人员发放养老金，做好社会化管理服务工作。</w:t>
            </w:r>
          </w:p>
        </w:tc>
      </w:tr>
      <w:tr w14:paraId="4B99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C23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预算执行情况（10分）</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18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年度预算数（万元）</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D95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年初预算</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EF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调整后预算数</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2362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预算执行数</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C7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F5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35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A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原因</w:t>
            </w:r>
          </w:p>
        </w:tc>
      </w:tr>
      <w:tr w14:paraId="22B4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66BB7">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49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总额</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BF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BB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B43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7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AF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088E">
            <w:pPr>
              <w:jc w:val="center"/>
              <w:rPr>
                <w:rFonts w:hint="default" w:ascii="Times New Roman" w:hAnsi="Times New Roman" w:eastAsia="宋体" w:cs="Times New Roman"/>
                <w:i w:val="0"/>
                <w:iCs w:val="0"/>
                <w:color w:val="000000"/>
                <w:sz w:val="18"/>
                <w:szCs w:val="18"/>
                <w:u w:val="none"/>
              </w:rPr>
            </w:pP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492A60">
            <w:pPr>
              <w:rPr>
                <w:rFonts w:hint="default" w:ascii="Times New Roman" w:hAnsi="Times New Roman" w:eastAsia="黑体" w:cs="Times New Roman"/>
                <w:i/>
                <w:iCs/>
                <w:color w:val="000000"/>
                <w:sz w:val="18"/>
                <w:szCs w:val="18"/>
                <w:u w:val="none"/>
              </w:rPr>
            </w:pPr>
          </w:p>
        </w:tc>
      </w:tr>
      <w:tr w14:paraId="3841D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C30CF">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3D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其中：财政资金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1B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9E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A7B4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BE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38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2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D7635">
            <w:pPr>
              <w:rPr>
                <w:rFonts w:hint="default" w:ascii="Times New Roman" w:hAnsi="Times New Roman" w:eastAsia="黑体" w:cs="Times New Roman"/>
                <w:i/>
                <w:iCs/>
                <w:color w:val="000000"/>
                <w:sz w:val="18"/>
                <w:szCs w:val="18"/>
                <w:u w:val="none"/>
              </w:rPr>
            </w:pPr>
          </w:p>
        </w:tc>
      </w:tr>
      <w:tr w14:paraId="22FA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0316F">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F4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财政专户管理资金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C2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8B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5DA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E6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21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50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CD966">
            <w:pPr>
              <w:rPr>
                <w:rFonts w:hint="default" w:ascii="Times New Roman" w:hAnsi="Times New Roman" w:eastAsia="黑体" w:cs="Times New Roman"/>
                <w:i/>
                <w:iCs/>
                <w:color w:val="000000"/>
                <w:sz w:val="18"/>
                <w:szCs w:val="18"/>
                <w:u w:val="none"/>
              </w:rPr>
            </w:pPr>
          </w:p>
        </w:tc>
      </w:tr>
      <w:tr w14:paraId="6A437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B78CA">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BE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00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E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D5DB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45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FE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04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A8B87">
            <w:pPr>
              <w:rPr>
                <w:rFonts w:hint="default" w:ascii="Times New Roman" w:hAnsi="Times New Roman" w:eastAsia="黑体" w:cs="Times New Roman"/>
                <w:i/>
                <w:iCs/>
                <w:color w:val="000000"/>
                <w:sz w:val="18"/>
                <w:szCs w:val="18"/>
                <w:u w:val="none"/>
              </w:rPr>
            </w:pPr>
          </w:p>
        </w:tc>
      </w:tr>
      <w:tr w14:paraId="60BAD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A4B54">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E5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F740">
            <w:pPr>
              <w:jc w:val="center"/>
              <w:rPr>
                <w:rFonts w:hint="default" w:ascii="Times New Roman" w:hAnsi="Times New Roman" w:eastAsia="微软雅黑" w:cs="Times New Roman"/>
                <w:i/>
                <w:iCs/>
                <w:color w:val="000000"/>
                <w:sz w:val="16"/>
                <w:szCs w:val="16"/>
                <w:u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FF32">
            <w:pPr>
              <w:jc w:val="center"/>
              <w:rPr>
                <w:rFonts w:hint="default" w:ascii="Times New Roman" w:hAnsi="Times New Roman" w:eastAsia="微软雅黑" w:cs="Times New Roman"/>
                <w:i/>
                <w:iCs/>
                <w:color w:val="000000"/>
                <w:sz w:val="16"/>
                <w:szCs w:val="16"/>
                <w:u w:val="none"/>
              </w:rPr>
            </w:pP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9B968C">
            <w:pPr>
              <w:jc w:val="center"/>
              <w:rPr>
                <w:rFonts w:hint="default" w:ascii="Times New Roman" w:hAnsi="Times New Roman" w:eastAsia="微软雅黑" w:cs="Times New Roman"/>
                <w:i/>
                <w:iCs/>
                <w:color w:val="000000"/>
                <w:sz w:val="16"/>
                <w:szCs w:val="16"/>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887D">
            <w:pPr>
              <w:jc w:val="center"/>
              <w:rPr>
                <w:rFonts w:hint="default" w:ascii="Times New Roman" w:hAnsi="Times New Roman" w:eastAsia="微软雅黑" w:cs="Times New Roman"/>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F9B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66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F784A">
            <w:pPr>
              <w:rPr>
                <w:rFonts w:hint="default" w:ascii="Times New Roman" w:hAnsi="Times New Roman" w:eastAsia="黑体" w:cs="Times New Roman"/>
                <w:i/>
                <w:iCs/>
                <w:color w:val="000000"/>
                <w:sz w:val="18"/>
                <w:szCs w:val="18"/>
                <w:u w:val="none"/>
              </w:rPr>
            </w:pPr>
          </w:p>
        </w:tc>
      </w:tr>
      <w:tr w14:paraId="39E3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8DD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绩效指标（90分）</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59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一级指标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39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二级指标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98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31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指标性质</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EA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5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度量单位</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CE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14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66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51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未完成原因分析</w:t>
            </w:r>
          </w:p>
        </w:tc>
      </w:tr>
      <w:tr w14:paraId="2E11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FB6D7">
            <w:pPr>
              <w:jc w:val="center"/>
              <w:rPr>
                <w:rFonts w:hint="default" w:ascii="Times New Roman" w:hAnsi="Times New Roman" w:eastAsia="宋体" w:cs="Times New Roman"/>
                <w:i w:val="0"/>
                <w:iCs w:val="0"/>
                <w:color w:val="000000"/>
                <w:sz w:val="18"/>
                <w:szCs w:val="18"/>
                <w:u w:val="none"/>
              </w:rPr>
            </w:pP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D350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产出指标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D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数量指标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64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森工企业退休人员数量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E6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E0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09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93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750人</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4F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C0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3428">
            <w:pPr>
              <w:jc w:val="center"/>
              <w:rPr>
                <w:rFonts w:hint="default" w:ascii="Times New Roman" w:hAnsi="Times New Roman" w:eastAsia="微软雅黑" w:cs="Times New Roman"/>
                <w:i/>
                <w:iCs/>
                <w:color w:val="000000"/>
                <w:sz w:val="16"/>
                <w:szCs w:val="16"/>
                <w:u w:val="none"/>
              </w:rPr>
            </w:pPr>
          </w:p>
        </w:tc>
      </w:tr>
      <w:tr w14:paraId="03E3E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DEB62">
            <w:pPr>
              <w:jc w:val="cente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3B884">
            <w:pPr>
              <w:jc w:val="center"/>
              <w:rPr>
                <w:rFonts w:hint="default" w:ascii="Times New Roman" w:hAnsi="Times New Roman" w:eastAsia="宋体" w:cs="Times New Roman"/>
                <w:i w:val="0"/>
                <w:iCs w:val="0"/>
                <w:color w:val="000000"/>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BB8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质量指标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F7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按时足额发放率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B0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FE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7A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DF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9B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6B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2C32">
            <w:pPr>
              <w:jc w:val="center"/>
              <w:rPr>
                <w:rFonts w:hint="default" w:ascii="Times New Roman" w:hAnsi="Times New Roman" w:eastAsia="微软雅黑" w:cs="Times New Roman"/>
                <w:i/>
                <w:iCs/>
                <w:color w:val="000000"/>
                <w:sz w:val="16"/>
                <w:szCs w:val="16"/>
                <w:u w:val="none"/>
              </w:rPr>
            </w:pPr>
          </w:p>
        </w:tc>
      </w:tr>
      <w:tr w14:paraId="5BCA3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DEBDD">
            <w:pPr>
              <w:jc w:val="cente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984F0">
            <w:pPr>
              <w:jc w:val="center"/>
              <w:rPr>
                <w:rFonts w:hint="default" w:ascii="Times New Roman" w:hAnsi="Times New Roman" w:eastAsia="宋体" w:cs="Times New Roman"/>
                <w:i w:val="0"/>
                <w:iCs w:val="0"/>
                <w:color w:val="000000"/>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F0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时效指标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EB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完成时间</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1D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65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E3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E3A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1年内完成</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27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44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0E17">
            <w:pPr>
              <w:jc w:val="center"/>
              <w:rPr>
                <w:rFonts w:hint="default" w:ascii="Times New Roman" w:hAnsi="Times New Roman" w:eastAsia="微软雅黑" w:cs="Times New Roman"/>
                <w:i/>
                <w:iCs/>
                <w:color w:val="000000"/>
                <w:sz w:val="16"/>
                <w:szCs w:val="16"/>
                <w:u w:val="none"/>
              </w:rPr>
            </w:pPr>
          </w:p>
        </w:tc>
      </w:tr>
      <w:tr w14:paraId="37812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81646">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FA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效益指标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61E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社会效益指标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A6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维护社会稳定</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C4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62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918D">
            <w:pPr>
              <w:jc w:val="center"/>
              <w:rPr>
                <w:rFonts w:hint="default" w:ascii="Times New Roman" w:hAnsi="Times New Roman" w:eastAsia="宋体" w:cs="Times New Roman"/>
                <w:i w:val="0"/>
                <w:iCs w:val="0"/>
                <w:color w:val="000000"/>
                <w:sz w:val="18"/>
                <w:szCs w:val="18"/>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72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好</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95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D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D9B7">
            <w:pPr>
              <w:jc w:val="center"/>
              <w:rPr>
                <w:rFonts w:hint="default" w:ascii="Times New Roman" w:hAnsi="Times New Roman" w:eastAsia="微软雅黑" w:cs="Times New Roman"/>
                <w:i/>
                <w:iCs/>
                <w:color w:val="000000"/>
                <w:sz w:val="16"/>
                <w:szCs w:val="16"/>
                <w:u w:val="none"/>
              </w:rPr>
            </w:pPr>
          </w:p>
        </w:tc>
      </w:tr>
      <w:tr w14:paraId="5F3E6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655B3">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10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满意度指标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E4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服务对象满意度指标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17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森工退休人员满意度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69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66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03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51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30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B8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8504">
            <w:pPr>
              <w:jc w:val="center"/>
              <w:rPr>
                <w:rFonts w:hint="default" w:ascii="Times New Roman" w:hAnsi="Times New Roman" w:eastAsia="微软雅黑" w:cs="Times New Roman"/>
                <w:i/>
                <w:iCs/>
                <w:color w:val="000000"/>
                <w:sz w:val="16"/>
                <w:szCs w:val="16"/>
                <w:u w:val="none"/>
              </w:rPr>
            </w:pPr>
          </w:p>
        </w:tc>
      </w:tr>
      <w:tr w14:paraId="604F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FD17">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0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成本指标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86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经济成本指标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4E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社会化管理工作成本</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BD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29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46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万元</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0B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7.69万元</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30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FD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F39A">
            <w:pPr>
              <w:jc w:val="center"/>
              <w:rPr>
                <w:rFonts w:hint="default" w:ascii="Times New Roman" w:hAnsi="Times New Roman" w:eastAsia="微软雅黑" w:cs="Times New Roman"/>
                <w:i/>
                <w:iCs/>
                <w:color w:val="000000"/>
                <w:sz w:val="16"/>
                <w:szCs w:val="16"/>
                <w:u w:val="none"/>
              </w:rPr>
            </w:pPr>
          </w:p>
        </w:tc>
      </w:tr>
      <w:tr w14:paraId="68306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620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DA14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FA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11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9D2A">
            <w:pPr>
              <w:rPr>
                <w:rFonts w:hint="default" w:ascii="Times New Roman" w:hAnsi="Times New Roman" w:eastAsia="宋体" w:cs="Times New Roman"/>
                <w:i w:val="0"/>
                <w:iCs w:val="0"/>
                <w:color w:val="000000"/>
                <w:sz w:val="18"/>
                <w:szCs w:val="18"/>
                <w:u w:val="none"/>
              </w:rPr>
            </w:pPr>
          </w:p>
        </w:tc>
      </w:tr>
      <w:tr w14:paraId="3CEA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A6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评价结论</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5D543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项目自评总分100分，确保社保经办机构代管的省管森工企业离退休人员基本养老金按时足额发放，提升省管森工企业离退休人员社会化管理服务水平。2025年完成支付7.69万元，预算执行率100%。</w:t>
            </w:r>
          </w:p>
        </w:tc>
      </w:tr>
      <w:tr w14:paraId="08861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77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存在问题</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2BC2A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65E1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1C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改进措施</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64E39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2160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407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DA70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项目负责人：杨红</w:t>
            </w:r>
          </w:p>
        </w:tc>
        <w:tc>
          <w:tcPr>
            <w:tcW w:w="43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E92A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财务负责人：高礼银</w:t>
            </w:r>
          </w:p>
        </w:tc>
      </w:tr>
    </w:tbl>
    <w:tbl>
      <w:tblPr>
        <w:tblStyle w:val="18"/>
        <w:tblpPr w:leftFromText="180" w:rightFromText="180" w:vertAnchor="text" w:horzAnchor="page" w:tblpX="1868" w:tblpY="681"/>
        <w:tblOverlap w:val="never"/>
        <w:tblW w:w="84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7"/>
        <w:gridCol w:w="728"/>
        <w:gridCol w:w="743"/>
        <w:gridCol w:w="743"/>
        <w:gridCol w:w="699"/>
        <w:gridCol w:w="936"/>
        <w:gridCol w:w="699"/>
        <w:gridCol w:w="936"/>
        <w:gridCol w:w="714"/>
        <w:gridCol w:w="714"/>
        <w:gridCol w:w="801"/>
      </w:tblGrid>
      <w:tr w14:paraId="509B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3" w:hRule="atLeast"/>
        </w:trPr>
        <w:tc>
          <w:tcPr>
            <w:tcW w:w="844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410D96F">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30"/>
                <w:szCs w:val="30"/>
                <w:u w:val="none"/>
              </w:rPr>
            </w:pPr>
            <w:r>
              <w:rPr>
                <w:rFonts w:hint="default" w:ascii="Times New Roman" w:hAnsi="Times New Roman" w:eastAsia="黑体" w:cs="Times New Roman"/>
                <w:b/>
                <w:bCs/>
                <w:i w:val="0"/>
                <w:iCs w:val="0"/>
                <w:color w:val="000000"/>
                <w:kern w:val="0"/>
                <w:sz w:val="30"/>
                <w:szCs w:val="30"/>
                <w:u w:val="none"/>
                <w:lang w:val="en-US" w:eastAsia="zh-CN" w:bidi="ar"/>
              </w:rPr>
              <w:t>部门预算项目支出绩效自评表（2025年度）</w:t>
            </w:r>
          </w:p>
        </w:tc>
      </w:tr>
      <w:tr w14:paraId="69977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7CC4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项目名称</w:t>
            </w:r>
          </w:p>
        </w:tc>
        <w:tc>
          <w:tcPr>
            <w:tcW w:w="69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57BC0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51040023T000008702195-入驻政务中心单位租金、物业费及水电费</w:t>
            </w:r>
          </w:p>
        </w:tc>
      </w:tr>
      <w:tr w14:paraId="20701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4900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主管部门</w:t>
            </w: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9C8AC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c>
          <w:tcPr>
            <w:tcW w:w="936" w:type="dxa"/>
            <w:tcBorders>
              <w:top w:val="nil"/>
              <w:left w:val="nil"/>
              <w:bottom w:val="nil"/>
              <w:right w:val="nil"/>
            </w:tcBorders>
            <w:shd w:val="clear" w:color="auto" w:fill="auto"/>
            <w:vAlign w:val="center"/>
          </w:tcPr>
          <w:p w14:paraId="2B0F8623">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实施单位 （盖章）</w:t>
            </w:r>
          </w:p>
        </w:tc>
        <w:tc>
          <w:tcPr>
            <w:tcW w:w="22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1FC6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r>
      <w:tr w14:paraId="51499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2768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项目基本情况</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63F30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1.项目年度目标完成情况</w:t>
            </w: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5617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项目年度目标</w:t>
            </w:r>
          </w:p>
        </w:tc>
        <w:tc>
          <w:tcPr>
            <w:tcW w:w="31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CDE4C5">
            <w:pPr>
              <w:keepNext w:val="0"/>
              <w:keepLines w:val="0"/>
              <w:widowControl/>
              <w:suppressLineNumbers w:val="0"/>
              <w:jc w:val="center"/>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年度目标完成情况</w:t>
            </w:r>
          </w:p>
        </w:tc>
      </w:tr>
      <w:tr w14:paraId="66D1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E58CD">
            <w:pP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37247">
            <w:pPr>
              <w:rPr>
                <w:rFonts w:hint="default" w:ascii="Times New Roman" w:hAnsi="Times New Roman" w:eastAsia="宋体" w:cs="Times New Roman"/>
                <w:i w:val="0"/>
                <w:iCs w:val="0"/>
                <w:color w:val="000000"/>
                <w:sz w:val="18"/>
                <w:szCs w:val="18"/>
                <w:u w:val="none"/>
              </w:rPr>
            </w:pP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15E68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31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B111D3">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Style w:val="38"/>
                <w:rFonts w:hint="default" w:ascii="Times New Roman" w:hAnsi="Times New Roman" w:cs="Times New Roman"/>
                <w:lang w:val="en-US" w:eastAsia="zh-CN" w:bidi="ar"/>
              </w:rPr>
              <w:t>完成支付2025年入驻政务中心单位租金、物业费及水电费80.41</w:t>
            </w:r>
            <w:r>
              <w:rPr>
                <w:rStyle w:val="39"/>
                <w:rFonts w:hint="default" w:ascii="Times New Roman" w:hAnsi="Times New Roman" w:cs="Times New Roman"/>
                <w:lang w:val="en-US" w:eastAsia="zh-CN" w:bidi="ar"/>
              </w:rPr>
              <w:t>万元，保障单位正常运转。</w:t>
            </w:r>
          </w:p>
        </w:tc>
      </w:tr>
      <w:tr w14:paraId="103F0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7F5D3">
            <w:pP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CD0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2.项目实施内容及过程概述</w:t>
            </w:r>
          </w:p>
        </w:tc>
        <w:tc>
          <w:tcPr>
            <w:tcW w:w="69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2E8DF4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按规定足额缴纳入驻政务中心单位租金、物业费及水电费。</w:t>
            </w:r>
          </w:p>
        </w:tc>
      </w:tr>
      <w:tr w14:paraId="693EA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9A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预算执行情况（10分）</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DC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年度预算数（万元）</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A5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年初预算</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D5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调整后预算数</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3DA3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预算执行数</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7A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预算执行率</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75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06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08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原因</w:t>
            </w:r>
          </w:p>
        </w:tc>
      </w:tr>
      <w:tr w14:paraId="2FBC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2BB9E">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D6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总额</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F0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3F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5B5A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F0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7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E1A1">
            <w:pPr>
              <w:jc w:val="center"/>
              <w:rPr>
                <w:rFonts w:hint="default" w:ascii="Times New Roman" w:hAnsi="Times New Roman" w:eastAsia="宋体" w:cs="Times New Roman"/>
                <w:i w:val="0"/>
                <w:iCs w:val="0"/>
                <w:color w:val="000000"/>
                <w:sz w:val="18"/>
                <w:szCs w:val="18"/>
                <w:u w:val="none"/>
              </w:rPr>
            </w:pPr>
          </w:p>
        </w:tc>
        <w:tc>
          <w:tcPr>
            <w:tcW w:w="8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8DF5A">
            <w:pPr>
              <w:rPr>
                <w:rFonts w:hint="default" w:ascii="Times New Roman" w:hAnsi="Times New Roman" w:eastAsia="黑体" w:cs="Times New Roman"/>
                <w:i/>
                <w:iCs/>
                <w:color w:val="000000"/>
                <w:sz w:val="18"/>
                <w:szCs w:val="18"/>
                <w:u w:val="none"/>
              </w:rPr>
            </w:pPr>
          </w:p>
        </w:tc>
      </w:tr>
      <w:tr w14:paraId="00CA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D8A72">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9A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其中：财政资金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91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90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0EFD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6F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E5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FC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FBD78">
            <w:pPr>
              <w:rPr>
                <w:rFonts w:hint="default" w:ascii="Times New Roman" w:hAnsi="Times New Roman" w:eastAsia="黑体" w:cs="Times New Roman"/>
                <w:i/>
                <w:iCs/>
                <w:color w:val="000000"/>
                <w:sz w:val="18"/>
                <w:szCs w:val="18"/>
                <w:u w:val="none"/>
              </w:rPr>
            </w:pPr>
          </w:p>
        </w:tc>
      </w:tr>
      <w:tr w14:paraId="7FB7E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D2DC2">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2B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财政专户管理资金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8F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C3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8650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C6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B6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F9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8D9E9">
            <w:pPr>
              <w:rPr>
                <w:rFonts w:hint="default" w:ascii="Times New Roman" w:hAnsi="Times New Roman" w:eastAsia="黑体" w:cs="Times New Roman"/>
                <w:i/>
                <w:iCs/>
                <w:color w:val="000000"/>
                <w:sz w:val="18"/>
                <w:szCs w:val="18"/>
                <w:u w:val="none"/>
              </w:rPr>
            </w:pPr>
          </w:p>
        </w:tc>
      </w:tr>
      <w:tr w14:paraId="710E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8BD0C">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860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AF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8B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9975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FA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9E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06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3A5C7">
            <w:pPr>
              <w:rPr>
                <w:rFonts w:hint="default" w:ascii="Times New Roman" w:hAnsi="Times New Roman" w:eastAsia="黑体" w:cs="Times New Roman"/>
                <w:i/>
                <w:iCs/>
                <w:color w:val="000000"/>
                <w:sz w:val="18"/>
                <w:szCs w:val="18"/>
                <w:u w:val="none"/>
              </w:rPr>
            </w:pPr>
          </w:p>
        </w:tc>
      </w:tr>
      <w:tr w14:paraId="27C16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8CB99">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5A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A28B">
            <w:pPr>
              <w:jc w:val="center"/>
              <w:rPr>
                <w:rFonts w:hint="default" w:ascii="Times New Roman" w:hAnsi="Times New Roman" w:eastAsia="微软雅黑" w:cs="Times New Roman"/>
                <w:i/>
                <w:iCs/>
                <w:color w:val="000000"/>
                <w:sz w:val="16"/>
                <w:szCs w:val="16"/>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6564">
            <w:pPr>
              <w:jc w:val="center"/>
              <w:rPr>
                <w:rFonts w:hint="default" w:ascii="Times New Roman" w:hAnsi="Times New Roman" w:eastAsia="微软雅黑" w:cs="Times New Roman"/>
                <w:i/>
                <w:iCs/>
                <w:color w:val="000000"/>
                <w:sz w:val="16"/>
                <w:szCs w:val="16"/>
                <w:u w:val="none"/>
              </w:rPr>
            </w:pP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9826B5">
            <w:pPr>
              <w:jc w:val="center"/>
              <w:rPr>
                <w:rFonts w:hint="default" w:ascii="Times New Roman" w:hAnsi="Times New Roman" w:eastAsia="微软雅黑" w:cs="Times New Roman"/>
                <w:i/>
                <w:iCs/>
                <w:color w:val="000000"/>
                <w:sz w:val="16"/>
                <w:szCs w:val="16"/>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1D73">
            <w:pPr>
              <w:jc w:val="center"/>
              <w:rPr>
                <w:rFonts w:hint="default" w:ascii="Times New Roman" w:hAnsi="Times New Roman" w:eastAsia="微软雅黑" w:cs="Times New Roman"/>
                <w:i/>
                <w:iCs/>
                <w:color w:val="000000"/>
                <w:sz w:val="16"/>
                <w:szCs w:val="16"/>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6E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AC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A95B">
            <w:pPr>
              <w:rPr>
                <w:rFonts w:hint="default" w:ascii="Times New Roman" w:hAnsi="Times New Roman" w:eastAsia="黑体" w:cs="Times New Roman"/>
                <w:i/>
                <w:iCs/>
                <w:color w:val="000000"/>
                <w:sz w:val="18"/>
                <w:szCs w:val="18"/>
                <w:u w:val="none"/>
              </w:rPr>
            </w:pPr>
          </w:p>
        </w:tc>
      </w:tr>
      <w:tr w14:paraId="6981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F66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绩效指标（90分）</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52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一级指标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3D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二级指标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20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三级指标</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68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指标性质</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5A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指标值</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4F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度量单位</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4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完成值</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BF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B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2D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未完成原因分析</w:t>
            </w:r>
          </w:p>
        </w:tc>
      </w:tr>
      <w:tr w14:paraId="46E0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DE455">
            <w:pPr>
              <w:jc w:val="center"/>
              <w:rPr>
                <w:rFonts w:hint="default" w:ascii="Times New Roman" w:hAnsi="Times New Roman" w:eastAsia="宋体" w:cs="Times New Roman"/>
                <w:i w:val="0"/>
                <w:iCs w:val="0"/>
                <w:color w:val="000000"/>
                <w:sz w:val="18"/>
                <w:szCs w:val="18"/>
                <w:u w:val="none"/>
              </w:rPr>
            </w:pP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D9C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产出指标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8F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数量指标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08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CA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A7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E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元/年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94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804089.4元</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40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B1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FD20">
            <w:pPr>
              <w:jc w:val="center"/>
              <w:rPr>
                <w:rFonts w:hint="default" w:ascii="Times New Roman" w:hAnsi="Times New Roman" w:eastAsia="微软雅黑" w:cs="Times New Roman"/>
                <w:i/>
                <w:iCs/>
                <w:color w:val="000000"/>
                <w:sz w:val="16"/>
                <w:szCs w:val="16"/>
                <w:u w:val="none"/>
              </w:rPr>
            </w:pPr>
          </w:p>
        </w:tc>
      </w:tr>
      <w:tr w14:paraId="49E7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4F451">
            <w:pPr>
              <w:jc w:val="cente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E8CDD">
            <w:pPr>
              <w:jc w:val="center"/>
              <w:rPr>
                <w:rFonts w:hint="default" w:ascii="Times New Roman" w:hAnsi="Times New Roman" w:eastAsia="宋体" w:cs="Times New Roman"/>
                <w:i w:val="0"/>
                <w:iCs w:val="0"/>
                <w:color w:val="000000"/>
                <w:sz w:val="18"/>
                <w:szCs w:val="18"/>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FC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质量指标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8E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按时缴纳</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D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96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全额缴纳</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AE93">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15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全额缴纳</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91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B1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43EE">
            <w:pPr>
              <w:jc w:val="center"/>
              <w:rPr>
                <w:rFonts w:hint="default" w:ascii="Times New Roman" w:hAnsi="Times New Roman" w:eastAsia="微软雅黑" w:cs="Times New Roman"/>
                <w:i/>
                <w:iCs/>
                <w:color w:val="000000"/>
                <w:sz w:val="16"/>
                <w:szCs w:val="16"/>
                <w:u w:val="none"/>
              </w:rPr>
            </w:pPr>
          </w:p>
        </w:tc>
      </w:tr>
      <w:tr w14:paraId="60C94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10227">
            <w:pPr>
              <w:jc w:val="cente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62CF">
            <w:pPr>
              <w:jc w:val="center"/>
              <w:rPr>
                <w:rFonts w:hint="default" w:ascii="Times New Roman" w:hAnsi="Times New Roman" w:eastAsia="宋体" w:cs="Times New Roman"/>
                <w:i w:val="0"/>
                <w:iCs w:val="0"/>
                <w:color w:val="000000"/>
                <w:sz w:val="18"/>
                <w:szCs w:val="18"/>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02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时效指标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A2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完成时间</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FA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50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74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81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1年内完成</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C7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62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5239">
            <w:pPr>
              <w:jc w:val="center"/>
              <w:rPr>
                <w:rFonts w:hint="default" w:ascii="Times New Roman" w:hAnsi="Times New Roman" w:eastAsia="微软雅黑" w:cs="Times New Roman"/>
                <w:i/>
                <w:iCs/>
                <w:color w:val="000000"/>
                <w:sz w:val="16"/>
                <w:szCs w:val="16"/>
                <w:u w:val="none"/>
              </w:rPr>
            </w:pPr>
          </w:p>
        </w:tc>
      </w:tr>
      <w:tr w14:paraId="138B9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6CA85">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FAE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效益指标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1D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社会效益指标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FE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保障单位正常运转</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76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B2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良好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F4A4">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9D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良好</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92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8F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FD69">
            <w:pPr>
              <w:jc w:val="center"/>
              <w:rPr>
                <w:rFonts w:hint="default" w:ascii="Times New Roman" w:hAnsi="Times New Roman" w:eastAsia="微软雅黑" w:cs="Times New Roman"/>
                <w:i/>
                <w:iCs/>
                <w:color w:val="000000"/>
                <w:sz w:val="16"/>
                <w:szCs w:val="16"/>
                <w:u w:val="none"/>
              </w:rPr>
            </w:pPr>
          </w:p>
        </w:tc>
      </w:tr>
      <w:tr w14:paraId="7DA50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99101">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C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满意度指标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B5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服务对象满意度指标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15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物业公司</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2A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4F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3F32C">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F3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CE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14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1331">
            <w:pPr>
              <w:jc w:val="center"/>
              <w:rPr>
                <w:rFonts w:hint="default" w:ascii="Times New Roman" w:hAnsi="Times New Roman" w:eastAsia="微软雅黑" w:cs="Times New Roman"/>
                <w:i/>
                <w:iCs/>
                <w:color w:val="000000"/>
                <w:sz w:val="16"/>
                <w:szCs w:val="16"/>
                <w:u w:val="none"/>
              </w:rPr>
            </w:pPr>
          </w:p>
        </w:tc>
      </w:tr>
      <w:tr w14:paraId="2367E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B5D25">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AD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成本指标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01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经济成本指标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3B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D3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32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56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元/年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5B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804089.4元</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26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FA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E11">
            <w:pPr>
              <w:jc w:val="center"/>
              <w:rPr>
                <w:rFonts w:hint="default" w:ascii="Times New Roman" w:hAnsi="Times New Roman" w:eastAsia="微软雅黑" w:cs="Times New Roman"/>
                <w:i/>
                <w:iCs/>
                <w:color w:val="000000"/>
                <w:sz w:val="16"/>
                <w:szCs w:val="16"/>
                <w:u w:val="none"/>
              </w:rPr>
            </w:pPr>
          </w:p>
        </w:tc>
      </w:tr>
      <w:tr w14:paraId="5BAB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21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F053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合计</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C0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33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6CB4">
            <w:pPr>
              <w:rPr>
                <w:rFonts w:hint="default" w:ascii="Times New Roman" w:hAnsi="Times New Roman" w:eastAsia="宋体" w:cs="Times New Roman"/>
                <w:i w:val="0"/>
                <w:iCs w:val="0"/>
                <w:color w:val="000000"/>
                <w:sz w:val="18"/>
                <w:szCs w:val="18"/>
                <w:u w:val="none"/>
              </w:rPr>
            </w:pPr>
          </w:p>
        </w:tc>
      </w:tr>
      <w:tr w14:paraId="0607B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72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评价结论</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1FED0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项目自评总分100分，按规定足额缴纳入驻政务中心单位租金、物业费及水电费，保障单位正常运转。2025年完成支付入80.41万元，预算执行率100%。</w:t>
            </w:r>
          </w:p>
        </w:tc>
      </w:tr>
      <w:tr w14:paraId="46441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C0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存在问题</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A6B4B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0B2F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71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改进措施</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4C89C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22FAA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36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4EC2F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项目负责人：杨红</w:t>
            </w:r>
          </w:p>
        </w:tc>
        <w:tc>
          <w:tcPr>
            <w:tcW w:w="480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C984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财务负责人：高礼银</w:t>
            </w:r>
          </w:p>
        </w:tc>
      </w:tr>
    </w:tbl>
    <w:p w14:paraId="31A0614D">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19F83DF2">
      <w:pPr>
        <w:rPr>
          <w:rFonts w:hint="default" w:ascii="Times New Roman" w:hAnsi="Times New Roman" w:cs="Times New Roman"/>
          <w:lang w:val="en-US" w:eastAsia="zh-CN"/>
        </w:rPr>
      </w:pPr>
    </w:p>
    <w:p w14:paraId="23FA5C78">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default" w:ascii="Times New Roman" w:hAnsi="Times New Roman" w:cs="Times New Roman"/>
          <w:sz w:val="32"/>
          <w:szCs w:val="32"/>
          <w:highlight w:val="yellow"/>
          <w:lang w:val="zh-CN" w:eastAsia="zh-CN"/>
        </w:rPr>
      </w:pPr>
    </w:p>
    <w:p w14:paraId="039380D7">
      <w:pPr>
        <w:pStyle w:val="5"/>
        <w:rPr>
          <w:rFonts w:hint="default" w:ascii="Times New Roman" w:hAnsi="Times New Roman" w:cs="Times New Roman"/>
          <w:color w:val="FF0000"/>
          <w:kern w:val="0"/>
          <w:sz w:val="32"/>
          <w:szCs w:val="32"/>
          <w:highlight w:val="yellow"/>
          <w:shd w:val="clear" w:color="auto" w:fill="FFFFFF"/>
          <w:lang w:val="zh-CN"/>
        </w:rPr>
      </w:pPr>
    </w:p>
    <w:p w14:paraId="33A8F8B9">
      <w:pPr>
        <w:rPr>
          <w:rFonts w:hint="default" w:ascii="Times New Roman" w:hAnsi="Times New Roman" w:eastAsia="黑体" w:cs="Times New Roman"/>
          <w:color w:val="auto"/>
          <w:kern w:val="0"/>
          <w:sz w:val="32"/>
          <w:szCs w:val="32"/>
          <w:highlight w:val="none"/>
          <w:shd w:val="clear" w:color="auto" w:fill="FFFFFF"/>
          <w:lang w:val="zh-CN"/>
        </w:rPr>
      </w:pPr>
      <w:r>
        <w:rPr>
          <w:rFonts w:hint="default" w:ascii="Times New Roman" w:hAnsi="Times New Roman" w:eastAsia="黑体" w:cs="Times New Roman"/>
          <w:color w:val="auto"/>
          <w:kern w:val="0"/>
          <w:sz w:val="32"/>
          <w:szCs w:val="32"/>
          <w:highlight w:val="none"/>
          <w:shd w:val="clear" w:color="auto" w:fill="FFFFFF"/>
          <w:lang w:val="zh-CN"/>
        </w:rPr>
        <w:br w:type="page"/>
      </w:r>
    </w:p>
    <w:p w14:paraId="69A80A1E">
      <w:pPr>
        <w:pStyle w:val="5"/>
        <w:rPr>
          <w:rFonts w:hint="eastAsia" w:ascii="方正黑体_GBK" w:hAnsi="方正黑体_GBK" w:eastAsia="方正黑体_GBK" w:cs="方正黑体_GBK"/>
          <w:color w:val="auto"/>
          <w:sz w:val="32"/>
          <w:szCs w:val="32"/>
          <w:highlight w:val="none"/>
          <w:lang w:val="en-US" w:eastAsia="zh-CN"/>
        </w:rPr>
      </w:pPr>
      <w:r>
        <w:rPr>
          <w:rFonts w:hint="eastAsia" w:ascii="方正黑体_GBK" w:hAnsi="方正黑体_GBK" w:eastAsia="方正黑体_GBK" w:cs="方正黑体_GBK"/>
          <w:color w:val="auto"/>
          <w:kern w:val="0"/>
          <w:sz w:val="32"/>
          <w:szCs w:val="32"/>
          <w:highlight w:val="none"/>
          <w:shd w:val="clear" w:color="auto" w:fill="FFFFFF"/>
          <w:lang w:val="zh-CN"/>
        </w:rPr>
        <w:t>附件</w:t>
      </w:r>
      <w:r>
        <w:rPr>
          <w:rFonts w:hint="eastAsia" w:ascii="方正黑体_GBK" w:hAnsi="方正黑体_GBK" w:eastAsia="方正黑体_GBK" w:cs="方正黑体_GBK"/>
          <w:color w:val="auto"/>
          <w:kern w:val="0"/>
          <w:sz w:val="32"/>
          <w:szCs w:val="32"/>
          <w:highlight w:val="none"/>
          <w:shd w:val="clear" w:color="auto" w:fill="FFFFFF"/>
          <w:lang w:val="en-US" w:eastAsia="zh-CN"/>
        </w:rPr>
        <w:t>2</w:t>
      </w:r>
    </w:p>
    <w:p w14:paraId="07D2DC10">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攀枝花市社会保险事务中心</w:t>
      </w:r>
    </w:p>
    <w:p w14:paraId="53A81238">
      <w:pPr>
        <w:pStyle w:val="37"/>
        <w:spacing w:line="600" w:lineRule="exact"/>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color w:val="auto"/>
          <w:kern w:val="2"/>
          <w:sz w:val="40"/>
          <w:szCs w:val="40"/>
          <w:lang w:val="en-US"/>
        </w:rPr>
        <w:t>202</w:t>
      </w:r>
      <w:r>
        <w:rPr>
          <w:rFonts w:hint="default" w:ascii="Times New Roman" w:hAnsi="Times New Roman" w:eastAsia="方正小标宋简体" w:cs="Times New Roman"/>
          <w:color w:val="auto"/>
          <w:kern w:val="2"/>
          <w:sz w:val="40"/>
          <w:szCs w:val="40"/>
          <w:lang w:val="en-US" w:eastAsia="zh-CN"/>
        </w:rPr>
        <w:t>5</w:t>
      </w:r>
      <w:r>
        <w:rPr>
          <w:rFonts w:hint="default" w:ascii="Times New Roman" w:hAnsi="Times New Roman" w:eastAsia="方正小标宋简体" w:cs="Times New Roman"/>
          <w:color w:val="auto"/>
          <w:kern w:val="2"/>
          <w:sz w:val="40"/>
          <w:szCs w:val="40"/>
          <w:lang w:val="en-US"/>
        </w:rPr>
        <w:t>年</w:t>
      </w:r>
      <w:r>
        <w:rPr>
          <w:rFonts w:hint="default" w:ascii="Times New Roman" w:hAnsi="Times New Roman" w:eastAsia="方正小标宋简体" w:cs="Times New Roman"/>
          <w:color w:val="auto"/>
          <w:kern w:val="2"/>
          <w:sz w:val="40"/>
          <w:szCs w:val="40"/>
          <w:lang w:val="en-US" w:eastAsia="zh-CN"/>
        </w:rPr>
        <w:t>省管森工社会化管理工作经费</w:t>
      </w:r>
    </w:p>
    <w:p w14:paraId="1EB17CD3">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专项预算项目支出绩效自评报告</w:t>
      </w:r>
    </w:p>
    <w:p w14:paraId="62A29D93">
      <w:pPr>
        <w:pStyle w:val="37"/>
        <w:spacing w:line="600" w:lineRule="exact"/>
        <w:ind w:firstLine="640"/>
        <w:jc w:val="center"/>
        <w:rPr>
          <w:rFonts w:hint="default" w:ascii="Times New Roman" w:hAnsi="Times New Roman" w:cs="Times New Roman"/>
          <w:color w:val="auto"/>
          <w:kern w:val="2"/>
          <w:sz w:val="32"/>
          <w:szCs w:val="32"/>
        </w:rPr>
      </w:pPr>
    </w:p>
    <w:p w14:paraId="4924C13A">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一、</w:t>
      </w:r>
      <w:r>
        <w:rPr>
          <w:rFonts w:hint="default" w:ascii="Times New Roman" w:hAnsi="Times New Roman" w:eastAsia="黑体" w:cs="Times New Roman"/>
          <w:sz w:val="32"/>
          <w:lang w:val="zh-CN"/>
        </w:rPr>
        <w:t>项目概况</w:t>
      </w:r>
    </w:p>
    <w:p w14:paraId="4E1F254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（一）项目基本情况</w:t>
      </w:r>
    </w:p>
    <w:p w14:paraId="2AD20B9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在该项目管理中的职能</w:t>
      </w:r>
    </w:p>
    <w:p w14:paraId="48BF45D7">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kern w:val="0"/>
          <w:sz w:val="32"/>
          <w:szCs w:val="32"/>
          <w:lang w:val="en-US" w:eastAsia="zh-CN" w:bidi="ar-SA"/>
        </w:rPr>
        <w:t>攀枝花市社会保险事务中心是“省管森工社会化管理工作经费”项目的实施主体，负责项目的实施、监督、管理等工作。</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BF9749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项目立项、资金申报的依据</w:t>
      </w:r>
    </w:p>
    <w:p w14:paraId="78158FE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“省管森工社会化管理工作经费”项目资金由省级财政下拨，市级财政年中下达指标。</w:t>
      </w:r>
    </w:p>
    <w:p w14:paraId="7292B595">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资金管理办法制定情况，资金支持具体项目的条件、范围与支持方式概况</w:t>
      </w:r>
    </w:p>
    <w:p w14:paraId="7EA2B6E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为进一步规范省管森工社会化管理工作经费管理，提高资金使用绩效，严格按照《四川省财政厅四川省人力资源和社会保障厅关于印发〈森工人员退休管理专项资金管理办法〉的通知》（川财社〔201</w:t>
      </w:r>
      <w:r>
        <w:rPr>
          <w:rFonts w:hint="default" w:ascii="Times New Roman" w:hAnsi="Times New Roman" w:eastAsia="仿宋_GB2312" w:cs="Times New Roman"/>
          <w:color w:val="auto"/>
          <w:kern w:val="0"/>
          <w:sz w:val="32"/>
          <w:szCs w:val="32"/>
          <w:lang w:val="en-US" w:eastAsia="zh-CN" w:bidi="ar-SA"/>
        </w:rPr>
        <w:t>7〕</w:t>
      </w:r>
      <w:r>
        <w:rPr>
          <w:rFonts w:hint="default" w:ascii="Times New Roman" w:hAnsi="Times New Roman" w:eastAsia="仿宋_GB2312" w:cs="Times New Roman"/>
          <w:color w:val="auto"/>
          <w:kern w:val="0"/>
          <w:sz w:val="32"/>
          <w:szCs w:val="32"/>
          <w:lang w:val="zh-CN" w:eastAsia="zh-CN" w:bidi="ar-SA"/>
        </w:rPr>
        <w:t>7号）文件要求使用资金。</w:t>
      </w:r>
    </w:p>
    <w:p w14:paraId="0436DB20">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资金分配的原则及考虑因素</w:t>
      </w:r>
    </w:p>
    <w:p w14:paraId="439F920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四川省社会保险管理局根据相关基础数据和人均标准，研究提出资金分配方案，经人力资源社会保障厅、财政厅审核并按规定程序报批后，由财政厅、省社保局联合下达预算。</w:t>
      </w:r>
    </w:p>
    <w:p w14:paraId="736882B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lang w:val="zh-CN"/>
        </w:rPr>
      </w:pPr>
      <w:r>
        <w:rPr>
          <w:rFonts w:hint="default" w:ascii="Times New Roman" w:hAnsi="Times New Roman" w:eastAsia="楷体_GB2312" w:cs="Times New Roman"/>
          <w:b/>
          <w:bCs/>
          <w:color w:val="000000"/>
          <w:kern w:val="0"/>
          <w:sz w:val="32"/>
          <w:szCs w:val="32"/>
          <w:shd w:val="clear" w:color="auto" w:fill="FFFFFF"/>
          <w:lang w:val="zh-CN"/>
        </w:rPr>
        <w:t>（二）项目绩效目标</w:t>
      </w:r>
    </w:p>
    <w:p w14:paraId="2C6019C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项目主要内容</w:t>
      </w:r>
    </w:p>
    <w:p w14:paraId="333958D8">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“省管森工企业离退休人员社会化管理经费”项目资金主要用于确保全市社保经办机构代管的省管森工企业离退休人员基本养老金按时足额发放，提升省管森工企业离退休人员社会化管理服务水平。</w:t>
      </w:r>
    </w:p>
    <w:p w14:paraId="3DF50DFE">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项目应实现的具体绩效目标，包括目标的量化、细化情况以及项目实施进度计划等</w:t>
      </w:r>
    </w:p>
    <w:p w14:paraId="6816D280">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en-US" w:eastAsia="zh-CN" w:bidi="ar-SA"/>
        </w:rPr>
        <w:t>质量指标：按时足额发放率达到100%。</w:t>
      </w:r>
    </w:p>
    <w:p w14:paraId="58EC081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en-US" w:eastAsia="zh-CN" w:bidi="ar-SA"/>
        </w:rPr>
        <w:t>数量指标：森工企业退休人员数量≥750人。</w:t>
      </w:r>
    </w:p>
    <w:p w14:paraId="23EF10E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（3）时效指标：资金支付及时率100%。</w:t>
      </w:r>
    </w:p>
    <w:p w14:paraId="5E3C6C8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（4）成本指标：社会化管理工作成本7.69万元。</w:t>
      </w:r>
    </w:p>
    <w:p w14:paraId="0C94167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（5）社会效益指标：维护社会稳定。</w:t>
      </w:r>
    </w:p>
    <w:p w14:paraId="569846E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（6）满意度指标：森工退休人员满意度≥95%。</w:t>
      </w:r>
    </w:p>
    <w:p w14:paraId="1EA0FB92">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b/>
          <w:bCs/>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分析评价申报内容是否与实际相符，申报目标是否合理可行</w:t>
      </w:r>
    </w:p>
    <w:p w14:paraId="7CF197D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市社会保险事务中心按照20</w:t>
      </w:r>
      <w:r>
        <w:rPr>
          <w:rFonts w:hint="default" w:ascii="Times New Roman" w:hAnsi="Times New Roman" w:eastAsia="仿宋_GB2312" w:cs="Times New Roman"/>
          <w:color w:val="auto"/>
          <w:kern w:val="0"/>
          <w:sz w:val="32"/>
          <w:szCs w:val="32"/>
          <w:lang w:val="en-US" w:eastAsia="zh-CN" w:bidi="ar-SA"/>
        </w:rPr>
        <w:t>25</w:t>
      </w:r>
      <w:r>
        <w:rPr>
          <w:rFonts w:hint="default" w:ascii="Times New Roman" w:hAnsi="Times New Roman" w:eastAsia="仿宋_GB2312" w:cs="Times New Roman"/>
          <w:color w:val="auto"/>
          <w:kern w:val="0"/>
          <w:sz w:val="32"/>
          <w:szCs w:val="32"/>
          <w:lang w:val="zh-CN" w:eastAsia="zh-CN" w:bidi="ar-SA"/>
        </w:rPr>
        <w:t>年目标任务制定绩效目标，申报内容与实际相符，申报目标合理可行。</w:t>
      </w:r>
    </w:p>
    <w:p w14:paraId="11694F57">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（三）项目自评步骤及方法</w:t>
      </w:r>
    </w:p>
    <w:p w14:paraId="0AEC748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市社会保险事务中心项目绩效评价按照前期准备阶段、自评阶段、实施评价阶段、报告撰写阶段、结果运用阶段五个阶段的工作流程。办公室成立项目评价小组对项目资金执行情况进行自查自评。</w:t>
      </w:r>
    </w:p>
    <w:p w14:paraId="2189D17A">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二、项目资金申报及使用情况</w:t>
      </w:r>
    </w:p>
    <w:p w14:paraId="3A5F1BF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0"/>
          <w:sz w:val="32"/>
          <w:szCs w:val="32"/>
          <w:lang w:val="zh-CN" w:eastAsia="zh-CN" w:bidi="ar-SA"/>
        </w:rPr>
        <w:t>“省管森工社会化管理工作经费”项目资金共</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万元，资金支付完成100%。</w:t>
      </w:r>
    </w:p>
    <w:p w14:paraId="1BDD2530">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（一）项目资金申报及批复情况</w:t>
      </w:r>
    </w:p>
    <w:p w14:paraId="079E72B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“省管森工社会化管理工作经费”项目资金由省级财政下拨，市社会保险事务中心在“预算管理一体化系统”中申报项目资金，市级财政完成批复并下达指标。</w:t>
      </w:r>
    </w:p>
    <w:p w14:paraId="5E0430C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（二）资金计划、到位及使用情况</w:t>
      </w:r>
    </w:p>
    <w:p w14:paraId="7AF4A5B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资金计划</w:t>
      </w:r>
    </w:p>
    <w:p w14:paraId="34E5630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万元，主要用于开展省管重点森工企业离退休人员基本养老保险待遇发放和领取资格认证工作。</w:t>
      </w:r>
    </w:p>
    <w:p w14:paraId="39BF943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资金到位</w:t>
      </w:r>
    </w:p>
    <w:p w14:paraId="1E1A503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万元，于202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年中由市级财政批复并下达预算指标，到位率100%。</w:t>
      </w:r>
    </w:p>
    <w:p w14:paraId="786D54C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资金使用</w:t>
      </w:r>
    </w:p>
    <w:p w14:paraId="5BFFC8F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此项目资金主要</w:t>
      </w:r>
      <w:r>
        <w:rPr>
          <w:rFonts w:hint="default" w:ascii="Times New Roman" w:hAnsi="Times New Roman" w:eastAsia="仿宋_GB2312" w:cs="Times New Roman"/>
          <w:color w:val="auto"/>
          <w:kern w:val="0"/>
          <w:sz w:val="32"/>
          <w:szCs w:val="32"/>
          <w:lang w:val="zh-CN" w:eastAsia="zh-CN" w:bidi="ar-SA"/>
        </w:rPr>
        <w:t>用于市社会保险事务中心确</w:t>
      </w:r>
      <w:r>
        <w:rPr>
          <w:rFonts w:hint="default" w:ascii="Times New Roman" w:hAnsi="Times New Roman" w:eastAsia="仿宋_GB2312" w:cs="Times New Roman"/>
          <w:color w:val="auto"/>
          <w:kern w:val="0"/>
          <w:sz w:val="32"/>
          <w:szCs w:val="32"/>
          <w:lang w:val="en-US" w:eastAsia="zh-CN" w:bidi="ar-SA"/>
        </w:rPr>
        <w:t>保全市社保经办机构代管的省管森工企业离退休人员基本养老金按时足额发放，提升省管森工企业离退休人员社会化管理服务水平。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0"/>
          <w:sz w:val="32"/>
          <w:szCs w:val="32"/>
          <w:lang w:val="zh-CN" w:eastAsia="zh-CN" w:bidi="ar-SA"/>
        </w:rPr>
        <w:t>资金</w:t>
      </w:r>
      <w:r>
        <w:rPr>
          <w:rFonts w:hint="default" w:ascii="Times New Roman" w:hAnsi="Times New Roman" w:eastAsia="仿宋_GB2312" w:cs="Times New Roman"/>
          <w:color w:val="auto"/>
          <w:kern w:val="0"/>
          <w:sz w:val="32"/>
          <w:szCs w:val="32"/>
          <w:lang w:val="en-US" w:eastAsia="zh-CN" w:bidi="ar-SA"/>
        </w:rPr>
        <w:t>到位后，市社会保险事务中心严格按财经纪律、财务管理等相关规定，严格审核各项支出，及时支付，资金支付完成100%。</w:t>
      </w:r>
    </w:p>
    <w:p w14:paraId="73ABE6A3">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（三）项目财务管理情况</w:t>
      </w:r>
    </w:p>
    <w:p w14:paraId="0D90742B">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0"/>
          <w:sz w:val="32"/>
          <w:szCs w:val="32"/>
          <w:lang w:val="zh-CN" w:eastAsia="zh-CN" w:bidi="ar-SA"/>
        </w:rPr>
        <w:t>市社会保险事务中心建立了财务管理制度，由办公室统一管理</w:t>
      </w:r>
      <w:r>
        <w:rPr>
          <w:rFonts w:hint="default" w:ascii="Times New Roman" w:hAnsi="Times New Roman" w:eastAsia="仿宋_GB2312"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lang w:val="zh-CN" w:eastAsia="zh-CN" w:bidi="ar-SA"/>
        </w:rPr>
        <w:t>“省管森工社会化管理工作经费”项目资金，严格按照上级要求上报资金使用计划，并在实施过程中做到资金专项专用。所有支出严格按照财务会计管理规定，做到资金使用有计划、审批有手续、支出合理规范。并及时进行账务处理和会计核算，按财政要求及时编制和公开项目资金绩效目标。</w:t>
      </w:r>
    </w:p>
    <w:p w14:paraId="1E7B801B">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三、项目实施及管理情况</w:t>
      </w:r>
    </w:p>
    <w:p w14:paraId="092039CF">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（一）项目组织架构及实施流程</w:t>
      </w:r>
    </w:p>
    <w:p w14:paraId="035750D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办公室在部门预算中申报项目资金，并制定绩效目标；按照项目执行情况在“预算管理一体化系统”中完成资金的申请和支付。</w:t>
      </w:r>
      <w:r>
        <w:rPr>
          <w:rFonts w:hint="default" w:ascii="Times New Roman" w:hAnsi="Times New Roman" w:eastAsia="仿宋_GB2312" w:cs="Times New Roman"/>
          <w:color w:val="auto"/>
          <w:kern w:val="0"/>
          <w:sz w:val="32"/>
          <w:szCs w:val="32"/>
          <w:lang w:val="en-US" w:eastAsia="zh-CN" w:bidi="ar-SA"/>
        </w:rPr>
        <w:t>稽核科成立项目督导检查工作小组，不定期对项目执行进度情况进行督导检查</w:t>
      </w:r>
      <w:r>
        <w:rPr>
          <w:rFonts w:hint="default" w:ascii="Times New Roman" w:hAnsi="Times New Roman" w:eastAsia="仿宋_GB2312" w:cs="Times New Roman"/>
          <w:color w:val="auto"/>
          <w:kern w:val="0"/>
          <w:sz w:val="32"/>
          <w:szCs w:val="32"/>
          <w:lang w:val="zh-CN" w:eastAsia="zh-CN" w:bidi="ar-SA"/>
        </w:rPr>
        <w:t>。</w:t>
      </w:r>
    </w:p>
    <w:p w14:paraId="4ACE1B4D">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（二）项目管理情况</w:t>
      </w:r>
    </w:p>
    <w:p w14:paraId="71FF0FB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严格按照《四川省财政厅四川省人力资源和社会保障厅关于印发〈森工人员退休管理专项资金管理办法〉的通知》（川财社〔201</w:t>
      </w:r>
      <w:r>
        <w:rPr>
          <w:rFonts w:hint="default" w:ascii="Times New Roman" w:hAnsi="Times New Roman" w:eastAsia="仿宋_GB2312" w:cs="Times New Roman"/>
          <w:color w:val="auto"/>
          <w:kern w:val="0"/>
          <w:sz w:val="32"/>
          <w:szCs w:val="32"/>
          <w:lang w:val="en-US" w:eastAsia="zh-CN" w:bidi="ar-SA"/>
        </w:rPr>
        <w:t>7〕</w:t>
      </w:r>
      <w:r>
        <w:rPr>
          <w:rFonts w:hint="default" w:ascii="Times New Roman" w:hAnsi="Times New Roman" w:eastAsia="仿宋_GB2312" w:cs="Times New Roman"/>
          <w:color w:val="auto"/>
          <w:kern w:val="0"/>
          <w:sz w:val="32"/>
          <w:szCs w:val="32"/>
          <w:lang w:val="zh-CN" w:eastAsia="zh-CN" w:bidi="ar-SA"/>
        </w:rPr>
        <w:t>7号）文件要求使用项目资金。</w:t>
      </w:r>
    </w:p>
    <w:p w14:paraId="0232BB51">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（三）项目监管情况</w:t>
      </w:r>
    </w:p>
    <w:p w14:paraId="58096BA7">
      <w:pPr>
        <w:pStyle w:val="17"/>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市社会保险事务中心稽核科成立项目督导检查工作小组，不定期对项目执行进度情况进行督导检查，对检查过程中发现的问题及时督促整改，确保了项目按时保质完成。</w:t>
      </w:r>
    </w:p>
    <w:p w14:paraId="34581DE4">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四、项目绩效情况</w:t>
      </w:r>
      <w:r>
        <w:rPr>
          <w:rFonts w:hint="default" w:ascii="Times New Roman" w:hAnsi="Times New Roman" w:eastAsia="黑体" w:cs="Times New Roman"/>
          <w:sz w:val="32"/>
          <w:lang w:val="zh-CN"/>
        </w:rPr>
        <w:tab/>
      </w:r>
    </w:p>
    <w:p w14:paraId="250B1F4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（一）项目完成情况</w:t>
      </w:r>
    </w:p>
    <w:p w14:paraId="2BBB5FCF">
      <w:pPr>
        <w:keepNext w:val="0"/>
        <w:keepLines w:val="0"/>
        <w:pageBreakBefore w:val="0"/>
        <w:kinsoku/>
        <w:wordWrap/>
        <w:overflowPunct/>
        <w:topLinePunct w:val="0"/>
        <w:autoSpaceDE w:val="0"/>
        <w:autoSpaceDN w:val="0"/>
        <w:bidi w:val="0"/>
        <w:adjustRightInd w:val="0"/>
        <w:spacing w:line="600" w:lineRule="exact"/>
        <w:ind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“省管森工社会化管理工作经费”项目在当期完成了项目的总体实施，执行率100%。确保代管的省管森工企业离退休人员基本养老金按时足额发放，提升省管森工企业离退休人员社会化管理服务水平。</w:t>
      </w:r>
    </w:p>
    <w:p w14:paraId="07CF6145">
      <w:pPr>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1.</w:t>
      </w:r>
      <w:r>
        <w:rPr>
          <w:rFonts w:hint="default" w:ascii="Times New Roman" w:hAnsi="Times New Roman" w:eastAsia="仿宋_GB2312" w:cs="Times New Roman"/>
          <w:color w:val="auto"/>
          <w:kern w:val="2"/>
          <w:sz w:val="32"/>
          <w:szCs w:val="32"/>
          <w:lang w:val="en-US" w:eastAsia="zh-CN" w:bidi="ar-SA"/>
        </w:rPr>
        <w:t>质量指标：按时足额发放率达到100%。</w:t>
      </w:r>
    </w:p>
    <w:p w14:paraId="358D6397">
      <w:pPr>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2.</w:t>
      </w:r>
      <w:r>
        <w:rPr>
          <w:rFonts w:hint="default" w:ascii="Times New Roman" w:hAnsi="Times New Roman" w:eastAsia="仿宋_GB2312" w:cs="Times New Roman"/>
          <w:color w:val="auto"/>
          <w:kern w:val="2"/>
          <w:sz w:val="32"/>
          <w:szCs w:val="32"/>
          <w:lang w:val="en-US" w:eastAsia="zh-CN" w:bidi="ar-SA"/>
        </w:rPr>
        <w:t>数量指标：森工企业退休人员数量≥750人。</w:t>
      </w:r>
    </w:p>
    <w:p w14:paraId="232B3B6A">
      <w:pPr>
        <w:keepNext w:val="0"/>
        <w:keepLines w:val="0"/>
        <w:pageBreakBefore w:val="0"/>
        <w:widowControl/>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3.</w:t>
      </w:r>
      <w:r>
        <w:rPr>
          <w:rFonts w:hint="default" w:ascii="Times New Roman" w:hAnsi="Times New Roman" w:eastAsia="仿宋_GB2312" w:cs="Times New Roman"/>
          <w:color w:val="auto"/>
          <w:kern w:val="2"/>
          <w:sz w:val="32"/>
          <w:szCs w:val="32"/>
          <w:lang w:val="en-US" w:eastAsia="zh-CN" w:bidi="ar-SA"/>
        </w:rPr>
        <w:t>时效指标：资金支付及时率100%。</w:t>
      </w:r>
    </w:p>
    <w:p w14:paraId="52EE889E">
      <w:pPr>
        <w:keepNext w:val="0"/>
        <w:keepLines w:val="0"/>
        <w:pageBreakBefore w:val="0"/>
        <w:widowControl/>
        <w:numPr>
          <w:ilvl w:val="-1"/>
          <w:numId w:val="0"/>
        </w:numPr>
        <w:kinsoku/>
        <w:wordWrap/>
        <w:overflowPunct/>
        <w:topLinePunct w:val="0"/>
        <w:bidi w:val="0"/>
        <w:spacing w:line="600"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4.</w:t>
      </w:r>
      <w:r>
        <w:rPr>
          <w:rFonts w:hint="default" w:ascii="Times New Roman" w:hAnsi="Times New Roman" w:eastAsia="仿宋_GB2312" w:cs="Times New Roman"/>
          <w:color w:val="auto"/>
          <w:kern w:val="2"/>
          <w:sz w:val="32"/>
          <w:szCs w:val="32"/>
          <w:lang w:val="en-US" w:eastAsia="zh-CN" w:bidi="ar-SA"/>
        </w:rPr>
        <w:t>成本指标：社会化管理工作成本7.69万元。</w:t>
      </w:r>
    </w:p>
    <w:p w14:paraId="5890E798">
      <w:pPr>
        <w:keepNext w:val="0"/>
        <w:keepLines w:val="0"/>
        <w:pageBreakBefore w:val="0"/>
        <w:widowControl/>
        <w:numPr>
          <w:ilvl w:val="-1"/>
          <w:numId w:val="0"/>
        </w:numPr>
        <w:kinsoku/>
        <w:wordWrap/>
        <w:overflowPunct/>
        <w:topLinePunct w:val="0"/>
        <w:bidi w:val="0"/>
        <w:spacing w:line="600"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5.</w:t>
      </w:r>
      <w:r>
        <w:rPr>
          <w:rFonts w:hint="default" w:ascii="Times New Roman" w:hAnsi="Times New Roman" w:eastAsia="仿宋_GB2312" w:cs="Times New Roman"/>
          <w:color w:val="auto"/>
          <w:kern w:val="2"/>
          <w:sz w:val="32"/>
          <w:szCs w:val="32"/>
          <w:lang w:val="en-US" w:eastAsia="zh-CN" w:bidi="ar-SA"/>
        </w:rPr>
        <w:t>社会效益指标：维护社会稳定。</w:t>
      </w:r>
    </w:p>
    <w:p w14:paraId="1A3A32A6">
      <w:pPr>
        <w:pStyle w:val="9"/>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6.</w:t>
      </w:r>
      <w:r>
        <w:rPr>
          <w:rFonts w:hint="default" w:ascii="Times New Roman" w:hAnsi="Times New Roman" w:eastAsia="仿宋_GB2312" w:cs="Times New Roman"/>
          <w:color w:val="auto"/>
          <w:kern w:val="2"/>
          <w:sz w:val="32"/>
          <w:szCs w:val="32"/>
          <w:lang w:val="en-US" w:eastAsia="zh-CN" w:bidi="ar-SA"/>
        </w:rPr>
        <w:t>满意度指标：森工退休人员满意度≥95%。</w:t>
      </w:r>
    </w:p>
    <w:p w14:paraId="5727B00C">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（二）项目效益情况</w:t>
      </w:r>
    </w:p>
    <w:p w14:paraId="6C5C0974">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市社会保险事务中心</w:t>
      </w:r>
      <w:r>
        <w:rPr>
          <w:rFonts w:hint="default" w:ascii="Times New Roman" w:hAnsi="Times New Roman" w:eastAsia="仿宋_GB2312" w:cs="Times New Roman"/>
          <w:color w:val="auto"/>
          <w:kern w:val="2"/>
          <w:sz w:val="32"/>
          <w:szCs w:val="32"/>
          <w:lang w:val="zh-CN" w:eastAsia="zh-CN" w:bidi="ar-SA"/>
        </w:rPr>
        <w:t>按照</w:t>
      </w:r>
      <w:r>
        <w:rPr>
          <w:rFonts w:hint="default" w:ascii="Times New Roman" w:hAnsi="Times New Roman" w:eastAsia="仿宋_GB2312" w:cs="Times New Roman"/>
          <w:color w:val="auto"/>
          <w:kern w:val="2"/>
          <w:sz w:val="32"/>
          <w:szCs w:val="32"/>
          <w:lang w:val="en-US" w:eastAsia="zh-CN" w:bidi="ar-SA"/>
        </w:rPr>
        <w:t>人力资源社会保障</w:t>
      </w:r>
      <w:r>
        <w:rPr>
          <w:rFonts w:hint="default" w:ascii="Times New Roman" w:hAnsi="Times New Roman" w:eastAsia="仿宋_GB2312" w:cs="Times New Roman"/>
          <w:color w:val="auto"/>
          <w:kern w:val="2"/>
          <w:sz w:val="32"/>
          <w:szCs w:val="32"/>
          <w:lang w:val="zh-CN" w:eastAsia="zh-CN" w:bidi="ar-SA"/>
        </w:rPr>
        <w:t>厅、省</w:t>
      </w:r>
      <w:r>
        <w:rPr>
          <w:rFonts w:hint="default" w:ascii="Times New Roman" w:hAnsi="Times New Roman" w:eastAsia="仿宋_GB2312" w:cs="Times New Roman"/>
          <w:color w:val="auto"/>
          <w:kern w:val="2"/>
          <w:sz w:val="32"/>
          <w:szCs w:val="32"/>
          <w:lang w:val="en-US" w:eastAsia="zh-CN" w:bidi="ar-SA"/>
        </w:rPr>
        <w:t>社会保险管理</w:t>
      </w:r>
      <w:r>
        <w:rPr>
          <w:rFonts w:hint="default" w:ascii="Times New Roman" w:hAnsi="Times New Roman" w:eastAsia="仿宋_GB2312" w:cs="Times New Roman"/>
          <w:color w:val="auto"/>
          <w:kern w:val="2"/>
          <w:sz w:val="32"/>
          <w:szCs w:val="32"/>
          <w:lang w:val="zh-CN" w:eastAsia="zh-CN" w:bidi="ar-SA"/>
        </w:rPr>
        <w:t>局当年下达的绩效目标，严格执行，提高财政资金使用效益，确保202</w:t>
      </w:r>
      <w:r>
        <w:rPr>
          <w:rFonts w:hint="default" w:ascii="Times New Roman" w:hAnsi="Times New Roman" w:eastAsia="仿宋_GB2312" w:cs="Times New Roman"/>
          <w:color w:val="auto"/>
          <w:kern w:val="2"/>
          <w:sz w:val="32"/>
          <w:szCs w:val="32"/>
          <w:lang w:val="en-US" w:eastAsia="zh-CN" w:bidi="ar-SA"/>
        </w:rPr>
        <w:t>5</w:t>
      </w:r>
      <w:r>
        <w:rPr>
          <w:rFonts w:hint="default" w:ascii="Times New Roman" w:hAnsi="Times New Roman" w:eastAsia="仿宋_GB2312" w:cs="Times New Roman"/>
          <w:color w:val="auto"/>
          <w:kern w:val="2"/>
          <w:sz w:val="32"/>
          <w:szCs w:val="32"/>
          <w:lang w:val="zh-CN" w:eastAsia="zh-CN" w:bidi="ar-SA"/>
        </w:rPr>
        <w:t>年度绩效目标如期完成。</w:t>
      </w:r>
      <w:r>
        <w:rPr>
          <w:rFonts w:hint="default" w:ascii="Times New Roman" w:hAnsi="Times New Roman" w:eastAsia="仿宋_GB2312" w:cs="Times New Roman"/>
          <w:color w:val="auto"/>
          <w:kern w:val="2"/>
          <w:sz w:val="32"/>
          <w:szCs w:val="32"/>
          <w:lang w:val="en-US" w:eastAsia="zh-CN" w:bidi="ar-SA"/>
        </w:rPr>
        <w:t>确保了全市社保经办机构代管的省管森工企业离退休人员基本养老金按时足额发放，提升了省管森工企业离退休人员社会化管理服务水平，省管森工离退休人员满意度≥95%。</w:t>
      </w:r>
    </w:p>
    <w:p w14:paraId="5B222455">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五、评价结论及建议</w:t>
      </w:r>
    </w:p>
    <w:p w14:paraId="16CE00A1">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（一）评价结论</w:t>
      </w:r>
    </w:p>
    <w:p w14:paraId="1D561EAB">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1.</w:t>
      </w:r>
      <w:r>
        <w:rPr>
          <w:rFonts w:hint="default" w:ascii="Times New Roman" w:hAnsi="Times New Roman" w:eastAsia="仿宋_GB2312" w:cs="Times New Roman"/>
          <w:b/>
          <w:bCs/>
          <w:color w:val="auto"/>
          <w:kern w:val="2"/>
          <w:sz w:val="32"/>
          <w:szCs w:val="32"/>
          <w:lang w:val="zh-CN" w:eastAsia="zh-CN" w:bidi="ar-SA"/>
        </w:rPr>
        <w:t>项目决策</w:t>
      </w:r>
    </w:p>
    <w:p w14:paraId="6A422D98">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项目设立、调整延续等方面符合资金管理基本规范和决策程序要求，项目规划论证符合中省要求，项目绩效目标设置是否科学合理，属于政府支持范围，且符合财政事权支出责任划分规定，资金投向与项目总体规划、相关行业事业发展相匹配，项目制度办法体系健全、要素完备。</w:t>
      </w:r>
    </w:p>
    <w:p w14:paraId="4CD93C6C">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2.项目管理</w:t>
      </w:r>
    </w:p>
    <w:p w14:paraId="3325650A">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按实际区域分配结果选择客观因素测算验证资金分配科学合理、均衡公平。资金实际支持对象符合管理要求，符合支持对象范围。</w:t>
      </w:r>
    </w:p>
    <w:p w14:paraId="567B4817">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3.项目实施</w:t>
      </w:r>
    </w:p>
    <w:p w14:paraId="2ED8E9F7">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en-US" w:eastAsia="zh-CN" w:bidi="ar-SA"/>
        </w:rPr>
        <w:t>此项目资金7.69万元，2025年中由市级财政下达预算指标，</w:t>
      </w:r>
      <w:r>
        <w:rPr>
          <w:rFonts w:hint="default" w:ascii="Times New Roman" w:hAnsi="Times New Roman" w:eastAsia="仿宋_GB2312" w:cs="Times New Roman"/>
          <w:color w:val="auto"/>
          <w:kern w:val="2"/>
          <w:sz w:val="32"/>
          <w:szCs w:val="32"/>
          <w:lang w:val="zh-CN" w:eastAsia="zh-CN" w:bidi="ar-SA"/>
        </w:rPr>
        <w:t>到位率100%。</w:t>
      </w:r>
      <w:r>
        <w:rPr>
          <w:rFonts w:hint="default" w:ascii="Times New Roman" w:hAnsi="Times New Roman" w:eastAsia="仿宋_GB2312" w:cs="Times New Roman"/>
          <w:color w:val="auto"/>
          <w:kern w:val="2"/>
          <w:sz w:val="32"/>
          <w:szCs w:val="32"/>
          <w:lang w:val="en-US" w:eastAsia="zh-CN" w:bidi="ar-SA"/>
        </w:rPr>
        <w:t>主要</w:t>
      </w:r>
      <w:r>
        <w:rPr>
          <w:rFonts w:hint="default" w:ascii="Times New Roman" w:hAnsi="Times New Roman" w:eastAsia="仿宋_GB2312" w:cs="Times New Roman"/>
          <w:color w:val="auto"/>
          <w:kern w:val="2"/>
          <w:sz w:val="32"/>
          <w:szCs w:val="32"/>
          <w:lang w:val="zh-CN" w:eastAsia="zh-CN" w:bidi="ar-SA"/>
        </w:rPr>
        <w:t>用于确</w:t>
      </w:r>
      <w:r>
        <w:rPr>
          <w:rFonts w:hint="default" w:ascii="Times New Roman" w:hAnsi="Times New Roman" w:eastAsia="仿宋_GB2312" w:cs="Times New Roman"/>
          <w:color w:val="auto"/>
          <w:kern w:val="2"/>
          <w:sz w:val="32"/>
          <w:szCs w:val="32"/>
          <w:lang w:val="en-US" w:eastAsia="zh-CN" w:bidi="ar-SA"/>
        </w:rPr>
        <w:t>保全市社保经办机构代管的省管森工企业离退休人员基本养老金按时足额发放，提升省管森工企业离退休人员社会化管理服务水平。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2"/>
          <w:sz w:val="32"/>
          <w:szCs w:val="32"/>
          <w:lang w:val="zh-CN" w:eastAsia="zh-CN" w:bidi="ar-SA"/>
        </w:rPr>
        <w:t>资金</w:t>
      </w:r>
      <w:r>
        <w:rPr>
          <w:rFonts w:hint="default" w:ascii="Times New Roman" w:hAnsi="Times New Roman" w:eastAsia="仿宋_GB2312" w:cs="Times New Roman"/>
          <w:color w:val="auto"/>
          <w:kern w:val="2"/>
          <w:sz w:val="32"/>
          <w:szCs w:val="32"/>
          <w:lang w:val="en-US" w:eastAsia="zh-CN" w:bidi="ar-SA"/>
        </w:rPr>
        <w:t>到位后，市社会保险事务中心严格按财经纪律、财务管理等相关规定，严格审核各项支出，及时支付，资金支付完成100%。</w:t>
      </w:r>
    </w:p>
    <w:p w14:paraId="36ED2EA4">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4.项目结果</w:t>
      </w:r>
    </w:p>
    <w:p w14:paraId="54368679">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2025年为省管森工企业离退休人员完善了社会化服务管理信息，离退休人员社会化管理率达到100%。</w:t>
      </w:r>
    </w:p>
    <w:p w14:paraId="49C86346">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“省管森工企业离退休人员社会化管理经费”项目在当期完成了项目的总体实施，执行率100%。确保代管的省管森工企业离退休人员基本养老金按时足额发放，提升省管森工企业离退休人员社会化管理服务水平。</w:t>
      </w:r>
    </w:p>
    <w:p w14:paraId="398DF822">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（二）存在的问题</w:t>
      </w:r>
    </w:p>
    <w:p w14:paraId="507FA58F">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zh-CN" w:eastAsia="zh-CN" w:bidi="ar-SA"/>
        </w:rPr>
        <w:t>无。</w:t>
      </w:r>
    </w:p>
    <w:p w14:paraId="3AC6DF27">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（三）相关建议</w:t>
      </w:r>
    </w:p>
    <w:p w14:paraId="4E64262C">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zh-CN" w:eastAsia="zh-CN" w:bidi="ar-SA"/>
        </w:rPr>
        <w:t>强化预算资金精细化管理，提高预算资金科学性、合理性。严格根据相关标准和依据，进行资金使用，确保资金使用效益。</w:t>
      </w:r>
    </w:p>
    <w:p w14:paraId="71673C70">
      <w:pPr>
        <w:keepNext w:val="0"/>
        <w:keepLines w:val="0"/>
        <w:pageBreakBefore w:val="0"/>
        <w:kinsoku/>
        <w:wordWrap/>
        <w:overflowPunct/>
        <w:topLinePunct w:val="0"/>
        <w:bidi w:val="0"/>
        <w:spacing w:line="360" w:lineRule="auto"/>
        <w:textAlignment w:val="auto"/>
        <w:rPr>
          <w:rFonts w:hint="default" w:ascii="Times New Roman" w:hAnsi="Times New Roman" w:cs="Times New Roman"/>
        </w:rPr>
      </w:pPr>
    </w:p>
    <w:p w14:paraId="7D90F77E">
      <w:pPr>
        <w:bidi w:val="0"/>
        <w:ind w:firstLine="294" w:firstLineChars="0"/>
        <w:jc w:val="left"/>
        <w:rPr>
          <w:rFonts w:hint="default" w:ascii="Times New Roman" w:hAnsi="Times New Roman" w:cs="Times New Roman"/>
          <w:lang w:val="en-US" w:eastAsia="zh-CN"/>
        </w:rPr>
      </w:pPr>
    </w:p>
    <w:p w14:paraId="1CBFC4CE">
      <w:pPr>
        <w:bidi w:val="0"/>
        <w:ind w:firstLine="294" w:firstLineChars="0"/>
        <w:jc w:val="left"/>
        <w:rPr>
          <w:rFonts w:hint="default" w:ascii="Times New Roman" w:hAnsi="Times New Roman" w:cs="Times New Roman"/>
          <w:lang w:val="en-US" w:eastAsia="zh-CN"/>
        </w:rPr>
      </w:pPr>
    </w:p>
    <w:p w14:paraId="0271D978">
      <w:pPr>
        <w:bidi w:val="0"/>
        <w:rPr>
          <w:rFonts w:hint="default" w:ascii="Times New Roman" w:hAnsi="Times New Roman" w:eastAsia="仿宋_GB2312" w:cs="Times New Roman"/>
          <w:kern w:val="2"/>
          <w:sz w:val="32"/>
          <w:szCs w:val="24"/>
          <w:lang w:val="en-US" w:eastAsia="zh-CN" w:bidi="ar-SA"/>
        </w:rPr>
      </w:pPr>
    </w:p>
    <w:p w14:paraId="3EF94B17">
      <w:pPr>
        <w:bidi w:val="0"/>
        <w:rPr>
          <w:rFonts w:hint="default" w:ascii="Times New Roman" w:hAnsi="Times New Roman" w:eastAsia="仿宋_GB2312" w:cs="Times New Roman"/>
          <w:kern w:val="2"/>
          <w:sz w:val="32"/>
          <w:szCs w:val="24"/>
          <w:lang w:val="en-US" w:eastAsia="zh-CN" w:bidi="ar-SA"/>
        </w:rPr>
      </w:pPr>
    </w:p>
    <w:p w14:paraId="67E38BD0">
      <w:pPr>
        <w:bidi w:val="0"/>
        <w:rPr>
          <w:rFonts w:hint="default" w:ascii="Times New Roman" w:hAnsi="Times New Roman" w:eastAsia="仿宋_GB2312" w:cs="Times New Roman"/>
          <w:kern w:val="2"/>
          <w:sz w:val="32"/>
          <w:szCs w:val="24"/>
          <w:lang w:val="en-US" w:eastAsia="zh-CN" w:bidi="ar-SA"/>
        </w:rPr>
      </w:pPr>
    </w:p>
    <w:p w14:paraId="633F0FDB">
      <w:pPr>
        <w:bidi w:val="0"/>
        <w:rPr>
          <w:rFonts w:hint="default" w:ascii="Times New Roman" w:hAnsi="Times New Roman" w:eastAsia="仿宋_GB2312" w:cs="Times New Roman"/>
          <w:kern w:val="2"/>
          <w:sz w:val="32"/>
          <w:szCs w:val="24"/>
          <w:lang w:val="en-US" w:eastAsia="zh-CN" w:bidi="ar-SA"/>
        </w:rPr>
      </w:pPr>
    </w:p>
    <w:p w14:paraId="0BADC3C9">
      <w:pPr>
        <w:bidi w:val="0"/>
        <w:rPr>
          <w:rFonts w:hint="default" w:ascii="Times New Roman" w:hAnsi="Times New Roman" w:eastAsia="仿宋_GB2312" w:cs="Times New Roman"/>
          <w:kern w:val="2"/>
          <w:sz w:val="32"/>
          <w:szCs w:val="24"/>
          <w:lang w:val="en-US" w:eastAsia="zh-CN" w:bidi="ar-SA"/>
        </w:rPr>
      </w:pPr>
    </w:p>
    <w:p w14:paraId="59750502">
      <w:pPr>
        <w:bidi w:val="0"/>
        <w:rPr>
          <w:rFonts w:hint="default" w:ascii="Times New Roman" w:hAnsi="Times New Roman" w:eastAsia="仿宋_GB2312" w:cs="Times New Roman"/>
          <w:kern w:val="2"/>
          <w:sz w:val="32"/>
          <w:szCs w:val="24"/>
          <w:lang w:val="en-US" w:eastAsia="zh-CN" w:bidi="ar-SA"/>
        </w:rPr>
      </w:pPr>
    </w:p>
    <w:p w14:paraId="73E0A666">
      <w:pPr>
        <w:bidi w:val="0"/>
        <w:rPr>
          <w:rFonts w:hint="default" w:ascii="Times New Roman" w:hAnsi="Times New Roman" w:eastAsia="仿宋_GB2312" w:cs="Times New Roman"/>
          <w:kern w:val="2"/>
          <w:sz w:val="32"/>
          <w:szCs w:val="24"/>
          <w:lang w:val="en-US" w:eastAsia="zh-CN" w:bidi="ar-SA"/>
        </w:rPr>
      </w:pPr>
    </w:p>
    <w:p w14:paraId="18D3587F">
      <w:pPr>
        <w:bidi w:val="0"/>
        <w:rPr>
          <w:rFonts w:hint="default" w:ascii="Times New Roman" w:hAnsi="Times New Roman" w:eastAsia="仿宋_GB2312" w:cs="Times New Roman"/>
          <w:kern w:val="2"/>
          <w:sz w:val="32"/>
          <w:szCs w:val="24"/>
          <w:lang w:val="en-US" w:eastAsia="zh-CN" w:bidi="ar-SA"/>
        </w:rPr>
      </w:pPr>
    </w:p>
    <w:p w14:paraId="728B63A6">
      <w:pPr>
        <w:bidi w:val="0"/>
        <w:rPr>
          <w:rFonts w:hint="default" w:ascii="Times New Roman" w:hAnsi="Times New Roman" w:eastAsia="仿宋_GB2312" w:cs="Times New Roman"/>
          <w:kern w:val="2"/>
          <w:sz w:val="32"/>
          <w:szCs w:val="24"/>
          <w:lang w:val="en-US" w:eastAsia="zh-CN" w:bidi="ar-SA"/>
        </w:rPr>
      </w:pPr>
    </w:p>
    <w:p w14:paraId="23877CD4">
      <w:pPr>
        <w:bidi w:val="0"/>
        <w:rPr>
          <w:rFonts w:hint="default" w:ascii="Times New Roman" w:hAnsi="Times New Roman" w:eastAsia="仿宋_GB2312" w:cs="Times New Roman"/>
          <w:kern w:val="2"/>
          <w:sz w:val="32"/>
          <w:szCs w:val="24"/>
          <w:lang w:val="en-US" w:eastAsia="zh-CN" w:bidi="ar-SA"/>
        </w:rPr>
      </w:pPr>
    </w:p>
    <w:p w14:paraId="398202E3">
      <w:pPr>
        <w:bidi w:val="0"/>
        <w:rPr>
          <w:rFonts w:hint="default" w:ascii="Times New Roman" w:hAnsi="Times New Roman" w:cs="Times New Roman"/>
          <w:lang w:val="en-US" w:eastAsia="zh-CN"/>
        </w:rPr>
      </w:pPr>
    </w:p>
    <w:p w14:paraId="057E4CD1">
      <w:pPr>
        <w:bidi w:val="0"/>
        <w:rPr>
          <w:rFonts w:hint="default" w:ascii="Times New Roman" w:hAnsi="Times New Roman" w:cs="Times New Roman"/>
          <w:lang w:val="en-US" w:eastAsia="zh-CN"/>
        </w:rPr>
      </w:pPr>
    </w:p>
    <w:p w14:paraId="37682D2E">
      <w:pPr>
        <w:bidi w:val="0"/>
        <w:rPr>
          <w:rFonts w:hint="default" w:ascii="Times New Roman" w:hAnsi="Times New Roman" w:cs="Times New Roman"/>
          <w:lang w:val="en-US" w:eastAsia="zh-CN"/>
        </w:rPr>
      </w:pPr>
    </w:p>
    <w:p w14:paraId="2F88DF77">
      <w:pPr>
        <w:spacing w:line="600" w:lineRule="exact"/>
        <w:rPr>
          <w:rFonts w:hint="default" w:ascii="Times New Roman" w:hAnsi="Times New Roman" w:eastAsia="黑体" w:cs="Times New Roman"/>
          <w:sz w:val="32"/>
          <w:lang w:val="en-US" w:eastAsia="zh-CN"/>
        </w:rPr>
      </w:pPr>
      <w:r>
        <w:rPr>
          <w:rFonts w:hint="default" w:ascii="Times New Roman" w:hAnsi="Times New Roman" w:eastAsia="黑体" w:cs="Times New Roman"/>
          <w:sz w:val="32"/>
          <w:lang w:val="zh-CN" w:eastAsia="zh-CN"/>
        </w:rPr>
        <w:t>附件</w:t>
      </w:r>
      <w:r>
        <w:rPr>
          <w:rFonts w:hint="default" w:ascii="Times New Roman" w:hAnsi="Times New Roman" w:eastAsia="黑体" w:cs="Times New Roman"/>
          <w:sz w:val="32"/>
          <w:lang w:val="en-US" w:eastAsia="zh-CN"/>
        </w:rPr>
        <w:t>3</w:t>
      </w:r>
    </w:p>
    <w:p w14:paraId="5CE59C24">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攀枝花市社会保险事务中心</w:t>
      </w:r>
    </w:p>
    <w:p w14:paraId="4A899D6E">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lang w:val="en-US"/>
        </w:rPr>
        <w:t>202</w:t>
      </w:r>
      <w:r>
        <w:rPr>
          <w:rFonts w:hint="default" w:ascii="Times New Roman" w:hAnsi="Times New Roman" w:eastAsia="方正小标宋简体" w:cs="Times New Roman"/>
          <w:color w:val="auto"/>
          <w:kern w:val="2"/>
          <w:sz w:val="40"/>
          <w:szCs w:val="40"/>
          <w:lang w:val="en-US" w:eastAsia="zh-CN"/>
        </w:rPr>
        <w:t>5</w:t>
      </w:r>
      <w:r>
        <w:rPr>
          <w:rFonts w:hint="default" w:ascii="Times New Roman" w:hAnsi="Times New Roman" w:eastAsia="方正小标宋简体" w:cs="Times New Roman"/>
          <w:color w:val="auto"/>
          <w:kern w:val="2"/>
          <w:sz w:val="40"/>
          <w:szCs w:val="40"/>
          <w:lang w:val="en-US"/>
        </w:rPr>
        <w:t>年</w:t>
      </w:r>
      <w:r>
        <w:rPr>
          <w:rFonts w:hint="default" w:ascii="Times New Roman" w:hAnsi="Times New Roman" w:eastAsia="方正小标宋简体" w:cs="Times New Roman"/>
          <w:color w:val="auto"/>
          <w:kern w:val="2"/>
          <w:sz w:val="40"/>
          <w:szCs w:val="40"/>
          <w:lang w:val="en-US" w:eastAsia="zh-CN"/>
        </w:rPr>
        <w:t>入驻政务中心单位租金、物业费及水电费</w:t>
      </w:r>
      <w:r>
        <w:rPr>
          <w:rFonts w:hint="default" w:ascii="Times New Roman" w:hAnsi="Times New Roman" w:eastAsia="方正小标宋简体" w:cs="Times New Roman"/>
          <w:color w:val="auto"/>
          <w:kern w:val="2"/>
          <w:sz w:val="40"/>
          <w:szCs w:val="40"/>
        </w:rPr>
        <w:t>专项预算项目支出绩效自评报告</w:t>
      </w:r>
    </w:p>
    <w:p w14:paraId="2198F0EA">
      <w:pPr>
        <w:pStyle w:val="37"/>
        <w:spacing w:line="600" w:lineRule="exact"/>
        <w:ind w:firstLine="640"/>
        <w:jc w:val="center"/>
        <w:rPr>
          <w:rFonts w:hint="default" w:ascii="Times New Roman" w:hAnsi="Times New Roman" w:cs="Times New Roman"/>
          <w:color w:val="auto"/>
          <w:kern w:val="2"/>
          <w:sz w:val="32"/>
          <w:szCs w:val="32"/>
        </w:rPr>
      </w:pPr>
    </w:p>
    <w:p w14:paraId="05BDE5BA">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一、</w:t>
      </w:r>
      <w:r>
        <w:rPr>
          <w:rFonts w:hint="default" w:ascii="Times New Roman" w:hAnsi="Times New Roman" w:eastAsia="黑体" w:cs="Times New Roman"/>
          <w:sz w:val="32"/>
          <w:lang w:val="zh-CN"/>
        </w:rPr>
        <w:t>项目概况</w:t>
      </w:r>
    </w:p>
    <w:p w14:paraId="028CB45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（一）项目基本情况</w:t>
      </w:r>
    </w:p>
    <w:p w14:paraId="04E2C3F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在该项目管理中的职能</w:t>
      </w:r>
    </w:p>
    <w:p w14:paraId="1CDB1795">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kern w:val="0"/>
          <w:sz w:val="32"/>
          <w:szCs w:val="32"/>
          <w:lang w:val="en-US" w:eastAsia="zh-CN" w:bidi="ar-SA"/>
        </w:rPr>
        <w:t>攀枝花市社会保险事务中心是“入驻政务中心单位租金、物业费及水电费”项目的实施主体，负责项目的实施、监督、管理等工作。</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AEEF85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项目立项、资金申报的依据</w:t>
      </w:r>
    </w:p>
    <w:p w14:paraId="5447981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w:t>
      </w:r>
      <w:r>
        <w:rPr>
          <w:rFonts w:hint="default" w:ascii="Times New Roman" w:hAnsi="Times New Roman" w:eastAsia="仿宋_GB2312" w:cs="Times New Roman"/>
          <w:color w:val="auto"/>
          <w:kern w:val="0"/>
          <w:sz w:val="32"/>
          <w:szCs w:val="32"/>
          <w:lang w:val="zh-CN" w:eastAsia="zh-CN" w:bidi="ar-SA"/>
        </w:rPr>
        <w:t>项目在</w:t>
      </w:r>
      <w:r>
        <w:rPr>
          <w:rFonts w:hint="default" w:ascii="Times New Roman" w:hAnsi="Times New Roman" w:eastAsia="仿宋_GB2312" w:cs="Times New Roman"/>
          <w:color w:val="auto"/>
          <w:kern w:val="0"/>
          <w:sz w:val="32"/>
          <w:szCs w:val="32"/>
          <w:lang w:val="en-US" w:eastAsia="zh-CN" w:bidi="ar-SA"/>
        </w:rPr>
        <w:t>2025年</w:t>
      </w:r>
      <w:r>
        <w:rPr>
          <w:rFonts w:hint="default" w:ascii="Times New Roman" w:hAnsi="Times New Roman" w:eastAsia="仿宋_GB2312" w:cs="Times New Roman"/>
          <w:color w:val="auto"/>
          <w:kern w:val="0"/>
          <w:sz w:val="32"/>
          <w:szCs w:val="32"/>
          <w:lang w:val="zh-CN" w:eastAsia="zh-CN" w:bidi="ar-SA"/>
        </w:rPr>
        <w:t>年初预算中申报，由市财政批复。</w:t>
      </w:r>
    </w:p>
    <w:p w14:paraId="16C5D23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资金管理办法制定情况，资金支持具体项目的条件、范围与支持方式概况</w:t>
      </w:r>
    </w:p>
    <w:p w14:paraId="6638370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为进一步规范资金管理，提高资金使用绩效，我单位制定了《攀枝花市社会保险事务中心大额资金管理制度》。</w:t>
      </w:r>
    </w:p>
    <w:p w14:paraId="4224651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资金分配的原则及考虑因素</w:t>
      </w:r>
    </w:p>
    <w:p w14:paraId="7B2637A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根据单位进驻人数，租金按照办公面积40元/平·年计算，物业费按照1000元/人计算，水电费按照1071元/人·年计算。</w:t>
      </w:r>
    </w:p>
    <w:p w14:paraId="480A4E6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（二）项目绩效目标</w:t>
      </w:r>
    </w:p>
    <w:p w14:paraId="34ED48C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项目主要内容</w:t>
      </w:r>
    </w:p>
    <w:p w14:paraId="75BE2A3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“入驻政务中心单位租金、物业费及水电费”项目资金主要用于市社会保险事务中心支付入驻政务中心单位租金、物业费及水电费，保障单位正常运转。</w:t>
      </w:r>
    </w:p>
    <w:p w14:paraId="7D270075">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项目应实现的具体绩效目标，包括目标的量化、细情况以及项目实施进度计划等</w:t>
      </w:r>
    </w:p>
    <w:p w14:paraId="3378AB1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（1）数量指标：按季度缴纳</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4次/年。</w:t>
      </w:r>
    </w:p>
    <w:p w14:paraId="26DAE9BF">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（2）质量指标：全额缴纳100%。</w:t>
      </w:r>
    </w:p>
    <w:p w14:paraId="5D7EC800">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（3）时效指标：资金支付及时率100%。</w:t>
      </w:r>
    </w:p>
    <w:p w14:paraId="2C5BB3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（4）成本指标：入驻政务中心单位租金、物业费及水电费804089.4元/年。</w:t>
      </w:r>
    </w:p>
    <w:p w14:paraId="3D5EDDD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（5）社会效益指标：保障单位正常运转。</w:t>
      </w:r>
    </w:p>
    <w:p w14:paraId="2EADCC3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（6）满意度指标：物业公司满意度达到满意。</w:t>
      </w:r>
    </w:p>
    <w:p w14:paraId="466C4B8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分析评价申报内容是否与实际相符，申报目标是否合理可行</w:t>
      </w:r>
    </w:p>
    <w:p w14:paraId="2444725A">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市社会保险事务中心按照20</w:t>
      </w:r>
      <w:r>
        <w:rPr>
          <w:rFonts w:hint="default" w:ascii="Times New Roman" w:hAnsi="Times New Roman" w:eastAsia="仿宋_GB2312" w:cs="Times New Roman"/>
          <w:color w:val="auto"/>
          <w:kern w:val="0"/>
          <w:sz w:val="32"/>
          <w:szCs w:val="32"/>
          <w:lang w:val="en-US" w:eastAsia="zh-CN" w:bidi="ar-SA"/>
        </w:rPr>
        <w:t>25</w:t>
      </w:r>
      <w:r>
        <w:rPr>
          <w:rFonts w:hint="default" w:ascii="Times New Roman" w:hAnsi="Times New Roman" w:eastAsia="仿宋_GB2312" w:cs="Times New Roman"/>
          <w:color w:val="auto"/>
          <w:kern w:val="0"/>
          <w:sz w:val="32"/>
          <w:szCs w:val="32"/>
          <w:lang w:val="zh-CN" w:eastAsia="zh-CN" w:bidi="ar-SA"/>
        </w:rPr>
        <w:t>年目标任务制定绩效目标，申报内容与实际相符，申报目标合理可行。</w:t>
      </w:r>
    </w:p>
    <w:p w14:paraId="6520E54D">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（三）项目自评步骤及方法</w:t>
      </w:r>
    </w:p>
    <w:p w14:paraId="1C988FA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市社会保险事务中心项目绩效评价按照前期准备阶段、自评阶段、实施评价阶段、报告撰写阶段、结果运用阶段五个阶段的工作流程。办公室成立项目评价小组对项目资金执行情况进行自查自评。</w:t>
      </w:r>
    </w:p>
    <w:p w14:paraId="6916E78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二、项目资金申报及使用情况</w:t>
      </w:r>
    </w:p>
    <w:p w14:paraId="5D9B9D3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“入驻政务中心单位租金、物业费及水电费”项目资金共</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万元，资金支付完成100%。</w:t>
      </w:r>
    </w:p>
    <w:p w14:paraId="5ADE78C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（一）项目资金申报及批复情况</w:t>
      </w:r>
    </w:p>
    <w:p w14:paraId="585B8B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“入驻政务中心单位租金、物业费及水电费”项目资金由市级财政下拨，市社会保险事务中心在“预算管理一体化系统”中申报项目资金，市级财政完成批复并下达指标。</w:t>
      </w:r>
    </w:p>
    <w:p w14:paraId="082C834F">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（二）资金计划、到位及使用情况</w:t>
      </w:r>
    </w:p>
    <w:p w14:paraId="21338CE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资金计划</w:t>
      </w:r>
    </w:p>
    <w:p w14:paraId="51920040">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万元，用于支付入驻政务中心单位租金、物业费及水电费，保障单位正常运转。</w:t>
      </w:r>
    </w:p>
    <w:p w14:paraId="26ECF0DD">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资金到位</w:t>
      </w:r>
    </w:p>
    <w:p w14:paraId="701C11F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年年初市级财政批复并下达预算指标，到位率100%。</w:t>
      </w:r>
    </w:p>
    <w:p w14:paraId="6C70E40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资金使用</w:t>
      </w:r>
    </w:p>
    <w:p w14:paraId="3574C6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主要用于支付入驻政务中心单位租金、物业费及水电费。此项目资金到位后，市社会保险事务中心严格按财经纪律、财务管理等相关规定，严格审核各项支出，及时支付，专款专用，资金支付完成100%。</w:t>
      </w:r>
    </w:p>
    <w:p w14:paraId="6BB2170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（三）项目财务管理情况</w:t>
      </w:r>
    </w:p>
    <w:p w14:paraId="6D7B4DFF">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市社会保险事务中心建立了财务管理制度，由办公室统一管理</w:t>
      </w:r>
      <w:r>
        <w:rPr>
          <w:rFonts w:hint="default" w:ascii="Times New Roman" w:hAnsi="Times New Roman" w:eastAsia="仿宋_GB2312"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lang w:val="zh-CN" w:eastAsia="zh-CN" w:bidi="ar-SA"/>
        </w:rPr>
        <w:t>“社保公共服务能力建设资金”项目资金，严格按照上级要求上报资金使用计划，并在实施过程中做到资金专项专用。所有支出严格按照财务会计管理规定，做到资金使用有计划、审批有手续、支出合理规范。并及时进行账务处理和会计核算，按财政要求及时编制和公开项目资金绩效目标。</w:t>
      </w:r>
    </w:p>
    <w:p w14:paraId="67BAC55F">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三、项目实施及管理情况</w:t>
      </w:r>
    </w:p>
    <w:p w14:paraId="50E0586A">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一</w:t>
      </w:r>
      <w:r>
        <w:rPr>
          <w:rFonts w:hint="default" w:ascii="Times New Roman" w:hAnsi="Times New Roman" w:eastAsia="楷体_GB2312" w:cs="Times New Roman"/>
          <w:b/>
          <w:bCs/>
          <w:color w:val="000000"/>
          <w:kern w:val="0"/>
          <w:sz w:val="32"/>
          <w:szCs w:val="32"/>
          <w:shd w:val="clear" w:color="auto" w:fill="FFFFFF"/>
          <w:lang w:val="zh-CN"/>
        </w:rPr>
        <w:t>）项目组织架构及实施流程</w:t>
      </w:r>
    </w:p>
    <w:p w14:paraId="6763A57A">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办公室在部门预算中申报项目资金，并制定绩效目标；按照项目执行情况在“预算管理一体化系统”中完成资金的申请和支付。</w:t>
      </w:r>
      <w:r>
        <w:rPr>
          <w:rFonts w:hint="default" w:ascii="Times New Roman" w:hAnsi="Times New Roman" w:eastAsia="仿宋_GB2312" w:cs="Times New Roman"/>
          <w:color w:val="auto"/>
          <w:kern w:val="0"/>
          <w:sz w:val="32"/>
          <w:szCs w:val="32"/>
          <w:lang w:val="en-US" w:eastAsia="zh-CN" w:bidi="ar-SA"/>
        </w:rPr>
        <w:t>稽核科成立项目督导检查工作小组，不定期对项目执行进度情况进行督导检查</w:t>
      </w:r>
      <w:r>
        <w:rPr>
          <w:rFonts w:hint="default" w:ascii="Times New Roman" w:hAnsi="Times New Roman" w:eastAsia="仿宋_GB2312" w:cs="Times New Roman"/>
          <w:color w:val="auto"/>
          <w:kern w:val="0"/>
          <w:sz w:val="32"/>
          <w:szCs w:val="32"/>
          <w:lang w:val="zh-CN" w:eastAsia="zh-CN" w:bidi="ar-SA"/>
        </w:rPr>
        <w:t>。</w:t>
      </w:r>
    </w:p>
    <w:p w14:paraId="6C8ED523">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）项目管理情况</w:t>
      </w:r>
    </w:p>
    <w:p w14:paraId="2279949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市社会保险事务中心严格按财经纪律、财务管理等相关规定，严格审核，及时支付，专款专用。</w:t>
      </w:r>
    </w:p>
    <w:p w14:paraId="727FEFD7">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（三）项目监管情况</w:t>
      </w:r>
    </w:p>
    <w:p w14:paraId="5721833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市社会保险事务中心稽核科成立项目督导检查工作小组，不定期对项目执行进度情况进行督导检查，对检查过程中发现的问题及时督促整改，确保了项目按时保质完成。</w:t>
      </w:r>
    </w:p>
    <w:p w14:paraId="50D87597">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四、项目绩效情况</w:t>
      </w:r>
      <w:r>
        <w:rPr>
          <w:rFonts w:hint="default" w:ascii="Times New Roman" w:hAnsi="Times New Roman" w:eastAsia="黑体" w:cs="Times New Roman"/>
          <w:sz w:val="32"/>
          <w:lang w:val="zh-CN"/>
        </w:rPr>
        <w:tab/>
      </w:r>
    </w:p>
    <w:p w14:paraId="4159D69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（一）项目完成情况</w:t>
      </w:r>
    </w:p>
    <w:p w14:paraId="67E14E9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sz w:val="32"/>
          <w:szCs w:val="32"/>
        </w:rPr>
        <w:t>“</w:t>
      </w:r>
      <w:r>
        <w:rPr>
          <w:rFonts w:hint="default" w:ascii="Times New Roman" w:hAnsi="Times New Roman" w:eastAsia="仿宋_GB2312" w:cs="Times New Roman"/>
          <w:color w:val="auto"/>
          <w:kern w:val="0"/>
          <w:sz w:val="32"/>
          <w:szCs w:val="32"/>
          <w:lang w:val="en-US" w:eastAsia="zh-CN" w:bidi="ar-SA"/>
        </w:rPr>
        <w:t>入驻政务中心单位租金、物业费及水电费”项目在当期完成了项目的总体实施，执行率100%。</w:t>
      </w:r>
    </w:p>
    <w:p w14:paraId="40A228F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en-US" w:eastAsia="zh-CN" w:bidi="ar-SA"/>
        </w:rPr>
        <w:t>数量指标：按季度缴纳</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4次/年。</w:t>
      </w:r>
    </w:p>
    <w:p w14:paraId="6FB72258">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en-US" w:eastAsia="zh-CN" w:bidi="ar-SA"/>
        </w:rPr>
        <w:t>质量指标：全额缴纳100%。</w:t>
      </w:r>
    </w:p>
    <w:p w14:paraId="1054945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3.</w:t>
      </w:r>
      <w:r>
        <w:rPr>
          <w:rFonts w:hint="default" w:ascii="Times New Roman" w:hAnsi="Times New Roman" w:eastAsia="仿宋_GB2312" w:cs="Times New Roman"/>
          <w:color w:val="auto"/>
          <w:kern w:val="0"/>
          <w:sz w:val="32"/>
          <w:szCs w:val="32"/>
          <w:lang w:val="en-US" w:eastAsia="zh-CN" w:bidi="ar-SA"/>
        </w:rPr>
        <w:t>时效指标：资金支付及时率100%。</w:t>
      </w:r>
    </w:p>
    <w:p w14:paraId="477D9C8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4.</w:t>
      </w:r>
      <w:r>
        <w:rPr>
          <w:rFonts w:hint="default" w:ascii="Times New Roman" w:hAnsi="Times New Roman" w:eastAsia="仿宋_GB2312" w:cs="Times New Roman"/>
          <w:color w:val="auto"/>
          <w:kern w:val="0"/>
          <w:sz w:val="32"/>
          <w:szCs w:val="32"/>
          <w:lang w:val="en-US" w:eastAsia="zh-CN" w:bidi="ar-SA"/>
        </w:rPr>
        <w:t>成本指标：入驻政务中心单位租金、物业费及水电费804089.4元/年。</w:t>
      </w:r>
    </w:p>
    <w:p w14:paraId="5B4D458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en-US" w:eastAsia="zh-CN" w:bidi="ar-SA"/>
        </w:rPr>
        <w:t>社会效益指标：保障单位正常运转。</w:t>
      </w:r>
    </w:p>
    <w:p w14:paraId="34EEEAD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rPr>
      </w:pPr>
      <w:r>
        <w:rPr>
          <w:rFonts w:hint="eastAsia" w:eastAsia="仿宋_GB2312" w:cs="Times New Roman"/>
          <w:color w:val="auto"/>
          <w:kern w:val="0"/>
          <w:sz w:val="32"/>
          <w:szCs w:val="32"/>
          <w:lang w:val="en-US" w:eastAsia="zh-CN" w:bidi="ar-SA"/>
        </w:rPr>
        <w:t>6.</w:t>
      </w:r>
      <w:r>
        <w:rPr>
          <w:rFonts w:hint="default" w:ascii="Times New Roman" w:hAnsi="Times New Roman" w:eastAsia="仿宋_GB2312" w:cs="Times New Roman"/>
          <w:color w:val="auto"/>
          <w:kern w:val="0"/>
          <w:sz w:val="32"/>
          <w:szCs w:val="32"/>
          <w:lang w:val="en-US" w:eastAsia="zh-CN" w:bidi="ar-SA"/>
        </w:rPr>
        <w:t>满意度指标：物业公司满意度达到满意。</w:t>
      </w:r>
    </w:p>
    <w:p w14:paraId="638766C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（二）项目效益情况</w:t>
      </w:r>
    </w:p>
    <w:p w14:paraId="26869C8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通过 “入驻政务中心单位租金、物业费及水电费”项目，保障了单位正常运转，能更换的为参保人员提供社保服务。</w:t>
      </w:r>
    </w:p>
    <w:p w14:paraId="2059E4C3">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五、评价结论及建议</w:t>
      </w:r>
    </w:p>
    <w:p w14:paraId="7A8E094C">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（一）评价结论</w:t>
      </w:r>
    </w:p>
    <w:p w14:paraId="3D55452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w:t>
      </w:r>
      <w:r>
        <w:rPr>
          <w:rFonts w:hint="default" w:ascii="Times New Roman" w:hAnsi="Times New Roman" w:eastAsia="仿宋_GB2312" w:cs="Times New Roman"/>
          <w:color w:val="auto"/>
          <w:kern w:val="0"/>
          <w:sz w:val="32"/>
          <w:szCs w:val="32"/>
          <w:lang w:val="zh-CN" w:eastAsia="zh-CN" w:bidi="ar-SA"/>
        </w:rPr>
        <w:t>项目</w:t>
      </w:r>
      <w:r>
        <w:rPr>
          <w:rFonts w:hint="default" w:ascii="Times New Roman" w:hAnsi="Times New Roman" w:eastAsia="仿宋_GB2312" w:cs="Times New Roman"/>
          <w:color w:val="auto"/>
          <w:kern w:val="0"/>
          <w:sz w:val="32"/>
          <w:szCs w:val="32"/>
          <w:lang w:val="en-US" w:eastAsia="zh-CN" w:bidi="ar-SA"/>
        </w:rPr>
        <w:t>在当期完成了全部缴纳，执行率100%。保障了市社会保险事务中心工作正常开展</w:t>
      </w:r>
      <w:r>
        <w:rPr>
          <w:rFonts w:hint="default" w:ascii="Times New Roman" w:hAnsi="Times New Roman" w:eastAsia="仿宋_GB2312" w:cs="Times New Roman"/>
          <w:color w:val="auto"/>
          <w:kern w:val="0"/>
          <w:sz w:val="32"/>
          <w:szCs w:val="32"/>
          <w:lang w:val="zh-CN" w:eastAsia="zh-CN" w:bidi="ar-SA"/>
        </w:rPr>
        <w:t>。</w:t>
      </w:r>
    </w:p>
    <w:p w14:paraId="54E0258B">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（二）存在的问题</w:t>
      </w:r>
    </w:p>
    <w:p w14:paraId="2FBAAA7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无。</w:t>
      </w:r>
    </w:p>
    <w:p w14:paraId="300605E4">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（三）相关建议</w:t>
      </w:r>
    </w:p>
    <w:p w14:paraId="669BBF1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强化预算资金精细化管理，提高预算资金科学性、合理性。严格根据相关标准和依据，进行资金使用，确保资金使用效益。</w:t>
      </w:r>
    </w:p>
    <w:p w14:paraId="52EB2BB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p>
    <w:p w14:paraId="02C4D05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p>
    <w:p w14:paraId="4212050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bookmarkStart w:id="54" w:name="_Toc15396618"/>
      <w:r>
        <w:rPr>
          <w:rFonts w:hint="default" w:ascii="Times New Roman" w:hAnsi="Times New Roman" w:eastAsia="仿宋_GB2312" w:cs="Times New Roman"/>
          <w:b w:val="0"/>
          <w:bCs w:val="0"/>
          <w:kern w:val="0"/>
          <w:position w:val="0"/>
          <w:sz w:val="32"/>
          <w:szCs w:val="32"/>
          <w:highlight w:val="none"/>
          <w:lang w:val="en-US" w:eastAsia="zh-CN" w:bidi="ar-SA"/>
        </w:rPr>
        <w:br w:type="page"/>
      </w:r>
    </w:p>
    <w:p w14:paraId="74046D87">
      <w:pPr>
        <w:widowControl/>
        <w:jc w:val="center"/>
        <w:rPr>
          <w:rFonts w:hint="default" w:ascii="Times New Roman" w:hAnsi="Times New Roman" w:eastAsia="仿宋" w:cs="Times New Roman"/>
          <w:b w:val="0"/>
          <w:color w:val="auto"/>
          <w:highlight w:val="none"/>
        </w:rPr>
      </w:pPr>
      <w:r>
        <w:rPr>
          <w:rFonts w:hint="default" w:ascii="Times New Roman" w:hAnsi="Times New Roman" w:eastAsia="黑体" w:cs="Times New Roman"/>
          <w:color w:val="auto"/>
          <w:sz w:val="44"/>
          <w:szCs w:val="44"/>
          <w:highlight w:val="none"/>
        </w:rPr>
        <w:t>第</w:t>
      </w:r>
      <w:r>
        <w:rPr>
          <w:rStyle w:val="31"/>
          <w:rFonts w:hint="default" w:ascii="Times New Roman" w:hAnsi="Times New Roman" w:eastAsia="黑体" w:cs="Times New Roman"/>
          <w:b w:val="0"/>
          <w:color w:val="auto"/>
          <w:highlight w:val="none"/>
        </w:rPr>
        <w:t>五部分 附表</w:t>
      </w:r>
      <w:bookmarkEnd w:id="52"/>
      <w:bookmarkEnd w:id="54"/>
      <w:bookmarkStart w:id="55" w:name="_Toc15396619"/>
    </w:p>
    <w:p w14:paraId="321F837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default" w:ascii="Times New Roman" w:hAnsi="Times New Roman" w:eastAsia="仿宋_GB2312" w:cs="Times New Roman"/>
          <w:color w:val="auto"/>
          <w:sz w:val="32"/>
          <w:szCs w:val="32"/>
          <w:highlight w:val="none"/>
        </w:rPr>
      </w:pPr>
    </w:p>
    <w:p w14:paraId="196C3F7E">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一、收入支出决算总表</w:t>
      </w:r>
      <w:bookmarkEnd w:id="55"/>
    </w:p>
    <w:p w14:paraId="43BA7FB0">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6" w:name="_Toc15396620"/>
      <w:r>
        <w:rPr>
          <w:rFonts w:hint="default" w:ascii="Times New Roman" w:hAnsi="Times New Roman" w:eastAsia="仿宋_GB2312" w:cs="Times New Roman"/>
          <w:color w:val="auto"/>
          <w:sz w:val="32"/>
          <w:szCs w:val="32"/>
          <w:highlight w:val="none"/>
        </w:rPr>
        <w:t>二、收入决算表</w:t>
      </w:r>
      <w:bookmarkEnd w:id="56"/>
    </w:p>
    <w:p w14:paraId="47483415">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7" w:name="_Toc15396621"/>
      <w:r>
        <w:rPr>
          <w:rFonts w:hint="default" w:ascii="Times New Roman" w:hAnsi="Times New Roman" w:eastAsia="仿宋_GB2312" w:cs="Times New Roman"/>
          <w:color w:val="auto"/>
          <w:sz w:val="32"/>
          <w:szCs w:val="32"/>
          <w:highlight w:val="none"/>
        </w:rPr>
        <w:t>三、支出决算表</w:t>
      </w:r>
      <w:bookmarkEnd w:id="57"/>
    </w:p>
    <w:p w14:paraId="6AA6D2EA">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8" w:name="_Toc15396622"/>
      <w:r>
        <w:rPr>
          <w:rFonts w:hint="default" w:ascii="Times New Roman" w:hAnsi="Times New Roman" w:eastAsia="仿宋_GB2312" w:cs="Times New Roman"/>
          <w:color w:val="auto"/>
          <w:sz w:val="32"/>
          <w:szCs w:val="32"/>
          <w:highlight w:val="none"/>
        </w:rPr>
        <w:t>四、财政拨款收入支出决算总表</w:t>
      </w:r>
      <w:bookmarkEnd w:id="58"/>
    </w:p>
    <w:p w14:paraId="50CE706F">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9" w:name="_Toc15396623"/>
      <w:r>
        <w:rPr>
          <w:rFonts w:hint="default" w:ascii="Times New Roman" w:hAnsi="Times New Roman" w:eastAsia="仿宋_GB2312" w:cs="Times New Roman"/>
          <w:color w:val="auto"/>
          <w:sz w:val="32"/>
          <w:szCs w:val="32"/>
          <w:highlight w:val="none"/>
        </w:rPr>
        <w:t>五、财政拨款支出决算明细表</w:t>
      </w:r>
      <w:bookmarkEnd w:id="59"/>
      <w:bookmarkStart w:id="60" w:name="_Toc15396624"/>
    </w:p>
    <w:p w14:paraId="0A3525C3">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六、一般公共预算财政拨款支出决算表</w:t>
      </w:r>
      <w:bookmarkEnd w:id="60"/>
    </w:p>
    <w:p w14:paraId="61791B7C">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1" w:name="_Toc15396625"/>
      <w:r>
        <w:rPr>
          <w:rFonts w:hint="default" w:ascii="Times New Roman" w:hAnsi="Times New Roman" w:eastAsia="仿宋_GB2312" w:cs="Times New Roman"/>
          <w:color w:val="auto"/>
          <w:sz w:val="32"/>
          <w:szCs w:val="32"/>
          <w:highlight w:val="none"/>
        </w:rPr>
        <w:t>七、一般公共预算财政拨款支出决算明细表</w:t>
      </w:r>
      <w:bookmarkEnd w:id="61"/>
    </w:p>
    <w:p w14:paraId="575D2E78">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2" w:name="_Toc15396626"/>
      <w:r>
        <w:rPr>
          <w:rFonts w:hint="default" w:ascii="Times New Roman" w:hAnsi="Times New Roman" w:eastAsia="仿宋_GB2312" w:cs="Times New Roman"/>
          <w:color w:val="auto"/>
          <w:sz w:val="32"/>
          <w:szCs w:val="32"/>
          <w:highlight w:val="none"/>
        </w:rPr>
        <w:t>八、一般公共预算财政拨款基本支出决算表</w:t>
      </w:r>
      <w:bookmarkEnd w:id="62"/>
    </w:p>
    <w:p w14:paraId="53B283C5">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3" w:name="_Toc15396627"/>
      <w:r>
        <w:rPr>
          <w:rFonts w:hint="default" w:ascii="Times New Roman" w:hAnsi="Times New Roman" w:eastAsia="仿宋_GB2312" w:cs="Times New Roman"/>
          <w:color w:val="auto"/>
          <w:sz w:val="32"/>
          <w:szCs w:val="32"/>
          <w:highlight w:val="none"/>
        </w:rPr>
        <w:t>九、一般公共预算财政拨款项目支出决算表</w:t>
      </w:r>
      <w:bookmarkEnd w:id="63"/>
    </w:p>
    <w:p w14:paraId="13FED2C4">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4" w:name="_Toc15396628"/>
      <w:r>
        <w:rPr>
          <w:rFonts w:hint="default" w:ascii="Times New Roman" w:hAnsi="Times New Roman" w:eastAsia="仿宋_GB2312" w:cs="Times New Roman"/>
          <w:color w:val="auto"/>
          <w:sz w:val="32"/>
          <w:szCs w:val="32"/>
          <w:highlight w:val="none"/>
        </w:rPr>
        <w:t>十、</w:t>
      </w:r>
      <w:bookmarkEnd w:id="64"/>
      <w:r>
        <w:rPr>
          <w:rFonts w:hint="default" w:ascii="Times New Roman" w:hAnsi="Times New Roman" w:eastAsia="仿宋_GB2312" w:cs="Times New Roman"/>
          <w:color w:val="auto"/>
          <w:sz w:val="32"/>
          <w:szCs w:val="32"/>
          <w:highlight w:val="none"/>
        </w:rPr>
        <w:t>政府性基金预算财政拨款收入支出决算表</w:t>
      </w:r>
    </w:p>
    <w:p w14:paraId="404E9CF8">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5" w:name="_Toc15396629"/>
      <w:r>
        <w:rPr>
          <w:rFonts w:hint="default" w:ascii="Times New Roman" w:hAnsi="Times New Roman" w:eastAsia="仿宋_GB2312" w:cs="Times New Roman"/>
          <w:color w:val="auto"/>
          <w:sz w:val="32"/>
          <w:szCs w:val="32"/>
          <w:highlight w:val="none"/>
        </w:rPr>
        <w:t>十一、</w:t>
      </w:r>
      <w:bookmarkEnd w:id="65"/>
      <w:r>
        <w:rPr>
          <w:rFonts w:hint="default" w:ascii="Times New Roman" w:hAnsi="Times New Roman" w:eastAsia="仿宋_GB2312" w:cs="Times New Roman"/>
          <w:color w:val="auto"/>
          <w:sz w:val="32"/>
          <w:szCs w:val="32"/>
          <w:highlight w:val="none"/>
        </w:rPr>
        <w:t>国有资本经营预算</w:t>
      </w:r>
      <w:r>
        <w:rPr>
          <w:rFonts w:hint="default" w:ascii="Times New Roman" w:hAnsi="Times New Roman" w:eastAsia="仿宋_GB2312" w:cs="Times New Roman"/>
          <w:color w:val="auto"/>
          <w:sz w:val="32"/>
          <w:szCs w:val="32"/>
          <w:highlight w:val="none"/>
          <w:lang w:eastAsia="zh-CN"/>
        </w:rPr>
        <w:t>财政拨款收入</w:t>
      </w:r>
      <w:r>
        <w:rPr>
          <w:rFonts w:hint="default" w:ascii="Times New Roman" w:hAnsi="Times New Roman" w:eastAsia="仿宋_GB2312" w:cs="Times New Roman"/>
          <w:color w:val="auto"/>
          <w:sz w:val="32"/>
          <w:szCs w:val="32"/>
          <w:highlight w:val="none"/>
        </w:rPr>
        <w:t>支出决算表</w:t>
      </w:r>
    </w:p>
    <w:p w14:paraId="57ED5769">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6" w:name="_Toc15396630"/>
      <w:r>
        <w:rPr>
          <w:rFonts w:hint="default" w:ascii="Times New Roman" w:hAnsi="Times New Roman" w:eastAsia="仿宋_GB2312" w:cs="Times New Roman"/>
          <w:color w:val="auto"/>
          <w:sz w:val="32"/>
          <w:szCs w:val="32"/>
          <w:highlight w:val="none"/>
        </w:rPr>
        <w:t>十二、</w:t>
      </w:r>
      <w:bookmarkEnd w:id="66"/>
      <w:r>
        <w:rPr>
          <w:rFonts w:hint="default" w:ascii="Times New Roman" w:hAnsi="Times New Roman" w:eastAsia="仿宋_GB2312" w:cs="Times New Roman"/>
          <w:color w:val="auto"/>
          <w:sz w:val="32"/>
          <w:szCs w:val="32"/>
          <w:highlight w:val="none"/>
          <w:lang w:eastAsia="zh-CN"/>
        </w:rPr>
        <w:t>国有资本经营预算财政拨款支出决算表</w:t>
      </w:r>
    </w:p>
    <w:p w14:paraId="59E10232">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eastAsia="zh-CN"/>
        </w:rPr>
      </w:pPr>
      <w:bookmarkStart w:id="67" w:name="_Toc15396631"/>
      <w:r>
        <w:rPr>
          <w:rFonts w:hint="default" w:ascii="Times New Roman" w:hAnsi="Times New Roman" w:eastAsia="仿宋_GB2312" w:cs="Times New Roman"/>
          <w:color w:val="auto"/>
          <w:sz w:val="32"/>
          <w:szCs w:val="32"/>
          <w:highlight w:val="none"/>
        </w:rPr>
        <w:t>十三、</w:t>
      </w:r>
      <w:bookmarkEnd w:id="67"/>
      <w:r>
        <w:rPr>
          <w:rFonts w:hint="default" w:ascii="Times New Roman" w:hAnsi="Times New Roman" w:eastAsia="仿宋_GB2312" w:cs="Times New Roman"/>
          <w:color w:val="auto"/>
          <w:sz w:val="32"/>
          <w:szCs w:val="32"/>
          <w:highlight w:val="none"/>
          <w:lang w:eastAsia="zh-CN"/>
        </w:rPr>
        <w:t>财政拨款“三公”经费支出决算表</w:t>
      </w:r>
    </w:p>
    <w:p w14:paraId="012C918E">
      <w:pPr>
        <w:spacing w:line="600" w:lineRule="exact"/>
        <w:ind w:firstLine="420" w:firstLineChars="200"/>
        <w:rPr>
          <w:rFonts w:hint="default" w:ascii="Times New Roman" w:hAnsi="Times New Roman" w:cs="Times New Roman"/>
          <w:lang w:eastAsia="zh-CN"/>
        </w:rPr>
      </w:pPr>
    </w:p>
    <w:sectPr>
      <w:footerReference r:id="rId8"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9EC3E">
    <w:pPr>
      <w:pStyle w:val="11"/>
      <w:jc w:val="center"/>
    </w:pPr>
  </w:p>
  <w:p w14:paraId="49F078DF">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40B7">
    <w:pPr>
      <w:pStyle w:val="11"/>
      <w:jc w:val="center"/>
    </w:pPr>
  </w:p>
  <w:p w14:paraId="243B4FD2">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E4B8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7B7C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57B7C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82A8">
    <w:pPr>
      <w:pStyle w:val="11"/>
      <w:jc w:val="center"/>
    </w:pPr>
  </w:p>
  <w:p w14:paraId="7C51EE31">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7309B">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A7B6C">
                          <w:pPr>
                            <w:pStyle w:val="11"/>
                            <w:rPr>
                              <w:rFonts w:hint="default" w:ascii="Times New Roman" w:hAnsi="Times New Roman" w:cs="Times New Roman" w:eastAsiaTheme="minorEastAsia"/>
                              <w:sz w:val="28"/>
                              <w:szCs w:val="28"/>
                              <w:lang w:val="en-US" w:eastAsia="zh-CN"/>
                            </w:rPr>
                          </w:pPr>
                          <w:r>
                            <w:rPr>
                              <w:rFonts w:hint="default" w:ascii="Times New Roman" w:hAnsi="Times New Roman" w:cs="Times New Roman" w:eastAsia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F1A7B6C">
                    <w:pPr>
                      <w:pStyle w:val="11"/>
                      <w:rPr>
                        <w:rFonts w:hint="default" w:ascii="Times New Roman" w:hAnsi="Times New Roman" w:cs="Times New Roman" w:eastAsiaTheme="minorEastAsia"/>
                        <w:sz w:val="28"/>
                        <w:szCs w:val="28"/>
                        <w:lang w:val="en-US" w:eastAsia="zh-CN"/>
                      </w:rPr>
                    </w:pPr>
                    <w:r>
                      <w:rPr>
                        <w:rFonts w:hint="default" w:ascii="Times New Roman" w:hAnsi="Times New Roman" w:cs="Times New Roman" w:eastAsia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p>
                </w:txbxContent>
              </v:textbox>
            </v:shape>
          </w:pict>
        </mc:Fallback>
      </mc:AlternateContent>
    </w:r>
  </w:p>
  <w:p w14:paraId="347E9E8F">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A4AF7">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34760"/>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1FC185F"/>
    <w:rsid w:val="02317B1B"/>
    <w:rsid w:val="02DF2ECB"/>
    <w:rsid w:val="02FEBE30"/>
    <w:rsid w:val="04554DB0"/>
    <w:rsid w:val="061E35DE"/>
    <w:rsid w:val="06316315"/>
    <w:rsid w:val="06450013"/>
    <w:rsid w:val="066E0107"/>
    <w:rsid w:val="06C90F3D"/>
    <w:rsid w:val="07882F1C"/>
    <w:rsid w:val="07996F6E"/>
    <w:rsid w:val="07DFD8BA"/>
    <w:rsid w:val="08805F77"/>
    <w:rsid w:val="08DB07E4"/>
    <w:rsid w:val="09047D11"/>
    <w:rsid w:val="09867E8F"/>
    <w:rsid w:val="09A679FD"/>
    <w:rsid w:val="0A2032A3"/>
    <w:rsid w:val="0A4D4680"/>
    <w:rsid w:val="0B3E0200"/>
    <w:rsid w:val="0BA54512"/>
    <w:rsid w:val="0C396A19"/>
    <w:rsid w:val="0C6C4794"/>
    <w:rsid w:val="0CA8290A"/>
    <w:rsid w:val="0D35B1ED"/>
    <w:rsid w:val="0DE07E2B"/>
    <w:rsid w:val="0DE10795"/>
    <w:rsid w:val="0E2967B1"/>
    <w:rsid w:val="0E3F3CBD"/>
    <w:rsid w:val="0F98263C"/>
    <w:rsid w:val="101860EC"/>
    <w:rsid w:val="10C055FF"/>
    <w:rsid w:val="10CD30DE"/>
    <w:rsid w:val="110805BA"/>
    <w:rsid w:val="113121D6"/>
    <w:rsid w:val="11772AA4"/>
    <w:rsid w:val="118107EC"/>
    <w:rsid w:val="11A976A8"/>
    <w:rsid w:val="11C1207B"/>
    <w:rsid w:val="11D44A46"/>
    <w:rsid w:val="12633CFA"/>
    <w:rsid w:val="129514FE"/>
    <w:rsid w:val="13957196"/>
    <w:rsid w:val="13D50BC4"/>
    <w:rsid w:val="13F76DF0"/>
    <w:rsid w:val="14022904"/>
    <w:rsid w:val="14E60C13"/>
    <w:rsid w:val="14E90E5C"/>
    <w:rsid w:val="151823B4"/>
    <w:rsid w:val="152F2A07"/>
    <w:rsid w:val="15A14BF4"/>
    <w:rsid w:val="16433F34"/>
    <w:rsid w:val="165E0673"/>
    <w:rsid w:val="169F6585"/>
    <w:rsid w:val="16BB723D"/>
    <w:rsid w:val="16F13FCB"/>
    <w:rsid w:val="171E4694"/>
    <w:rsid w:val="18534811"/>
    <w:rsid w:val="186504BB"/>
    <w:rsid w:val="188C387F"/>
    <w:rsid w:val="19033B41"/>
    <w:rsid w:val="1938089F"/>
    <w:rsid w:val="1977452F"/>
    <w:rsid w:val="19A445FC"/>
    <w:rsid w:val="1A1C6B46"/>
    <w:rsid w:val="1B453001"/>
    <w:rsid w:val="1B7D550C"/>
    <w:rsid w:val="1BE8440E"/>
    <w:rsid w:val="1C7760E2"/>
    <w:rsid w:val="1D062E2D"/>
    <w:rsid w:val="1D091942"/>
    <w:rsid w:val="1D155CEE"/>
    <w:rsid w:val="1D641ADB"/>
    <w:rsid w:val="1DE178F3"/>
    <w:rsid w:val="1E740ACF"/>
    <w:rsid w:val="1FDB75C6"/>
    <w:rsid w:val="1FF35744"/>
    <w:rsid w:val="1FF6BC77"/>
    <w:rsid w:val="21962A9E"/>
    <w:rsid w:val="21AE7C77"/>
    <w:rsid w:val="22BC3C41"/>
    <w:rsid w:val="23200E03"/>
    <w:rsid w:val="2322469F"/>
    <w:rsid w:val="23860B96"/>
    <w:rsid w:val="240371BF"/>
    <w:rsid w:val="24526E20"/>
    <w:rsid w:val="24CC5C28"/>
    <w:rsid w:val="25A7574A"/>
    <w:rsid w:val="260F557C"/>
    <w:rsid w:val="26C77525"/>
    <w:rsid w:val="2756033A"/>
    <w:rsid w:val="2768359D"/>
    <w:rsid w:val="277773B2"/>
    <w:rsid w:val="27795441"/>
    <w:rsid w:val="27D91CD2"/>
    <w:rsid w:val="281408E2"/>
    <w:rsid w:val="29C7422F"/>
    <w:rsid w:val="29FD04D3"/>
    <w:rsid w:val="2AF17658"/>
    <w:rsid w:val="2B93404B"/>
    <w:rsid w:val="2BFF7BC6"/>
    <w:rsid w:val="2C6F4BF8"/>
    <w:rsid w:val="2C8A61B5"/>
    <w:rsid w:val="2CBF4938"/>
    <w:rsid w:val="2CDD2239"/>
    <w:rsid w:val="2CFC7EE5"/>
    <w:rsid w:val="2D2E01CF"/>
    <w:rsid w:val="2D312C5E"/>
    <w:rsid w:val="2D684463"/>
    <w:rsid w:val="2DBD3C64"/>
    <w:rsid w:val="2DF04E50"/>
    <w:rsid w:val="2E0C6CD0"/>
    <w:rsid w:val="2E9545B0"/>
    <w:rsid w:val="2F040D46"/>
    <w:rsid w:val="2FAE5751"/>
    <w:rsid w:val="2FB1A395"/>
    <w:rsid w:val="2FD9A7D8"/>
    <w:rsid w:val="3034687E"/>
    <w:rsid w:val="30704335"/>
    <w:rsid w:val="30D065A7"/>
    <w:rsid w:val="319F7F4E"/>
    <w:rsid w:val="31E9781A"/>
    <w:rsid w:val="321B2544"/>
    <w:rsid w:val="3304709D"/>
    <w:rsid w:val="336074D2"/>
    <w:rsid w:val="33D57001"/>
    <w:rsid w:val="33FB24E0"/>
    <w:rsid w:val="342311DD"/>
    <w:rsid w:val="34281836"/>
    <w:rsid w:val="344F1ED9"/>
    <w:rsid w:val="349D6851"/>
    <w:rsid w:val="35150A2C"/>
    <w:rsid w:val="35BA6CAF"/>
    <w:rsid w:val="35C22019"/>
    <w:rsid w:val="35D37231"/>
    <w:rsid w:val="35DA3A24"/>
    <w:rsid w:val="364D14C1"/>
    <w:rsid w:val="36AA5135"/>
    <w:rsid w:val="36BE0DA7"/>
    <w:rsid w:val="376B6AA6"/>
    <w:rsid w:val="376D39B2"/>
    <w:rsid w:val="378B488C"/>
    <w:rsid w:val="37E16F03"/>
    <w:rsid w:val="37F53A3B"/>
    <w:rsid w:val="389B6C89"/>
    <w:rsid w:val="38D469F0"/>
    <w:rsid w:val="39627CCD"/>
    <w:rsid w:val="397BAF1F"/>
    <w:rsid w:val="39C346F0"/>
    <w:rsid w:val="39FC040D"/>
    <w:rsid w:val="3A1C2091"/>
    <w:rsid w:val="3AB79AF3"/>
    <w:rsid w:val="3B326685"/>
    <w:rsid w:val="3B5348AB"/>
    <w:rsid w:val="3B7EF35A"/>
    <w:rsid w:val="3B9FDB6C"/>
    <w:rsid w:val="3BF5BC2F"/>
    <w:rsid w:val="3C8363F9"/>
    <w:rsid w:val="3CEBA265"/>
    <w:rsid w:val="3D1D4D02"/>
    <w:rsid w:val="3D230B0B"/>
    <w:rsid w:val="3D98207C"/>
    <w:rsid w:val="3D9B0D99"/>
    <w:rsid w:val="3DEE7CF3"/>
    <w:rsid w:val="3DF02244"/>
    <w:rsid w:val="3E3A42C0"/>
    <w:rsid w:val="3E6B1FDB"/>
    <w:rsid w:val="3E78745D"/>
    <w:rsid w:val="3E9559FB"/>
    <w:rsid w:val="3F485A1E"/>
    <w:rsid w:val="3FA946AA"/>
    <w:rsid w:val="3FF4CAE0"/>
    <w:rsid w:val="3FF7B227"/>
    <w:rsid w:val="40704BED"/>
    <w:rsid w:val="40A7650A"/>
    <w:rsid w:val="40E54C45"/>
    <w:rsid w:val="41313393"/>
    <w:rsid w:val="415D3E87"/>
    <w:rsid w:val="4292190E"/>
    <w:rsid w:val="43A407DF"/>
    <w:rsid w:val="43A57B96"/>
    <w:rsid w:val="44396490"/>
    <w:rsid w:val="44515BEA"/>
    <w:rsid w:val="44BB7C4E"/>
    <w:rsid w:val="44E268DA"/>
    <w:rsid w:val="453F7E5B"/>
    <w:rsid w:val="45CF2E79"/>
    <w:rsid w:val="45E3134D"/>
    <w:rsid w:val="462D72F1"/>
    <w:rsid w:val="47176886"/>
    <w:rsid w:val="4729669E"/>
    <w:rsid w:val="47971775"/>
    <w:rsid w:val="48141018"/>
    <w:rsid w:val="48643D4D"/>
    <w:rsid w:val="486A6C7A"/>
    <w:rsid w:val="48D03190"/>
    <w:rsid w:val="49176D9B"/>
    <w:rsid w:val="49374FBE"/>
    <w:rsid w:val="494006BD"/>
    <w:rsid w:val="4A627F82"/>
    <w:rsid w:val="4B0E749A"/>
    <w:rsid w:val="4B4F25DA"/>
    <w:rsid w:val="4BDA0CFB"/>
    <w:rsid w:val="4BE068DB"/>
    <w:rsid w:val="4C075B69"/>
    <w:rsid w:val="4D1B231A"/>
    <w:rsid w:val="4D3C0CCC"/>
    <w:rsid w:val="4D577224"/>
    <w:rsid w:val="4D9B0906"/>
    <w:rsid w:val="4DBF1CEB"/>
    <w:rsid w:val="4EAB630A"/>
    <w:rsid w:val="4ECE2238"/>
    <w:rsid w:val="4F19335A"/>
    <w:rsid w:val="4F252ED8"/>
    <w:rsid w:val="4F365D17"/>
    <w:rsid w:val="4F833267"/>
    <w:rsid w:val="4FC02D0D"/>
    <w:rsid w:val="4FE9BD67"/>
    <w:rsid w:val="4FF510CA"/>
    <w:rsid w:val="4FFB052F"/>
    <w:rsid w:val="51183507"/>
    <w:rsid w:val="52BB04D1"/>
    <w:rsid w:val="52C84ED8"/>
    <w:rsid w:val="53083A92"/>
    <w:rsid w:val="537E6D0A"/>
    <w:rsid w:val="53AF27A2"/>
    <w:rsid w:val="53F74C96"/>
    <w:rsid w:val="55320D2F"/>
    <w:rsid w:val="55436576"/>
    <w:rsid w:val="554F368F"/>
    <w:rsid w:val="55985EE0"/>
    <w:rsid w:val="55A776B4"/>
    <w:rsid w:val="55F04007"/>
    <w:rsid w:val="56756CC2"/>
    <w:rsid w:val="56E21C78"/>
    <w:rsid w:val="56E47B74"/>
    <w:rsid w:val="573B31E1"/>
    <w:rsid w:val="57B20374"/>
    <w:rsid w:val="57BD3DD4"/>
    <w:rsid w:val="58D06FA9"/>
    <w:rsid w:val="58F00CE5"/>
    <w:rsid w:val="59E817EF"/>
    <w:rsid w:val="5A281BC6"/>
    <w:rsid w:val="5AF92295"/>
    <w:rsid w:val="5B8B40D1"/>
    <w:rsid w:val="5BDD79E6"/>
    <w:rsid w:val="5BF561CA"/>
    <w:rsid w:val="5BFF5DFC"/>
    <w:rsid w:val="5C473E4D"/>
    <w:rsid w:val="5CD71FC4"/>
    <w:rsid w:val="5D1F11B5"/>
    <w:rsid w:val="5D4F3E18"/>
    <w:rsid w:val="5D8C03E7"/>
    <w:rsid w:val="5DAE1B18"/>
    <w:rsid w:val="5DBF32C1"/>
    <w:rsid w:val="5DE7D9E5"/>
    <w:rsid w:val="5E784EDC"/>
    <w:rsid w:val="5ECEC941"/>
    <w:rsid w:val="5F493CB7"/>
    <w:rsid w:val="5FBF9FF3"/>
    <w:rsid w:val="5FCD4E2C"/>
    <w:rsid w:val="5FD15F49"/>
    <w:rsid w:val="5FEF394A"/>
    <w:rsid w:val="5FF67715"/>
    <w:rsid w:val="6115578D"/>
    <w:rsid w:val="62BF3928"/>
    <w:rsid w:val="630C0F08"/>
    <w:rsid w:val="63B76FCF"/>
    <w:rsid w:val="63E92571"/>
    <w:rsid w:val="64754395"/>
    <w:rsid w:val="647F5392"/>
    <w:rsid w:val="64AA1726"/>
    <w:rsid w:val="650C3341"/>
    <w:rsid w:val="65710D93"/>
    <w:rsid w:val="661C6796"/>
    <w:rsid w:val="664B1D71"/>
    <w:rsid w:val="672D2175"/>
    <w:rsid w:val="67315BAE"/>
    <w:rsid w:val="67AA3209"/>
    <w:rsid w:val="67D16185"/>
    <w:rsid w:val="67F602FA"/>
    <w:rsid w:val="681C4F0D"/>
    <w:rsid w:val="68DB3760"/>
    <w:rsid w:val="69046D0F"/>
    <w:rsid w:val="69424091"/>
    <w:rsid w:val="698D0931"/>
    <w:rsid w:val="6A531FA0"/>
    <w:rsid w:val="6A993CED"/>
    <w:rsid w:val="6AEC1DA6"/>
    <w:rsid w:val="6B053271"/>
    <w:rsid w:val="6B93088B"/>
    <w:rsid w:val="6BAE57F3"/>
    <w:rsid w:val="6BCE6674"/>
    <w:rsid w:val="6C353187"/>
    <w:rsid w:val="6C4A05C8"/>
    <w:rsid w:val="6C6B0957"/>
    <w:rsid w:val="6C8742B8"/>
    <w:rsid w:val="6C8A170F"/>
    <w:rsid w:val="6CA5123A"/>
    <w:rsid w:val="6CB54609"/>
    <w:rsid w:val="6CF07CA7"/>
    <w:rsid w:val="6DBF5E93"/>
    <w:rsid w:val="6DFF077E"/>
    <w:rsid w:val="6E6A0C25"/>
    <w:rsid w:val="6E7E3605"/>
    <w:rsid w:val="6E7FDCC7"/>
    <w:rsid w:val="6ED6A62E"/>
    <w:rsid w:val="6EE00B15"/>
    <w:rsid w:val="6F424616"/>
    <w:rsid w:val="6F544B20"/>
    <w:rsid w:val="6F6FB3EB"/>
    <w:rsid w:val="6F784160"/>
    <w:rsid w:val="6F8731EA"/>
    <w:rsid w:val="6FCE6052"/>
    <w:rsid w:val="6FD57C00"/>
    <w:rsid w:val="6FEFFFD8"/>
    <w:rsid w:val="6FF5CC65"/>
    <w:rsid w:val="6FFB47EC"/>
    <w:rsid w:val="6FFF034A"/>
    <w:rsid w:val="702F7EED"/>
    <w:rsid w:val="70496804"/>
    <w:rsid w:val="70FE448F"/>
    <w:rsid w:val="712A28F1"/>
    <w:rsid w:val="713167C5"/>
    <w:rsid w:val="715B772D"/>
    <w:rsid w:val="715C0E4B"/>
    <w:rsid w:val="72233669"/>
    <w:rsid w:val="72473A1C"/>
    <w:rsid w:val="72734D90"/>
    <w:rsid w:val="733273AC"/>
    <w:rsid w:val="7332FE48"/>
    <w:rsid w:val="733A72D5"/>
    <w:rsid w:val="73AB61DA"/>
    <w:rsid w:val="73AD73D5"/>
    <w:rsid w:val="73B6EB34"/>
    <w:rsid w:val="73CF5C6F"/>
    <w:rsid w:val="73FA497D"/>
    <w:rsid w:val="744731E5"/>
    <w:rsid w:val="74527205"/>
    <w:rsid w:val="74BBD01D"/>
    <w:rsid w:val="74ED5379"/>
    <w:rsid w:val="74FC2395"/>
    <w:rsid w:val="75752846"/>
    <w:rsid w:val="757F36C5"/>
    <w:rsid w:val="75DEEEC2"/>
    <w:rsid w:val="76B80C3C"/>
    <w:rsid w:val="76E3355F"/>
    <w:rsid w:val="76FE0619"/>
    <w:rsid w:val="76FF5125"/>
    <w:rsid w:val="776F6FFA"/>
    <w:rsid w:val="778769C8"/>
    <w:rsid w:val="77DC22F5"/>
    <w:rsid w:val="79086DAD"/>
    <w:rsid w:val="79425135"/>
    <w:rsid w:val="79974F09"/>
    <w:rsid w:val="79D7FD79"/>
    <w:rsid w:val="79EE5BA4"/>
    <w:rsid w:val="7A894339"/>
    <w:rsid w:val="7AAE414E"/>
    <w:rsid w:val="7AFF7572"/>
    <w:rsid w:val="7B0F19BD"/>
    <w:rsid w:val="7B44017D"/>
    <w:rsid w:val="7B6C7DFB"/>
    <w:rsid w:val="7BBFBED0"/>
    <w:rsid w:val="7BC3E394"/>
    <w:rsid w:val="7BCE7BD3"/>
    <w:rsid w:val="7C1F3737"/>
    <w:rsid w:val="7C940FC9"/>
    <w:rsid w:val="7CBFC87B"/>
    <w:rsid w:val="7CFE0F48"/>
    <w:rsid w:val="7D3B3B9E"/>
    <w:rsid w:val="7D620E06"/>
    <w:rsid w:val="7D7EC23E"/>
    <w:rsid w:val="7D916348"/>
    <w:rsid w:val="7E680235"/>
    <w:rsid w:val="7E7924D3"/>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07450"/>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8"/>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1"/>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qFormat/>
    <w:uiPriority w:val="0"/>
    <w:rPr>
      <w:rFonts w:ascii="宋体" w:hAnsi="Courier New" w:eastAsia="宋体"/>
      <w:sz w:val="21"/>
    </w:rPr>
  </w:style>
  <w:style w:type="paragraph" w:styleId="10">
    <w:name w:val="Balloon Text"/>
    <w:basedOn w:val="1"/>
    <w:link w:val="34"/>
    <w:semiHidden/>
    <w:unhideWhenUsed/>
    <w:qFormat/>
    <w:uiPriority w:val="99"/>
    <w:rPr>
      <w:sz w:val="18"/>
      <w:szCs w:val="18"/>
    </w:rPr>
  </w:style>
  <w:style w:type="paragraph" w:styleId="11">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7"/>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paragraph" w:customStyle="1" w:styleId="2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3">
    <w:name w:val="Header Char"/>
    <w:basedOn w:val="19"/>
    <w:semiHidden/>
    <w:qFormat/>
    <w:uiPriority w:val="99"/>
    <w:rPr>
      <w:rFonts w:ascii="Times New Roman" w:hAnsi="Times New Roman"/>
      <w:sz w:val="18"/>
      <w:szCs w:val="18"/>
    </w:rPr>
  </w:style>
  <w:style w:type="character" w:customStyle="1" w:styleId="24">
    <w:name w:val="页眉 Char"/>
    <w:link w:val="12"/>
    <w:semiHidden/>
    <w:qFormat/>
    <w:locked/>
    <w:uiPriority w:val="99"/>
    <w:rPr>
      <w:sz w:val="18"/>
    </w:rPr>
  </w:style>
  <w:style w:type="character" w:customStyle="1" w:styleId="25">
    <w:name w:val="Footer Char"/>
    <w:basedOn w:val="19"/>
    <w:semiHidden/>
    <w:qFormat/>
    <w:uiPriority w:val="99"/>
    <w:rPr>
      <w:rFonts w:ascii="Times New Roman" w:hAnsi="Times New Roman"/>
      <w:sz w:val="18"/>
      <w:szCs w:val="18"/>
    </w:rPr>
  </w:style>
  <w:style w:type="character" w:customStyle="1" w:styleId="26">
    <w:name w:val="页脚 Char"/>
    <w:link w:val="11"/>
    <w:qFormat/>
    <w:locked/>
    <w:uiPriority w:val="99"/>
    <w:rPr>
      <w:sz w:val="18"/>
    </w:rPr>
  </w:style>
  <w:style w:type="character" w:customStyle="1" w:styleId="27">
    <w:name w:val="Body Text Char"/>
    <w:basedOn w:val="19"/>
    <w:semiHidden/>
    <w:qFormat/>
    <w:uiPriority w:val="99"/>
    <w:rPr>
      <w:rFonts w:ascii="Times New Roman" w:hAnsi="Times New Roman"/>
      <w:szCs w:val="24"/>
    </w:rPr>
  </w:style>
  <w:style w:type="character" w:customStyle="1" w:styleId="28">
    <w:name w:val="正文文本 Char"/>
    <w:link w:val="5"/>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Char"/>
    <w:basedOn w:val="19"/>
    <w:link w:val="2"/>
    <w:qFormat/>
    <w:uiPriority w:val="9"/>
    <w:rPr>
      <w:rFonts w:ascii="Times New Roman" w:hAnsi="Times New Roman"/>
      <w:b/>
      <w:bCs/>
      <w:kern w:val="44"/>
      <w:sz w:val="44"/>
      <w:szCs w:val="44"/>
    </w:rPr>
  </w:style>
  <w:style w:type="character" w:customStyle="1" w:styleId="32">
    <w:name w:val="标题 2 Char"/>
    <w:basedOn w:val="19"/>
    <w:link w:val="3"/>
    <w:qFormat/>
    <w:uiPriority w:val="9"/>
    <w:rPr>
      <w:rFonts w:asciiTheme="majorHAnsi" w:hAnsiTheme="majorHAnsi" w:eastAsiaTheme="majorEastAsia" w:cstheme="majorBidi"/>
      <w:b/>
      <w:bCs/>
      <w:kern w:val="2"/>
      <w:sz w:val="32"/>
      <w:szCs w:val="32"/>
    </w:rPr>
  </w:style>
  <w:style w:type="paragraph" w:customStyle="1" w:styleId="33">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Char"/>
    <w:basedOn w:val="19"/>
    <w:link w:val="10"/>
    <w:semiHidden/>
    <w:qFormat/>
    <w:uiPriority w:val="99"/>
    <w:rPr>
      <w:rFonts w:ascii="Times New Roman" w:hAnsi="Times New Roman"/>
      <w:kern w:val="2"/>
      <w:sz w:val="18"/>
      <w:szCs w:val="18"/>
    </w:rPr>
  </w:style>
  <w:style w:type="character" w:customStyle="1" w:styleId="35">
    <w:name w:val="标题 3 Char"/>
    <w:basedOn w:val="19"/>
    <w:link w:val="4"/>
    <w:qFormat/>
    <w:uiPriority w:val="9"/>
    <w:rPr>
      <w:rFonts w:ascii="Times New Roman" w:hAnsi="Times New Roman"/>
      <w:b/>
      <w:bCs/>
      <w:kern w:val="2"/>
      <w:sz w:val="32"/>
      <w:szCs w:val="32"/>
    </w:rPr>
  </w:style>
  <w:style w:type="paragraph" w:customStyle="1" w:styleId="36">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38">
    <w:name w:val="font31"/>
    <w:basedOn w:val="19"/>
    <w:qFormat/>
    <w:uiPriority w:val="0"/>
    <w:rPr>
      <w:rFonts w:hint="eastAsia" w:ascii="黑体" w:hAnsi="黑体" w:eastAsia="黑体" w:cs="黑体"/>
      <w:color w:val="000000"/>
      <w:sz w:val="18"/>
      <w:szCs w:val="18"/>
      <w:u w:val="none"/>
    </w:rPr>
  </w:style>
  <w:style w:type="character" w:customStyle="1" w:styleId="39">
    <w:name w:val="font61"/>
    <w:basedOn w:val="1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4.xml"/><Relationship Id="rId3" Type="http://schemas.microsoft.com/office/2011/relationships/chartStyle" Target="style4.xml"/><Relationship Id="rId2" Type="http://schemas.openxmlformats.org/officeDocument/2006/relationships/themeOverride" Target="../theme/themeOverride3.xml"/><Relationship Id="rId1" Type="http://schemas.openxmlformats.org/officeDocument/2006/relationships/oleObject" Target="file:///C:\Users\Admin\Desktop\2025&#24180;&#20915;&#31639;&#20844;&#24320;&#22270;&#34920;.xlsx"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5.xml"/><Relationship Id="rId1" Type="http://schemas.openxmlformats.org/officeDocument/2006/relationships/oleObject" Target="file:///C:\Users\Admin\Desktop\2025&#24180;&#20915;&#31639;&#20844;&#24320;&#22270;&#34920;.xlsx" TargetMode="External"/></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C:\Users\Admin\Desktop\2025&#24180;&#20915;&#31639;&#20844;&#24320;&#22270;&#34920;.xlsx" TargetMode="External"/></Relationships>
</file>

<file path=word/charts/_rels/chart4.xml.rels><?xml version="1.0" encoding="UTF-8" standalone="yes"?>
<Relationships xmlns="http://schemas.openxmlformats.org/package/2006/relationships"><Relationship Id="rId5" Type="http://schemas.microsoft.com/office/2011/relationships/chartColorStyle" Target="colors1.xml"/><Relationship Id="rId4" Type="http://schemas.microsoft.com/office/2011/relationships/chartStyle" Target="style1.xml"/><Relationship Id="rId3" Type="http://schemas.openxmlformats.org/officeDocument/2006/relationships/image" Target="../media/image1.png"/><Relationship Id="rId2" Type="http://schemas.openxmlformats.org/officeDocument/2006/relationships/themeOverride" Target="../theme/themeOverride1.xml"/><Relationship Id="rId1" Type="http://schemas.openxmlformats.org/officeDocument/2006/relationships/oleObject" Target="file:///C:\Users\Admin\Desktop\2025&#24180;&#20915;&#31639;&#20844;&#24320;&#22270;&#34920;.xlsx" TargetMode="External"/></Relationships>
</file>

<file path=word/charts/_rels/chart5.xml.rels><?xml version="1.0" encoding="UTF-8" standalone="yes"?>
<Relationships xmlns="http://schemas.openxmlformats.org/package/2006/relationships"><Relationship Id="rId5" Type="http://schemas.microsoft.com/office/2011/relationships/chartColorStyle" Target="colors2.xml"/><Relationship Id="rId4" Type="http://schemas.microsoft.com/office/2011/relationships/chartStyle" Target="style2.xml"/><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oleObject" Target="file:///C:\Users\Admin\Desktop\2025&#24180;&#20915;&#31639;&#20844;&#24320;&#22270;&#34920;.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Desktop\2025&#24180;&#20915;&#31639;&#20844;&#24320;&#22270;&#34920;.xlsx" TargetMode="External"/></Relationships>
</file>

<file path=word/charts/_rels/chart7.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C:\Users\Admin\Desktop\2025&#24180;&#20915;&#31639;&#20844;&#24320;&#2227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收入、支出决算总计变动情况图</a:t>
            </a:r>
          </a:p>
        </c:rich>
      </c:tx>
      <c:layout/>
      <c:overlay val="0"/>
      <c:spPr>
        <a:noFill/>
        <a:ln>
          <a:noFill/>
        </a:ln>
        <a:effectLst/>
      </c:spPr>
    </c:title>
    <c:autoTitleDeleted val="0"/>
    <c:plotArea>
      <c:layout/>
      <c:barChart>
        <c:barDir val="col"/>
        <c:grouping val="clustered"/>
        <c:varyColors val="0"/>
        <c:ser>
          <c:idx val="0"/>
          <c:order val="0"/>
          <c:spPr>
            <a:gradFill>
              <a:gsLst>
                <a:gs pos="0">
                  <a:srgbClr val="BDD4F6"/>
                </a:gs>
                <a:gs pos="100000">
                  <a:srgbClr val="4D8DE5"/>
                </a:gs>
              </a:gsLst>
              <a:lin ang="5400000" scaled="1"/>
            </a:gra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[2025年决算公开图表.xlsx]Sheet1!$A$2:$A$3</c:f>
              <c:strCache>
                <c:ptCount val="2"/>
                <c:pt idx="0">
                  <c:v>2024年</c:v>
                </c:pt>
                <c:pt idx="1">
                  <c:v>2025年</c:v>
                </c:pt>
              </c:strCache>
            </c:strRef>
          </c:cat>
          <c:val>
            <c:numRef>
              <c:f>[2025年决算公开图表.xlsx]Sheet1!$B$2:$B$3</c:f>
              <c:numCache>
                <c:formatCode>General</c:formatCode>
                <c:ptCount val="2"/>
                <c:pt idx="0">
                  <c:v>1482.05</c:v>
                </c:pt>
                <c:pt idx="1">
                  <c:v>1550.82</c:v>
                </c:pt>
              </c:numCache>
            </c:numRef>
          </c:val>
        </c:ser>
        <c:dLbls>
          <c:showLegendKey val="0"/>
          <c:showVal val="1"/>
          <c:showCatName val="0"/>
          <c:showSerName val="0"/>
          <c:showPercent val="0"/>
          <c:showBubbleSize val="0"/>
        </c:dLbls>
        <c:gapWidth val="150"/>
        <c:overlap val="0"/>
        <c:axId val="264479035"/>
        <c:axId val="721636125"/>
      </c:barChart>
      <c:catAx>
        <c:axId val="264479035"/>
        <c:scaling>
          <c:orientation val="minMax"/>
        </c:scaling>
        <c:delete val="0"/>
        <c:axPos val="b"/>
        <c:numFmt formatCode="General" sourceLinked="1"/>
        <c:majorTickMark val="none"/>
        <c:minorTickMark val="none"/>
        <c:tickLblPos val="nextTo"/>
        <c:spPr>
          <a:noFill/>
          <a:ln w="6350"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721636125"/>
        <c:crosses val="autoZero"/>
        <c:auto val="1"/>
        <c:lblAlgn val="ctr"/>
        <c:lblOffset val="100"/>
        <c:noMultiLvlLbl val="0"/>
      </c:catAx>
      <c:valAx>
        <c:axId val="721636125"/>
        <c:scaling>
          <c:orientation val="minMax"/>
        </c:scaling>
        <c:delete val="0"/>
        <c:axPos val="l"/>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264479035"/>
        <c:crosses val="autoZero"/>
        <c:crossBetween val="between"/>
      </c:valAx>
      <c:spPr>
        <a:noFill/>
        <a:ln>
          <a:noFill/>
        </a:ln>
        <a:effectLst/>
      </c:spPr>
    </c:plotArea>
    <c:plotVisOnly val="1"/>
    <c:dispBlanksAs val="gap"/>
    <c:showDLblsOverMax val="0"/>
    <c:extLst>
      <c:ext uri="{0b15fc19-7d7d-44ad-8c2d-2c3a37ce22c3}">
        <chartProps xmlns="https://web.wps.cn/et/2018/main" chartId="{e1b31d5d-ad36-4fab-a9a8-47828b907ff5}"/>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mn-cs"/>
              </a:defRPr>
            </a:pPr>
            <a:r>
              <a:t>收入决算结构图</a:t>
            </a:r>
          </a:p>
        </c:rich>
      </c:tx>
      <c:layout/>
      <c:overlay val="0"/>
      <c:spPr>
        <a:noFill/>
        <a:ln>
          <a:noFill/>
        </a:ln>
        <a:effectLst/>
      </c:spPr>
    </c:title>
    <c:autoTitleDeleted val="0"/>
    <c:plotArea>
      <c:layout/>
      <c:pieChart>
        <c:varyColors val="1"/>
        <c:ser>
          <c:idx val="0"/>
          <c:order val="0"/>
          <c:spPr>
            <a:gradFill>
              <a:gsLst>
                <a:gs pos="51300">
                  <a:srgbClr val="4888CF"/>
                </a:gs>
                <a:gs pos="0">
                  <a:srgbClr val="95D2FF"/>
                </a:gs>
                <a:gs pos="95000">
                  <a:srgbClr val="3965A3"/>
                </a:gs>
              </a:gsLst>
              <a:lin ang="5400000" scaled="1"/>
            </a:gradFill>
            <a:ln w="15875">
              <a:noFill/>
            </a:ln>
            <a:effectLst>
              <a:outerShdw blurRad="63500" sx="102000" sy="102000" algn="ctr" rotWithShape="0">
                <a:schemeClr val="tx1">
                  <a:lumMod val="50000"/>
                  <a:lumOff val="50000"/>
                  <a:alpha val="40000"/>
                </a:schemeClr>
              </a:outerShdw>
            </a:effectLst>
          </c:spPr>
          <c:explosion val="0"/>
          <c:dPt>
            <c:idx val="0"/>
            <c:bubble3D val="0"/>
            <c:explosion val="10"/>
            <c:spPr>
              <a:gradFill>
                <a:gsLst>
                  <a:gs pos="51300">
                    <a:srgbClr val="4888CF"/>
                  </a:gs>
                  <a:gs pos="0">
                    <a:srgbClr val="95D2FF"/>
                  </a:gs>
                  <a:gs pos="95000">
                    <a:srgbClr val="3965A3"/>
                  </a:gs>
                </a:gsLst>
                <a:lin ang="5400000" scaled="1"/>
              </a:gradFill>
              <a:ln w="15875">
                <a:noFill/>
              </a:ln>
              <a:effectLst>
                <a:outerShdw blurRad="63500" sx="102000" sy="102000" algn="ctr" rotWithShape="0">
                  <a:schemeClr val="tx1">
                    <a:lumMod val="50000"/>
                    <a:lumOff val="50000"/>
                    <a:alpha val="40000"/>
                  </a:schemeClr>
                </a:outerShdw>
              </a:effectLst>
            </c:spPr>
          </c:dPt>
          <c:dPt>
            <c:idx val="1"/>
            <c:bubble3D val="0"/>
            <c:spPr>
              <a:solidFill>
                <a:srgbClr val="EE822F"/>
              </a:solidFill>
              <a:ln w="15875">
                <a:noFill/>
              </a:ln>
              <a:effectLst>
                <a:outerShdw blurRad="63500" sx="102000" sy="102000" algn="ctr" rotWithShape="0">
                  <a:schemeClr val="tx1">
                    <a:lumMod val="50000"/>
                    <a:lumOff val="50000"/>
                    <a:alpha val="40000"/>
                  </a:schemeClr>
                </a:outerShdw>
              </a:effectLst>
            </c:spPr>
          </c:dPt>
          <c:dLbls>
            <c:dLbl>
              <c:idx val="1"/>
              <c:layout>
                <c:manualLayout>
                  <c:x val="-0.00196934840837993"/>
                  <c:y val="0.218159722032777"/>
                </c:manualLayout>
              </c:layout>
              <c:dLblPos val="bestFit"/>
              <c:showLegendKey val="0"/>
              <c:showVal val="0"/>
              <c:showCatName val="0"/>
              <c:showSerName val="0"/>
              <c:showPercent val="1"/>
              <c:showBubbleSize val="0"/>
              <c:separator>
</c:separator>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mn-cs"/>
                  </a:defRPr>
                </a:pPr>
              </a:p>
            </c:txPr>
            <c:dLblPos val="inEnd"/>
            <c:showLegendKey val="0"/>
            <c:showVal val="0"/>
            <c:showCatName val="0"/>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[2025年决算公开图表.xlsx]Sheet1!$A$7:$A$8</c:f>
              <c:strCache>
                <c:ptCount val="2"/>
                <c:pt idx="0">
                  <c:v>一般公共预算财政拨款收入</c:v>
                </c:pt>
                <c:pt idx="1">
                  <c:v>其他收入</c:v>
                </c:pt>
              </c:strCache>
            </c:strRef>
          </c:cat>
          <c:val>
            <c:numRef>
              <c:f>[2025年决算公开图表.xlsx]Sheet1!$B$7:$B$8</c:f>
              <c:numCache>
                <c:formatCode>General</c:formatCode>
                <c:ptCount val="2"/>
                <c:pt idx="0">
                  <c:v>1550.79</c:v>
                </c:pt>
                <c:pt idx="1">
                  <c:v>0.03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mn-cs"/>
            </a:defRPr>
          </a:pPr>
        </a:p>
      </c:txPr>
    </c:legend>
    <c:plotVisOnly val="1"/>
    <c:dispBlanksAs val="gap"/>
    <c:showDLblsOverMax val="0"/>
    <c:extLst>
      <c:ext uri="{0b15fc19-7d7d-44ad-8c2d-2c3a37ce22c3}">
        <chartProps xmlns="https://web.wps.cn/et/2018/main" chartId="{60c12b71-d9d7-4e17-84b7-aed4b13a8e35}"/>
      </c:ext>
    </c:extLst>
  </c:chart>
  <c:spPr>
    <a:solidFill>
      <a:schemeClr val="bg1"/>
    </a:solidFill>
    <a:ln w="6350" cap="flat" cmpd="sng" algn="ctr">
      <a:solidFill>
        <a:schemeClr val="tx1">
          <a:lumMod val="50000"/>
          <a:lumOff val="50000"/>
          <a:alpha val="25000"/>
        </a:schemeClr>
      </a:solidFill>
      <a:round/>
    </a:ln>
    <a:effectLst>
      <a:outerShdw blurRad="63500" dist="37357" dir="2700000" sx="0" sy="0" rotWithShape="0">
        <a:scrgbClr r="0" g="0" b="0"/>
      </a:outerShdw>
    </a:effectLst>
  </c:spPr>
  <c:txPr>
    <a:bodyPr/>
    <a:lstStyle/>
    <a:p>
      <a:pPr>
        <a:defRPr lang="zh-CN">
          <a:latin typeface="微软雅黑" panose="020B0503020204020204" charset="-122"/>
          <a:ea typeface="微软雅黑" panose="020B050302020402020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支出决算结构图</a:t>
            </a:r>
          </a:p>
        </c:rich>
      </c:tx>
      <c:layout/>
      <c:overlay val="0"/>
      <c:spPr>
        <a:noFill/>
        <a:ln>
          <a:noFill/>
        </a:ln>
        <a:effectLst/>
      </c:sp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spPr>
            <a:solidFill>
              <a:schemeClr val="accent1"/>
            </a:solidFill>
            <a:ln w="22225" cmpd="sng">
              <a:solidFill>
                <a:schemeClr val="bg1"/>
              </a:solidFill>
              <a:prstDash val="solid"/>
            </a:ln>
            <a:effectLst/>
            <a:scene3d>
              <a:camera prst="orthographicFront"/>
              <a:lightRig rig="threePt" dir="t"/>
            </a:scene3d>
            <a:sp3d contourW="22225" prstMaterial="flat"/>
          </c:spPr>
          <c:explosion val="0"/>
          <c:dPt>
            <c:idx val="0"/>
            <c:bubble3D val="0"/>
            <c:spPr>
              <a:solidFill>
                <a:schemeClr val="accent1"/>
              </a:solidFill>
              <a:ln w="22225">
                <a:solidFill>
                  <a:schemeClr val="bg1"/>
                </a:solidFill>
              </a:ln>
              <a:effectLst/>
              <a:scene3d>
                <a:camera prst="orthographicFront"/>
                <a:lightRig rig="threePt" dir="t"/>
              </a:scene3d>
              <a:sp3d contourW="22225" prstMaterial="flat"/>
            </c:spPr>
          </c:dPt>
          <c:dPt>
            <c:idx val="1"/>
            <c:bubble3D val="0"/>
            <c:spPr>
              <a:solidFill>
                <a:schemeClr val="accent1">
                  <a:lumMod val="60000"/>
                  <a:lumOff val="40000"/>
                </a:schemeClr>
              </a:solidFill>
              <a:ln w="22225" cmpd="sng">
                <a:solidFill>
                  <a:schemeClr val="bg1"/>
                </a:solidFill>
                <a:prstDash val="solid"/>
              </a:ln>
              <a:effectLst/>
              <a:scene3d>
                <a:camera prst="orthographicFront"/>
                <a:lightRig rig="threePt" dir="t"/>
              </a:scene3d>
              <a:sp3d contourW="22225" prstMaterial="fla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[2025年决算公开图表.xlsx]Sheet1!$A$10:$A$11</c:f>
              <c:strCache>
                <c:ptCount val="2"/>
                <c:pt idx="0">
                  <c:v>基本支出</c:v>
                </c:pt>
                <c:pt idx="1">
                  <c:v>项目支出</c:v>
                </c:pt>
              </c:strCache>
            </c:strRef>
          </c:cat>
          <c:val>
            <c:numRef>
              <c:f>[2025年决算公开图表.xlsx]Sheet1!$B$10:$B$11</c:f>
              <c:numCache>
                <c:formatCode>General</c:formatCode>
                <c:ptCount val="2"/>
                <c:pt idx="0">
                  <c:v>1462.72</c:v>
                </c:pt>
                <c:pt idx="1">
                  <c:v>88.1</c:v>
                </c:pt>
              </c:numCache>
            </c:numRef>
          </c:val>
        </c:ser>
        <c:dLbls>
          <c:showLegendKey val="0"/>
          <c:showVal val="1"/>
          <c:showCatName val="0"/>
          <c:showSerName val="0"/>
          <c:showPercent val="0"/>
          <c:showBubbleSize val="0"/>
        </c:dLbls>
      </c:pie3DChart>
      <c:spPr>
        <a:noFill/>
        <a:ln>
          <a:noFill/>
        </a:ln>
        <a:effectLst/>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36cd8b66-2d69-4985-860b-fcff31f464fe}"/>
      </c:ext>
    </c:extLst>
  </c:chart>
  <c:spPr>
    <a:solidFill>
      <a:schemeClr val="bg1"/>
    </a:solidFill>
    <a:ln w="6350" cap="flat" cmpd="sng" algn="ctr">
      <a:solidFill>
        <a:schemeClr val="tx1">
          <a:lumMod val="50000"/>
          <a:lumOff val="50000"/>
          <a:alpha val="25000"/>
        </a:schemeClr>
      </a:solidFill>
      <a:prstDash val="solid"/>
      <a:round/>
    </a:ln>
    <a:effectLst>
      <a:outerShdw blurRad="63500" dist="37357" dir="2700000" sx="0" sy="0" rotWithShape="0">
        <a:scrgbClr r="0" g="0" b="0"/>
      </a:outerShdw>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invertIfNegative val="0"/>
          <c:dPt>
            <c:idx val="0"/>
            <c:invertIfNegative val="0"/>
            <c:bubble3D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dPt>
          <c:dPt>
            <c:idx val="1"/>
            <c:invertIfNegative val="0"/>
            <c:bubble3D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[2025年决算公开图表.xlsx]Sheet1!$A$14:$A$15</c:f>
              <c:strCache>
                <c:ptCount val="2"/>
                <c:pt idx="0">
                  <c:v>2024年</c:v>
                </c:pt>
                <c:pt idx="1">
                  <c:v>2025年</c:v>
                </c:pt>
              </c:strCache>
            </c:strRef>
          </c:cat>
          <c:val>
            <c:numRef>
              <c:f>[2025年决算公开图表.xlsx]Sheet1!$B$14:$B$15</c:f>
              <c:numCache>
                <c:formatCode>General</c:formatCode>
                <c:ptCount val="2"/>
                <c:pt idx="0">
                  <c:v>1482.02</c:v>
                </c:pt>
                <c:pt idx="1">
                  <c:v>1550.79</c:v>
                </c:pt>
              </c:numCache>
            </c:numRef>
          </c:val>
        </c:ser>
        <c:dLbls>
          <c:showLegendKey val="0"/>
          <c:showVal val="0"/>
          <c:showCatName val="0"/>
          <c:showSerName val="0"/>
          <c:showPercent val="0"/>
          <c:showBubbleSize val="0"/>
        </c:dLbls>
        <c:gapWidth val="150"/>
        <c:overlap val="0"/>
        <c:axId val="566533608"/>
        <c:axId val="899036087"/>
      </c:barChart>
      <c:catAx>
        <c:axId val="566533608"/>
        <c:scaling>
          <c:orientation val="minMax"/>
        </c:scaling>
        <c:delete val="0"/>
        <c:axPos val="b"/>
        <c:numFmt formatCode="General" sourceLinked="1"/>
        <c:majorTickMark val="none"/>
        <c:minorTickMark val="none"/>
        <c:tickLblPos val="nextTo"/>
        <c:spPr>
          <a:noFill/>
          <a:ln w="9525"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899036087"/>
        <c:crosses val="autoZero"/>
        <c:auto val="1"/>
        <c:lblAlgn val="ctr"/>
        <c:lblOffset val="100"/>
        <c:noMultiLvlLbl val="0"/>
      </c:catAx>
      <c:valAx>
        <c:axId val="899036087"/>
        <c:scaling>
          <c:orientation val="minMax"/>
        </c:scaling>
        <c:delete val="0"/>
        <c:axPos val="l"/>
        <c:majorGridlines>
          <c:spPr>
            <a:ln w="9525" cap="flat" cmpd="sng" algn="ctr">
              <a:solidFill>
                <a:schemeClr val="tx1">
                  <a:lumMod val="50000"/>
                  <a:lumOff val="50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566533608"/>
        <c:crosses val="autoZero"/>
        <c:crossBetween val="between"/>
      </c:valAx>
      <c:spPr>
        <a:noFill/>
        <a:ln>
          <a:noFill/>
        </a:ln>
        <a:effectLst/>
      </c:spPr>
    </c:plotArea>
    <c:plotVisOnly val="1"/>
    <c:dispBlanksAs val="gap"/>
    <c:showDLblsOverMax val="0"/>
    <c:extLst>
      <c:ext uri="{0b15fc19-7d7d-44ad-8c2d-2c3a37ce22c3}">
        <chartProps xmlns="https://web.wps.cn/et/2018/main" chartId="{10161b16-9cda-44ae-b690-45604c6b6a43}"/>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一般公共预算财政拨款支出决算变动情况</a:t>
            </a:r>
          </a:p>
        </c:rich>
      </c:tx>
      <c:layout/>
      <c:overlay val="0"/>
      <c:spPr>
        <a:noFill/>
        <a:ln>
          <a:noFill/>
        </a:ln>
        <a:effectLst/>
      </c:spPr>
    </c:title>
    <c:autoTitleDeleted val="0"/>
    <c:plotArea>
      <c:layout/>
      <c:barChart>
        <c:barDir val="col"/>
        <c:grouping val="clustered"/>
        <c:varyColors val="0"/>
        <c:ser>
          <c:idx val="0"/>
          <c:order val="0"/>
          <c:spPr>
            <a:blipFill rotWithShape="1">
              <a:blip xmlns:r="http://schemas.openxmlformats.org/officeDocument/2006/relationships" r:embed="rId2">
                <a:duotone>
                  <a:schemeClr val="accent1"/>
                  <a:prstClr val="white"/>
                </a:duotone>
              </a:blip>
              <a:stretch>
                <a:fillRect/>
              </a:stretch>
            </a:blipFill>
            <a:ln>
              <a:noFill/>
            </a:ln>
            <a:effectLst>
              <a:outerShdw blurRad="76200" dir="18900000" sy="23000" kx="-1200000" algn="bl" rotWithShape="0">
                <a:prstClr val="black">
                  <a:alpha val="10000"/>
                </a:prstClr>
              </a:outerShdw>
            </a:effectLst>
          </c:spPr>
          <c:invertIfNegative val="0"/>
          <c:dPt>
            <c:idx val="0"/>
            <c:invertIfNegative val="0"/>
            <c:bubble3D val="0"/>
            <c:spPr>
              <a:blipFill rotWithShape="1">
                <a:blip xmlns:r="http://schemas.openxmlformats.org/officeDocument/2006/relationships" r:embed="rId3">
                  <a:duotone>
                    <a:schemeClr val="accent1"/>
                    <a:prstClr val="white"/>
                  </a:duotone>
                </a:blip>
                <a:stretch>
                  <a:fillRect/>
                </a:stretch>
              </a:blipFill>
              <a:ln>
                <a:noFill/>
              </a:ln>
              <a:effectLst>
                <a:outerShdw blurRad="76200" dir="18900000" sy="23000" kx="-1200000" algn="bl" rotWithShape="0">
                  <a:prstClr val="black">
                    <a:alpha val="10000"/>
                  </a:prstClr>
                </a:outerShdw>
              </a:effectLst>
            </c:spPr>
          </c:dPt>
          <c:dPt>
            <c:idx val="1"/>
            <c:invertIfNegative val="0"/>
            <c:bubble3D val="0"/>
            <c:spPr>
              <a:blipFill rotWithShape="1">
                <a:blip xmlns:r="http://schemas.openxmlformats.org/officeDocument/2006/relationships" r:embed="rId3">
                  <a:duotone>
                    <a:schemeClr val="accent2"/>
                    <a:prstClr val="white"/>
                  </a:duotone>
                </a:blip>
                <a:stretch>
                  <a:fillRect/>
                </a:stretch>
              </a:blipFill>
              <a:ln>
                <a:noFill/>
              </a:ln>
              <a:effectLst>
                <a:outerShdw blurRad="76200" dir="18900000" sy="23000" kx="-1200000" algn="bl" rotWithShape="0">
                  <a:prstClr val="black">
                    <a:alpha val="10000"/>
                  </a:prstClr>
                </a:outerShdw>
              </a:effectLst>
            </c:spPr>
          </c:dPt>
          <c:dLbls>
            <c:dLbl>
              <c:idx val="0"/>
              <c:layout/>
              <c:numFmt formatCode="General" sourceLinked="1"/>
              <c:spPr>
                <a:solidFill>
                  <a:schemeClr val="accent1"/>
                </a:solid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chemeClr val="accent2"/>
                </a:solid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[2025年决算公开图表.xlsx]Sheet1!$A$14:$A$15</c:f>
              <c:strCache>
                <c:ptCount val="2"/>
                <c:pt idx="0">
                  <c:v>2024年</c:v>
                </c:pt>
                <c:pt idx="1">
                  <c:v>2025年</c:v>
                </c:pt>
              </c:strCache>
            </c:strRef>
          </c:cat>
          <c:val>
            <c:numRef>
              <c:f>[2025年决算公开图表.xlsx]Sheet1!$B$14:$B$15</c:f>
              <c:numCache>
                <c:formatCode>General</c:formatCode>
                <c:ptCount val="2"/>
                <c:pt idx="0">
                  <c:v>1482.02</c:v>
                </c:pt>
                <c:pt idx="1">
                  <c:v>1550.79</c:v>
                </c:pt>
              </c:numCache>
            </c:numRef>
          </c:val>
        </c:ser>
        <c:dLbls>
          <c:showLegendKey val="0"/>
          <c:showVal val="1"/>
          <c:showCatName val="0"/>
          <c:showSerName val="0"/>
          <c:showPercent val="0"/>
          <c:showBubbleSize val="0"/>
        </c:dLbls>
        <c:gapWidth val="152"/>
        <c:overlap val="-21"/>
        <c:axId val="566533608"/>
        <c:axId val="899036087"/>
      </c:barChart>
      <c:catAx>
        <c:axId val="566533608"/>
        <c:scaling>
          <c:orientation val="minMax"/>
        </c:scaling>
        <c:delete val="0"/>
        <c:axPos val="b"/>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w="6350"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899036087"/>
        <c:crosses val="autoZero"/>
        <c:auto val="1"/>
        <c:lblAlgn val="ctr"/>
        <c:lblOffset val="100"/>
        <c:noMultiLvlLbl val="0"/>
      </c:catAx>
      <c:valAx>
        <c:axId val="899036087"/>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566533608"/>
        <c:crosses val="autoZero"/>
        <c:crossBetween val="between"/>
      </c:valAx>
      <c:spPr>
        <a:noFill/>
        <a:ln>
          <a:noFill/>
        </a:ln>
        <a:effectLst/>
      </c:spPr>
    </c:plotArea>
    <c:plotVisOnly val="1"/>
    <c:dispBlanksAs val="gap"/>
    <c:showDLblsOverMax val="0"/>
    <c:extLst>
      <c:ext uri="{0b15fc19-7d7d-44ad-8c2d-2c3a37ce22c3}">
        <chartProps xmlns="https://web.wps.cn/et/2018/main" chartId="{d6662ce3-1f37-402c-a00a-ac7b65683e9c}"/>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一般公共预算财政拨款支出决算结构</a:t>
            </a: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ln w="22225">
              <a:solidFill>
                <a:schemeClr val="bg1"/>
              </a:solidFill>
            </a:ln>
            <a:scene3d>
              <a:camera prst="orthographicFront"/>
              <a:lightRig rig="threePt" dir="t"/>
            </a:scene3d>
            <a:sp3d contourW="22225"/>
          </c:spPr>
          <c:explosion val="0"/>
          <c:dPt>
            <c:idx val="0"/>
            <c:bubble3D val="0"/>
            <c:spPr>
              <a:gradFill>
                <a:gsLst>
                  <a:gs pos="100000">
                    <a:schemeClr val="accent1"/>
                  </a:gs>
                  <a:gs pos="0">
                    <a:schemeClr val="accent1">
                      <a:hueOff val="-1670000"/>
                    </a:schemeClr>
                  </a:gs>
                </a:gsLst>
                <a:lin ang="5400000" scaled="0"/>
              </a:gradFill>
              <a:ln w="22225">
                <a:solidFill>
                  <a:schemeClr val="bg1"/>
                </a:solidFill>
              </a:ln>
              <a:effectLst/>
              <a:scene3d>
                <a:camera prst="orthographicFront"/>
                <a:lightRig rig="threePt" dir="t"/>
              </a:scene3d>
              <a:sp3d contourW="22225"/>
            </c:spPr>
          </c:dPt>
          <c:dPt>
            <c:idx val="1"/>
            <c:bubble3D val="0"/>
            <c:spPr>
              <a:gradFill>
                <a:gsLst>
                  <a:gs pos="0">
                    <a:srgbClr val="BDD4F6"/>
                  </a:gs>
                  <a:gs pos="100000">
                    <a:srgbClr val="4D8DE5"/>
                  </a:gs>
                </a:gsLst>
                <a:lin ang="5400000" scaled="1"/>
              </a:gradFill>
              <a:ln w="22225">
                <a:solidFill>
                  <a:schemeClr val="bg1"/>
                </a:solidFill>
              </a:ln>
              <a:effectLst/>
              <a:scene3d>
                <a:camera prst="orthographicFront"/>
                <a:lightRig rig="threePt" dir="t"/>
              </a:scene3d>
              <a:sp3d contourW="22225"/>
            </c:spPr>
          </c:dPt>
          <c:dPt>
            <c:idx val="2"/>
            <c:bubble3D val="0"/>
            <c:spPr>
              <a:gradFill>
                <a:gsLst>
                  <a:gs pos="100000">
                    <a:schemeClr val="accent3"/>
                  </a:gs>
                  <a:gs pos="0">
                    <a:schemeClr val="accent3">
                      <a:hueOff val="-1670000"/>
                    </a:schemeClr>
                  </a:gs>
                </a:gsLst>
                <a:lin ang="5400000" scaled="0"/>
              </a:gradFill>
              <a:ln w="22225">
                <a:solidFill>
                  <a:schemeClr val="bg1"/>
                </a:solidFill>
              </a:ln>
              <a:effectLst/>
              <a:scene3d>
                <a:camera prst="orthographicFront"/>
                <a:lightRig rig="threePt" dir="t"/>
              </a:scene3d>
              <a:sp3d contourW="22225"/>
            </c:spPr>
          </c:dPt>
          <c:dPt>
            <c:idx val="3"/>
            <c:bubble3D val="0"/>
            <c:spPr>
              <a:gradFill>
                <a:gsLst>
                  <a:gs pos="100000">
                    <a:schemeClr val="accent4"/>
                  </a:gs>
                  <a:gs pos="0">
                    <a:schemeClr val="accent4">
                      <a:hueOff val="-1670000"/>
                    </a:schemeClr>
                  </a:gs>
                </a:gsLst>
                <a:lin ang="5400000" scaled="0"/>
              </a:gradFill>
              <a:ln w="22225">
                <a:solidFill>
                  <a:schemeClr val="bg1"/>
                </a:solidFill>
              </a:ln>
              <a:effectLst/>
              <a:scene3d>
                <a:camera prst="orthographicFront"/>
                <a:lightRig rig="threePt" dir="t"/>
              </a:scene3d>
              <a:sp3d contourW="22225"/>
            </c:spPr>
          </c:dPt>
          <c:dLbls>
            <c:dLbl>
              <c:idx val="0"/>
              <c:layout/>
              <c:dLblPos val="inEnd"/>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eparator>
</c:separator>
            <c:showLeaderLines val="0"/>
            <c:extLst>
              <c:ext xmlns:c15="http://schemas.microsoft.com/office/drawing/2012/chart" uri="{CE6537A1-D6FC-4f65-9D91-7224C49458BB}">
                <c15:layout/>
                <c15:showLeaderLines val="0"/>
                <c15:leaderLines>
                  <c:spPr>
                    <a:ln w="9525">
                      <a:solidFill>
                        <a:schemeClr val="dk1">
                          <a:lumMod val="35000"/>
                          <a:lumOff val="65000"/>
                        </a:schemeClr>
                      </a:solidFill>
                    </a:ln>
                    <a:effectLst/>
                  </c:spPr>
                </c15:leaderLines>
              </c:ext>
            </c:extLst>
          </c:dLbls>
          <c:cat>
            <c:strRef>
              <c:f>[2025年决算公开图表.xlsx]Sheet1!$A$19:$A$22</c:f>
              <c:strCache>
                <c:ptCount val="4"/>
                <c:pt idx="0">
                  <c:v>一般公共服务支出</c:v>
                </c:pt>
                <c:pt idx="1">
                  <c:v>社会保障和就业支出</c:v>
                </c:pt>
                <c:pt idx="2">
                  <c:v>卫生健康支出</c:v>
                </c:pt>
                <c:pt idx="3">
                  <c:v>住房保障支出</c:v>
                </c:pt>
              </c:strCache>
            </c:strRef>
          </c:cat>
          <c:val>
            <c:numRef>
              <c:f>[2025年决算公开图表.xlsx]Sheet1!$B$19:$B$22</c:f>
              <c:numCache>
                <c:formatCode>General</c:formatCode>
                <c:ptCount val="4"/>
                <c:pt idx="0">
                  <c:v>13.69</c:v>
                </c:pt>
                <c:pt idx="1">
                  <c:v>1367.05</c:v>
                </c:pt>
                <c:pt idx="2">
                  <c:v>75.93</c:v>
                </c:pt>
                <c:pt idx="3">
                  <c:v>94.12</c:v>
                </c:pt>
              </c:numCache>
            </c:numRef>
          </c:val>
        </c:ser>
        <c:dLbls>
          <c:showLegendKey val="0"/>
          <c:showVal val="1"/>
          <c:showCatName val="0"/>
          <c:showSerName val="0"/>
          <c:showPercent val="0"/>
          <c:showBubbleSize val="0"/>
        </c:dLbls>
      </c:pie3D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577d3a66-4606-43d4-9240-02ef0a6cef61}"/>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财政拨款“三公”经费支出结构</a:t>
            </a:r>
          </a:p>
        </c:rich>
      </c:tx>
      <c:layout/>
      <c:overlay val="0"/>
      <c:spPr>
        <a:noFill/>
        <a:ln>
          <a:noFill/>
        </a:ln>
        <a:effectLst/>
      </c:sp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spPr>
            <a:solidFill>
              <a:schemeClr val="accent1"/>
            </a:solidFill>
            <a:ln w="22225" cmpd="sng">
              <a:solidFill>
                <a:schemeClr val="bg1"/>
              </a:solidFill>
              <a:prstDash val="solid"/>
            </a:ln>
            <a:effectLst/>
            <a:scene3d>
              <a:camera prst="orthographicFront"/>
              <a:lightRig rig="threePt" dir="t"/>
            </a:scene3d>
            <a:sp3d contourW="22225" prstMaterial="flat"/>
          </c:spPr>
          <c:explosion val="0"/>
          <c:dPt>
            <c:idx val="0"/>
            <c:bubble3D val="0"/>
            <c:spPr>
              <a:solidFill>
                <a:schemeClr val="accent1"/>
              </a:solidFill>
              <a:ln w="22225">
                <a:solidFill>
                  <a:schemeClr val="bg1"/>
                </a:solidFill>
              </a:ln>
              <a:effectLst/>
              <a:scene3d>
                <a:camera prst="orthographicFront"/>
                <a:lightRig rig="threePt" dir="t"/>
              </a:scene3d>
              <a:sp3d contourW="22225" prstMaterial="flat"/>
            </c:spPr>
          </c:dPt>
          <c:dPt>
            <c:idx val="1"/>
            <c:bubble3D val="0"/>
            <c:spPr>
              <a:solidFill>
                <a:schemeClr val="accent1">
                  <a:lumMod val="60000"/>
                  <a:lumOff val="40000"/>
                </a:schemeClr>
              </a:solidFill>
              <a:ln w="22225" cmpd="sng">
                <a:solidFill>
                  <a:schemeClr val="bg1"/>
                </a:solidFill>
                <a:prstDash val="solid"/>
              </a:ln>
              <a:effectLst/>
              <a:scene3d>
                <a:camera prst="orthographicFront"/>
                <a:lightRig rig="threePt" dir="t"/>
              </a:scene3d>
              <a:sp3d contourW="22225" prstMaterial="flat"/>
            </c:spPr>
          </c:dPt>
          <c:dPt>
            <c:idx val="2"/>
            <c:bubble3D val="0"/>
            <c:spPr>
              <a:solidFill>
                <a:schemeClr val="accent1">
                  <a:lumMod val="40000"/>
                  <a:lumOff val="60000"/>
                </a:schemeClr>
              </a:solidFill>
              <a:ln w="22225" cmpd="sng">
                <a:solidFill>
                  <a:schemeClr val="bg1"/>
                </a:solidFill>
                <a:prstDash val="solid"/>
              </a:ln>
              <a:effectLst/>
              <a:scene3d>
                <a:camera prst="orthographicFront"/>
                <a:lightRig rig="threePt" dir="t"/>
              </a:scene3d>
              <a:sp3d contourW="22225" prstMaterial="flat"/>
            </c:spPr>
          </c:dPt>
          <c:dLbls>
            <c:dLbl>
              <c:idx val="2"/>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accent1">
                          <a:lumMod val="7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1"/>
              <c:showSerName val="0"/>
              <c:showPercent val="0"/>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1"/>
            <c:showSerName val="0"/>
            <c:showPercent val="0"/>
            <c:showBubbleSize val="0"/>
            <c:separator>
</c:separator>
            <c:showLeaderLines val="1"/>
            <c:extLst>
              <c:ext xmlns:c15="http://schemas.microsoft.com/office/drawing/2012/chart" uri="{CE6537A1-D6FC-4f65-9D91-7224C49458BB}">
                <c15:layout/>
                <c15:showLeaderLines val="1"/>
                <c15:leaderLines/>
              </c:ext>
            </c:extLst>
          </c:dLbls>
          <c:cat>
            <c:strRef>
              <c:f>[2025年决算公开图表.xlsx]Sheet1!$A$25:$A$27</c:f>
              <c:strCache>
                <c:ptCount val="3"/>
                <c:pt idx="0">
                  <c:v>因公出国（境）费</c:v>
                </c:pt>
                <c:pt idx="1">
                  <c:v>公务用车购置及运行维护费</c:v>
                </c:pt>
                <c:pt idx="2">
                  <c:v>公务接待费</c:v>
                </c:pt>
              </c:strCache>
            </c:strRef>
          </c:cat>
          <c:val>
            <c:numRef>
              <c:f>[2025年决算公开图表.xlsx]Sheet1!$B$25:$B$27</c:f>
              <c:numCache>
                <c:formatCode>General</c:formatCode>
                <c:ptCount val="3"/>
                <c:pt idx="0">
                  <c:v>0</c:v>
                </c:pt>
                <c:pt idx="1">
                  <c:v>1.12</c:v>
                </c:pt>
                <c:pt idx="2">
                  <c:v>0.5</c:v>
                </c:pt>
              </c:numCache>
            </c:numRef>
          </c:val>
        </c:ser>
        <c:dLbls>
          <c:showLegendKey val="0"/>
          <c:showVal val="1"/>
          <c:showCatName val="0"/>
          <c:showSerName val="0"/>
          <c:showPercent val="0"/>
          <c:showBubbleSize val="0"/>
        </c:dLbls>
      </c:pie3DChart>
      <c:spPr>
        <a:noFill/>
        <a:ln>
          <a:noFill/>
        </a:ln>
        <a:effectLst/>
      </c:spPr>
    </c:plotArea>
    <c:plotVisOnly val="1"/>
    <c:dispBlanksAs val="gap"/>
    <c:showDLblsOverMax val="0"/>
    <c:extLst>
      <c:ext uri="{0b15fc19-7d7d-44ad-8c2d-2c3a37ce22c3}">
        <chartProps xmlns="https://web.wps.cn/et/2018/main" chartId="{e51a5961-d675-428c-bb75-24762a479e4a}"/>
      </c:ext>
    </c:extLst>
  </c:chart>
  <c:spPr>
    <a:solidFill>
      <a:schemeClr val="bg1"/>
    </a:solidFill>
    <a:ln w="6350" cap="flat" cmpd="sng" algn="ctr">
      <a:solidFill>
        <a:schemeClr val="tx1">
          <a:lumMod val="50000"/>
          <a:lumOff val="50000"/>
          <a:alpha val="25000"/>
        </a:schemeClr>
      </a:solidFill>
      <a:prstDash val="solid"/>
      <a:round/>
    </a:ln>
    <a:effectLst>
      <a:outerShdw blurRad="63500" dist="37357" dir="2700000" sx="0" sy="0" rotWithShape="0">
        <a:scrgbClr r="0" g="0" b="0"/>
      </a:outerShdw>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97">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5400000" scaled="0"/>
      </a:gradFill>
      <a:ln>
        <a:gradFill>
          <a:gsLst>
            <a:gs pos="100000">
              <a:schemeClr val="phClr">
                <a:lumMod val="75000"/>
              </a:schemeClr>
            </a:gs>
            <a:gs pos="0">
              <a:schemeClr val="phClr">
                <a:lumMod val="75000"/>
                <a:hueOff val="-1670000"/>
              </a:schemeClr>
            </a:gs>
          </a:gsLst>
          <a:lin ang="4620000" scaled="0"/>
        </a:gra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自定义 61">
    <a:dk1>
      <a:srgbClr val="000000"/>
    </a:dk1>
    <a:lt1>
      <a:srgbClr val="FFFFFF"/>
    </a:lt1>
    <a:dk2>
      <a:srgbClr val="44546A"/>
    </a:dk2>
    <a:lt2>
      <a:srgbClr val="E7E6E6"/>
    </a:lt2>
    <a:accent1>
      <a:srgbClr val="60ACFD"/>
    </a:accent1>
    <a:accent2>
      <a:srgbClr val="4072D8"/>
    </a:accent2>
    <a:accent3>
      <a:srgbClr val="8FDEFF"/>
    </a:accent3>
    <a:accent4>
      <a:srgbClr val="53D8A8"/>
    </a:accent4>
    <a:accent5>
      <a:srgbClr val="FFD238"/>
    </a:accent5>
    <a:accent6>
      <a:srgbClr val="B78BF9"/>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自定义 1">
    <a:dk1>
      <a:srgbClr val="000000"/>
    </a:dk1>
    <a:lt1>
      <a:srgbClr val="FFFFFF"/>
    </a:lt1>
    <a:dk2>
      <a:srgbClr val="44546A"/>
    </a:dk2>
    <a:lt2>
      <a:srgbClr val="E7E6E6"/>
    </a:lt2>
    <a:accent1>
      <a:srgbClr val="4F80FF"/>
    </a:accent1>
    <a:accent2>
      <a:srgbClr val="16CC8A"/>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自定义 107">
    <a:dk1>
      <a:srgbClr val="000000"/>
    </a:dk1>
    <a:lt1>
      <a:srgbClr val="FFFFFF"/>
    </a:lt1>
    <a:dk2>
      <a:srgbClr val="44546A"/>
    </a:dk2>
    <a:lt2>
      <a:srgbClr val="E7E6E6"/>
    </a:lt2>
    <a:accent1>
      <a:srgbClr val="1D6FA9"/>
    </a:accent1>
    <a:accent2>
      <a:srgbClr val="39ADCE"/>
    </a:accent2>
    <a:accent3>
      <a:srgbClr val="8BC145"/>
    </a:accent3>
    <a:accent4>
      <a:srgbClr val="1D9A78"/>
    </a:accent4>
    <a:accent5>
      <a:srgbClr val="30C0B4"/>
    </a:accent5>
    <a:accent6>
      <a:srgbClr val="4874CB"/>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自定义 1">
    <a:dk1>
      <a:srgbClr val="000000"/>
    </a:dk1>
    <a:lt1>
      <a:srgbClr val="FFFFFF"/>
    </a:lt1>
    <a:dk2>
      <a:srgbClr val="44546A"/>
    </a:dk2>
    <a:lt2>
      <a:srgbClr val="E7E6E6"/>
    </a:lt2>
    <a:accent1>
      <a:srgbClr val="4F80FF"/>
    </a:accent1>
    <a:accent2>
      <a:srgbClr val="16CC8A"/>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商务蓝">
    <a:dk1>
      <a:srgbClr val="000000"/>
    </a:dk1>
    <a:lt1>
      <a:srgbClr val="FFFFFF"/>
    </a:lt1>
    <a:dk2>
      <a:srgbClr val="44546A"/>
    </a:dk2>
    <a:lt2>
      <a:srgbClr val="E7E6E6"/>
    </a:lt2>
    <a:accent1>
      <a:srgbClr val="0D208B"/>
    </a:accent1>
    <a:accent2>
      <a:srgbClr val="0174CD"/>
    </a:accent2>
    <a:accent3>
      <a:srgbClr val="4499D9"/>
    </a:accent3>
    <a:accent4>
      <a:srgbClr val="63A8DE"/>
    </a:accent4>
    <a:accent5>
      <a:srgbClr val="A6CAE7"/>
    </a:accent5>
    <a:accent6>
      <a:srgbClr val="D1E1F5"/>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44</Pages>
  <Words>15226</Words>
  <Characters>16521</Characters>
  <Lines>61</Lines>
  <Paragraphs>17</Paragraphs>
  <TotalTime>107</TotalTime>
  <ScaleCrop>false</ScaleCrop>
  <LinksUpToDate>false</LinksUpToDate>
  <CharactersWithSpaces>16581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simple libra</cp:lastModifiedBy>
  <cp:lastPrinted>2026-08-03T09:27:00Z</cp:lastPrinted>
  <dcterms:modified xsi:type="dcterms:W3CDTF">2026-09-04T07:42:48Z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ED184DED611844C7AEF32E6AE7B2F7AF_13</vt:lpwstr>
  </property>
  <property fmtid="{D5CDD505-2E9C-101B-9397-08002B2CF9AE}" pid="4" name="KSOTemplateDocerSaveRecord">
    <vt:lpwstr>eyJoZGlkIjoiNWQ1ZjlmZWEzYzAzYWJlMDhkZWE4MTU3MmUyMDY2YjciLCJ1c2VySWQiOiIyNjA4MjU0ODQifQ==</vt:lpwstr>
  </property>
</Properties>
</file>