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colors5.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charts/style5.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theme/themeOverride1.xml" ContentType="application/vnd.openxmlformats-officedocument.themeOverride+xml"/>
  <Override PartName="/word/theme/themeOverride2.xml" ContentType="application/vnd.openxmlformats-officedocument.themeOverride+xml"/>
  <Override PartName="/word/theme/themeOverride3.xml" ContentType="application/vnd.openxmlformats-officedocument.themeOverride+xml"/>
  <Override PartName="/word/theme/themeOverride4.xml" ContentType="application/vnd.openxmlformats-officedocument.themeOverride+xml"/>
  <Override PartName="/word/theme/themeOverride5.xml" ContentType="application/vnd.openxmlformats-officedocument.themeOverrid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9BDACBA">
      <w:pPr>
        <w:pStyle w:val="5"/>
        <w:rPr>
          <w:rFonts w:hint="default" w:ascii="Times New Roman" w:hAnsi="Times New Roman" w:eastAsia="方正小标宋简体" w:cs="Times New Roman"/>
          <w:color w:val="auto"/>
          <w:kern w:val="2"/>
          <w:sz w:val="72"/>
          <w:szCs w:val="72"/>
          <w:highlight w:val="none"/>
          <w:lang w:val="en-US" w:eastAsia="zh-CN" w:bidi="ar-SA"/>
        </w:rPr>
      </w:pPr>
      <w:bookmarkStart w:id="0" w:name="_Toc15377193"/>
      <w:bookmarkStart w:id="1" w:name="_Toc15377425"/>
      <w:bookmarkStart w:id="2" w:name="_Toc15378441"/>
      <w:bookmarkStart w:id="3" w:name="_Toc15306267"/>
      <w:bookmarkStart w:id="4" w:name="_Toc15396475"/>
      <w:bookmarkStart w:id="5" w:name="_Toc15396597"/>
      <w:bookmarkStart w:id="68" w:name="_GoBack"/>
      <w:bookmarkEnd w:id="68"/>
    </w:p>
    <w:p w14:paraId="57C714A9">
      <w:pPr>
        <w:pStyle w:val="5"/>
        <w:rPr>
          <w:rFonts w:hint="default" w:ascii="Times New Roman" w:hAnsi="Times New Roman" w:eastAsia="方正小标宋简体" w:cs="Times New Roman"/>
          <w:color w:val="auto"/>
          <w:kern w:val="2"/>
          <w:sz w:val="72"/>
          <w:szCs w:val="72"/>
          <w:highlight w:val="none"/>
          <w:lang w:val="en-US" w:eastAsia="zh-CN" w:bidi="ar-SA"/>
        </w:rPr>
      </w:pPr>
    </w:p>
    <w:p w14:paraId="333263F5">
      <w:pPr>
        <w:pStyle w:val="5"/>
        <w:rPr>
          <w:rFonts w:hint="default" w:ascii="Times New Roman" w:hAnsi="Times New Roman" w:eastAsia="方正小标宋简体" w:cs="Times New Roman"/>
          <w:color w:val="auto"/>
          <w:kern w:val="2"/>
          <w:sz w:val="72"/>
          <w:szCs w:val="72"/>
          <w:highlight w:val="none"/>
          <w:lang w:val="en-US" w:eastAsia="zh-CN" w:bidi="ar-SA"/>
        </w:rPr>
      </w:pPr>
    </w:p>
    <w:p w14:paraId="3AF6619A">
      <w:pPr>
        <w:pStyle w:val="5"/>
        <w:rPr>
          <w:rFonts w:hint="default" w:ascii="Times New Roman" w:hAnsi="Times New Roman" w:eastAsia="方正小标宋简体" w:cs="Times New Roman"/>
          <w:color w:val="auto"/>
          <w:kern w:val="2"/>
          <w:sz w:val="72"/>
          <w:szCs w:val="72"/>
          <w:highlight w:val="none"/>
          <w:lang w:val="en-US" w:eastAsia="zh-CN" w:bidi="ar-SA"/>
        </w:rPr>
      </w:pPr>
    </w:p>
    <w:p w14:paraId="1A000389">
      <w:pPr>
        <w:pStyle w:val="5"/>
        <w:spacing w:before="93"/>
        <w:jc w:val="center"/>
        <w:rPr>
          <w:rFonts w:hint="default" w:ascii="Times New Roman" w:hAnsi="Times New Roman" w:eastAsia="方正小标宋简体" w:cs="Times New Roman"/>
          <w:kern w:val="2"/>
          <w:sz w:val="44"/>
          <w:szCs w:val="44"/>
          <w:lang w:val="en-US" w:eastAsia="zh-CN"/>
        </w:rPr>
      </w:pPr>
      <w:r>
        <w:rPr>
          <w:rFonts w:hint="default" w:ascii="Times New Roman" w:hAnsi="Times New Roman" w:eastAsia="方正小标宋简体" w:cs="Times New Roman"/>
          <w:kern w:val="2"/>
          <w:sz w:val="44"/>
          <w:szCs w:val="44"/>
          <w:lang w:val="en-US" w:eastAsia="zh-CN"/>
        </w:rPr>
        <w:t>2025年度</w:t>
      </w:r>
      <w:r>
        <w:rPr>
          <w:rFonts w:hint="default" w:ascii="Times New Roman" w:hAnsi="Times New Roman" w:eastAsia="方正小标宋简体" w:cs="Times New Roman"/>
          <w:kern w:val="2"/>
          <w:sz w:val="44"/>
          <w:szCs w:val="44"/>
        </w:rPr>
        <w:t>市级部门</w:t>
      </w:r>
      <w:r>
        <w:rPr>
          <w:rFonts w:hint="default" w:ascii="Times New Roman" w:hAnsi="Times New Roman" w:eastAsia="方正小标宋简体" w:cs="Times New Roman"/>
          <w:kern w:val="2"/>
          <w:sz w:val="44"/>
          <w:szCs w:val="44"/>
          <w:lang w:val="en-US" w:eastAsia="zh-CN"/>
        </w:rPr>
        <w:t>决算</w:t>
      </w:r>
    </w:p>
    <w:p w14:paraId="6A3BD8CD">
      <w:pPr>
        <w:pStyle w:val="5"/>
        <w:spacing w:before="93"/>
        <w:jc w:val="center"/>
        <w:rPr>
          <w:rFonts w:hint="default" w:ascii="Times New Roman" w:hAnsi="Times New Roman" w:eastAsia="方正小标宋简体" w:cs="Times New Roman"/>
          <w:kern w:val="2"/>
          <w:sz w:val="44"/>
          <w:szCs w:val="44"/>
          <w:lang w:val="en-US" w:eastAsia="zh-CN"/>
        </w:rPr>
      </w:pPr>
      <w:r>
        <w:rPr>
          <w:rFonts w:hint="default" w:ascii="Times New Roman" w:hAnsi="Times New Roman" w:eastAsia="方正小标宋简体" w:cs="Times New Roman"/>
          <w:kern w:val="2"/>
          <w:sz w:val="44"/>
          <w:szCs w:val="44"/>
        </w:rPr>
        <w:t>公开编制说明</w:t>
      </w:r>
    </w:p>
    <w:p w14:paraId="1819B009">
      <w:pPr>
        <w:pStyle w:val="5"/>
        <w:jc w:val="center"/>
        <w:rPr>
          <w:rFonts w:hint="default" w:ascii="Times New Roman" w:hAnsi="Times New Roman" w:eastAsia="方正小标宋简体" w:cs="Times New Roman"/>
          <w:color w:val="auto"/>
          <w:kern w:val="2"/>
          <w:sz w:val="44"/>
          <w:szCs w:val="44"/>
          <w:highlight w:val="none"/>
          <w:lang w:val="en-US" w:eastAsia="zh-CN" w:bidi="ar-SA"/>
        </w:rPr>
      </w:pPr>
    </w:p>
    <w:p w14:paraId="4EC44191">
      <w:pPr>
        <w:spacing w:line="600" w:lineRule="exact"/>
        <w:jc w:val="center"/>
        <w:outlineLvl w:val="0"/>
        <w:rPr>
          <w:rFonts w:hint="default" w:ascii="Times New Roman" w:hAnsi="Times New Roman" w:eastAsia="方正小标宋简体" w:cs="Times New Roman"/>
          <w:color w:val="auto"/>
          <w:sz w:val="72"/>
          <w:szCs w:val="72"/>
          <w:highlight w:val="none"/>
        </w:rPr>
      </w:pPr>
    </w:p>
    <w:p w14:paraId="0EDCDDD3">
      <w:pPr>
        <w:pStyle w:val="22"/>
        <w:rPr>
          <w:rFonts w:hint="default" w:ascii="Times New Roman" w:hAnsi="Times New Roman" w:cs="Times New Roman"/>
        </w:rPr>
        <w:sectPr>
          <w:headerReference r:id="rId3" w:type="default"/>
          <w:footerReference r:id="rId4" w:type="default"/>
          <w:pgSz w:w="11906" w:h="16838"/>
          <w:pgMar w:top="1440" w:right="1800" w:bottom="1440" w:left="1800" w:header="851" w:footer="992" w:gutter="0"/>
          <w:pgNumType w:fmt="decimal" w:start="1"/>
          <w:cols w:space="425" w:num="1"/>
          <w:titlePg/>
          <w:docGrid w:type="lines" w:linePitch="312" w:charSpace="0"/>
        </w:sectPr>
      </w:pPr>
    </w:p>
    <w:p w14:paraId="4EBDF660">
      <w:pPr>
        <w:rPr>
          <w:rFonts w:hint="default" w:ascii="Times New Roman" w:hAnsi="Times New Roman" w:cs="Times New Roman"/>
        </w:rPr>
      </w:pPr>
    </w:p>
    <w:p w14:paraId="0819DDD0">
      <w:pPr>
        <w:pStyle w:val="5"/>
        <w:jc w:val="center"/>
        <w:rPr>
          <w:rFonts w:hint="default" w:ascii="Times New Roman" w:hAnsi="Times New Roman" w:eastAsia="方正小标宋简体" w:cs="Times New Roman"/>
          <w:color w:val="auto"/>
          <w:kern w:val="2"/>
          <w:sz w:val="44"/>
          <w:szCs w:val="44"/>
          <w:highlight w:val="none"/>
          <w:lang w:val="en-US" w:eastAsia="zh-CN" w:bidi="ar-SA"/>
        </w:rPr>
      </w:pPr>
    </w:p>
    <w:p w14:paraId="163CC10D">
      <w:pPr>
        <w:pStyle w:val="5"/>
        <w:jc w:val="center"/>
        <w:rPr>
          <w:rFonts w:hint="default" w:ascii="Times New Roman" w:hAnsi="Times New Roman" w:eastAsia="方正小标宋简体" w:cs="Times New Roman"/>
          <w:color w:val="auto"/>
          <w:kern w:val="2"/>
          <w:sz w:val="44"/>
          <w:szCs w:val="44"/>
          <w:highlight w:val="none"/>
          <w:lang w:val="en-US" w:eastAsia="zh-CN" w:bidi="ar-SA"/>
        </w:rPr>
      </w:pPr>
    </w:p>
    <w:p w14:paraId="06644C18">
      <w:pPr>
        <w:pStyle w:val="5"/>
        <w:jc w:val="center"/>
        <w:rPr>
          <w:rFonts w:hint="default" w:ascii="Times New Roman" w:hAnsi="Times New Roman" w:eastAsia="方正小标宋简体" w:cs="Times New Roman"/>
          <w:color w:val="auto"/>
          <w:kern w:val="2"/>
          <w:sz w:val="44"/>
          <w:szCs w:val="44"/>
          <w:highlight w:val="none"/>
          <w:lang w:val="en-US" w:eastAsia="zh-CN" w:bidi="ar-SA"/>
        </w:rPr>
      </w:pPr>
    </w:p>
    <w:p w14:paraId="52F2FED6">
      <w:pPr>
        <w:pStyle w:val="5"/>
        <w:jc w:val="center"/>
        <w:rPr>
          <w:rFonts w:hint="default" w:ascii="Times New Roman" w:hAnsi="Times New Roman" w:eastAsia="方正小标宋简体" w:cs="Times New Roman"/>
          <w:color w:val="auto"/>
          <w:kern w:val="2"/>
          <w:sz w:val="44"/>
          <w:szCs w:val="44"/>
          <w:highlight w:val="none"/>
          <w:lang w:val="en-US" w:eastAsia="zh-CN" w:bidi="ar-SA"/>
        </w:rPr>
      </w:pPr>
    </w:p>
    <w:p w14:paraId="1B80CAFC">
      <w:pPr>
        <w:pStyle w:val="5"/>
        <w:jc w:val="center"/>
        <w:rPr>
          <w:rFonts w:hint="default" w:ascii="Times New Roman" w:hAnsi="Times New Roman" w:eastAsia="方正小标宋简体" w:cs="Times New Roman"/>
          <w:color w:val="auto"/>
          <w:kern w:val="2"/>
          <w:sz w:val="44"/>
          <w:szCs w:val="44"/>
          <w:highlight w:val="none"/>
          <w:lang w:val="en-US" w:eastAsia="zh-CN" w:bidi="ar-SA"/>
        </w:rPr>
      </w:pPr>
    </w:p>
    <w:bookmarkEnd w:id="0"/>
    <w:bookmarkEnd w:id="1"/>
    <w:bookmarkEnd w:id="2"/>
    <w:bookmarkEnd w:id="3"/>
    <w:bookmarkEnd w:id="4"/>
    <w:bookmarkEnd w:id="5"/>
    <w:p w14:paraId="08FF2E29">
      <w:pPr>
        <w:pStyle w:val="5"/>
        <w:spacing w:before="93"/>
        <w:jc w:val="center"/>
        <w:rPr>
          <w:rFonts w:hint="default" w:ascii="Times New Roman" w:hAnsi="Times New Roman" w:eastAsia="方正小标宋简体" w:cs="Times New Roman"/>
          <w:kern w:val="2"/>
          <w:sz w:val="44"/>
          <w:szCs w:val="44"/>
          <w:lang w:val="en-US" w:eastAsia="zh-CN"/>
        </w:rPr>
      </w:pPr>
      <w:bookmarkStart w:id="6" w:name="_Toc15396476"/>
      <w:bookmarkStart w:id="7" w:name="_Toc15378442"/>
      <w:bookmarkStart w:id="8" w:name="_Toc15396598"/>
      <w:bookmarkStart w:id="9" w:name="_Toc15377426"/>
      <w:bookmarkStart w:id="10" w:name="_Toc15377194"/>
      <w:r>
        <w:rPr>
          <w:rFonts w:hint="default" w:ascii="Times New Roman" w:hAnsi="Times New Roman" w:eastAsia="方正小标宋简体" w:cs="Times New Roman"/>
          <w:kern w:val="2"/>
          <w:sz w:val="44"/>
          <w:szCs w:val="44"/>
        </w:rPr>
        <w:t>2025年度攀枝花市</w:t>
      </w:r>
      <w:bookmarkStart w:id="11" w:name="_Toc15306268"/>
      <w:r>
        <w:rPr>
          <w:rFonts w:hint="default" w:ascii="Times New Roman" w:hAnsi="Times New Roman" w:eastAsia="方正小标宋简体" w:cs="Times New Roman"/>
          <w:kern w:val="2"/>
          <w:sz w:val="44"/>
          <w:szCs w:val="44"/>
          <w:lang w:val="en-US" w:eastAsia="zh-CN"/>
        </w:rPr>
        <w:t>社会保险事务中心</w:t>
      </w:r>
    </w:p>
    <w:p w14:paraId="5E4851D0">
      <w:pPr>
        <w:pStyle w:val="5"/>
        <w:spacing w:before="93"/>
        <w:jc w:val="center"/>
        <w:rPr>
          <w:rFonts w:hint="default" w:ascii="Times New Roman" w:hAnsi="Times New Roman" w:eastAsia="方正小标宋简体" w:cs="Times New Roman"/>
          <w:kern w:val="2"/>
          <w:sz w:val="44"/>
          <w:szCs w:val="44"/>
        </w:rPr>
      </w:pPr>
      <w:r>
        <w:rPr>
          <w:rFonts w:hint="default" w:ascii="Times New Roman" w:hAnsi="Times New Roman" w:eastAsia="方正小标宋简体" w:cs="Times New Roman"/>
          <w:kern w:val="2"/>
          <w:sz w:val="44"/>
          <w:szCs w:val="44"/>
        </w:rPr>
        <w:t>部门决算</w:t>
      </w:r>
      <w:bookmarkEnd w:id="6"/>
      <w:bookmarkEnd w:id="7"/>
      <w:bookmarkEnd w:id="8"/>
      <w:bookmarkEnd w:id="9"/>
      <w:bookmarkEnd w:id="10"/>
      <w:bookmarkEnd w:id="11"/>
    </w:p>
    <w:p w14:paraId="6E127F4B">
      <w:pPr>
        <w:widowControl/>
        <w:jc w:val="center"/>
        <w:rPr>
          <w:rFonts w:hint="default" w:ascii="Times New Roman" w:hAnsi="Times New Roman" w:eastAsia="黑体" w:cs="Times New Roman"/>
          <w:color w:val="auto"/>
          <w:sz w:val="48"/>
          <w:szCs w:val="48"/>
          <w:highlight w:val="none"/>
        </w:rPr>
      </w:pPr>
    </w:p>
    <w:p w14:paraId="5D31C6B8">
      <w:pPr>
        <w:widowControl/>
        <w:jc w:val="center"/>
        <w:rPr>
          <w:rFonts w:hint="default" w:ascii="Times New Roman" w:hAnsi="Times New Roman" w:eastAsia="黑体" w:cs="Times New Roman"/>
          <w:color w:val="auto"/>
          <w:sz w:val="48"/>
          <w:szCs w:val="48"/>
          <w:highlight w:val="none"/>
        </w:rPr>
      </w:pPr>
    </w:p>
    <w:p w14:paraId="6BEB212B">
      <w:pPr>
        <w:widowControl/>
        <w:jc w:val="center"/>
        <w:rPr>
          <w:rFonts w:hint="default" w:ascii="Times New Roman" w:hAnsi="Times New Roman" w:eastAsia="黑体" w:cs="Times New Roman"/>
          <w:color w:val="auto"/>
          <w:sz w:val="48"/>
          <w:szCs w:val="48"/>
          <w:highlight w:val="none"/>
        </w:rPr>
      </w:pPr>
    </w:p>
    <w:p w14:paraId="71DAC3BB">
      <w:pPr>
        <w:pStyle w:val="14"/>
        <w:rPr>
          <w:rFonts w:hint="default" w:ascii="Times New Roman" w:hAnsi="Times New Roman" w:eastAsia="黑体" w:cs="Times New Roman"/>
          <w:color w:val="auto"/>
          <w:sz w:val="48"/>
          <w:szCs w:val="48"/>
          <w:highlight w:val="none"/>
        </w:rPr>
      </w:pPr>
    </w:p>
    <w:p w14:paraId="0082F3B4">
      <w:pPr>
        <w:pStyle w:val="7"/>
        <w:rPr>
          <w:rFonts w:hint="default" w:ascii="Times New Roman" w:hAnsi="Times New Roman" w:eastAsia="黑体" w:cs="Times New Roman"/>
          <w:color w:val="auto"/>
          <w:sz w:val="48"/>
          <w:szCs w:val="48"/>
          <w:highlight w:val="none"/>
        </w:rPr>
      </w:pPr>
    </w:p>
    <w:p w14:paraId="03609989">
      <w:pPr>
        <w:rPr>
          <w:rFonts w:hint="default" w:ascii="Times New Roman" w:hAnsi="Times New Roman" w:eastAsia="黑体" w:cs="Times New Roman"/>
          <w:color w:val="auto"/>
          <w:sz w:val="48"/>
          <w:szCs w:val="48"/>
          <w:highlight w:val="none"/>
        </w:rPr>
      </w:pPr>
    </w:p>
    <w:p w14:paraId="74CB8198">
      <w:pPr>
        <w:pStyle w:val="14"/>
        <w:rPr>
          <w:rFonts w:hint="default" w:ascii="Times New Roman" w:hAnsi="Times New Roman" w:eastAsia="黑体" w:cs="Times New Roman"/>
          <w:color w:val="auto"/>
          <w:sz w:val="48"/>
          <w:szCs w:val="48"/>
          <w:highlight w:val="none"/>
        </w:rPr>
      </w:pPr>
    </w:p>
    <w:p w14:paraId="78AC99CA">
      <w:pPr>
        <w:pStyle w:val="7"/>
        <w:rPr>
          <w:rFonts w:hint="default" w:ascii="Times New Roman" w:hAnsi="Times New Roman" w:eastAsia="黑体" w:cs="Times New Roman"/>
          <w:color w:val="auto"/>
          <w:sz w:val="48"/>
          <w:szCs w:val="48"/>
          <w:highlight w:val="none"/>
        </w:rPr>
      </w:pPr>
    </w:p>
    <w:p w14:paraId="6B33D7FE">
      <w:pPr>
        <w:rPr>
          <w:rFonts w:hint="default" w:ascii="Times New Roman" w:hAnsi="Times New Roman" w:eastAsia="黑体" w:cs="Times New Roman"/>
          <w:color w:val="auto"/>
          <w:sz w:val="48"/>
          <w:szCs w:val="48"/>
          <w:highlight w:val="none"/>
        </w:rPr>
      </w:pPr>
    </w:p>
    <w:p w14:paraId="1AA48132">
      <w:pPr>
        <w:pStyle w:val="14"/>
        <w:rPr>
          <w:rFonts w:hint="default" w:ascii="Times New Roman" w:hAnsi="Times New Roman" w:eastAsia="黑体" w:cs="Times New Roman"/>
          <w:color w:val="auto"/>
          <w:sz w:val="48"/>
          <w:szCs w:val="48"/>
          <w:highlight w:val="none"/>
        </w:rPr>
      </w:pPr>
    </w:p>
    <w:p w14:paraId="73D02383">
      <w:pPr>
        <w:pStyle w:val="7"/>
        <w:rPr>
          <w:rFonts w:hint="default" w:ascii="Times New Roman" w:hAnsi="Times New Roman" w:eastAsia="黑体" w:cs="Times New Roman"/>
          <w:color w:val="auto"/>
          <w:sz w:val="48"/>
          <w:szCs w:val="48"/>
          <w:highlight w:val="none"/>
        </w:rPr>
      </w:pPr>
    </w:p>
    <w:p w14:paraId="702A6617">
      <w:pPr>
        <w:rPr>
          <w:rFonts w:hint="default" w:ascii="Times New Roman" w:hAnsi="Times New Roman" w:cs="Times New Roman"/>
        </w:rPr>
      </w:pPr>
    </w:p>
    <w:p w14:paraId="0A80246C">
      <w:pPr>
        <w:widowControl/>
        <w:jc w:val="center"/>
        <w:rPr>
          <w:rFonts w:hint="default" w:ascii="Times New Roman" w:hAnsi="Times New Roman" w:eastAsia="黑体" w:cs="Times New Roman"/>
          <w:color w:val="auto"/>
          <w:sz w:val="48"/>
          <w:szCs w:val="48"/>
          <w:highlight w:val="none"/>
        </w:rPr>
      </w:pPr>
    </w:p>
    <w:p w14:paraId="6E8BD0C2">
      <w:pPr>
        <w:widowControl/>
        <w:jc w:val="center"/>
        <w:rPr>
          <w:rFonts w:hint="default" w:ascii="Times New Roman" w:hAnsi="Times New Roman" w:eastAsia="黑体" w:cs="Times New Roman"/>
          <w:color w:val="auto"/>
          <w:sz w:val="48"/>
          <w:szCs w:val="48"/>
          <w:highlight w:val="none"/>
        </w:rPr>
      </w:pPr>
      <w:r>
        <w:rPr>
          <w:rFonts w:hint="default" w:ascii="Times New Roman" w:hAnsi="Times New Roman" w:eastAsia="黑体" w:cs="Times New Roman"/>
          <w:color w:val="auto"/>
          <w:sz w:val="48"/>
          <w:szCs w:val="48"/>
          <w:highlight w:val="none"/>
        </w:rPr>
        <w:t>目录</w:t>
      </w:r>
    </w:p>
    <w:p w14:paraId="15B89190">
      <w:pPr>
        <w:widowControl/>
        <w:jc w:val="center"/>
        <w:rPr>
          <w:rFonts w:hint="default" w:ascii="Times New Roman" w:hAnsi="Times New Roman" w:eastAsia="黑体" w:cs="Times New Roman"/>
          <w:color w:val="auto"/>
          <w:sz w:val="28"/>
          <w:szCs w:val="28"/>
          <w:highlight w:val="none"/>
        </w:rPr>
      </w:pPr>
    </w:p>
    <w:p w14:paraId="66F06050">
      <w:pPr>
        <w:pStyle w:val="13"/>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公开时间：20</w:t>
      </w:r>
      <w:r>
        <w:rPr>
          <w:rFonts w:hint="default" w:ascii="Times New Roman" w:hAnsi="Times New Roman" w:eastAsia="仿宋_GB2312" w:cs="Times New Roman"/>
          <w:color w:val="auto"/>
          <w:sz w:val="32"/>
          <w:szCs w:val="32"/>
          <w:highlight w:val="none"/>
          <w:lang w:val="en-US" w:eastAsia="zh-CN"/>
        </w:rPr>
        <w:t>26</w:t>
      </w:r>
      <w:r>
        <w:rPr>
          <w:rFonts w:hint="default" w:ascii="Times New Roman" w:hAnsi="Times New Roman" w:eastAsia="仿宋_GB2312" w:cs="Times New Roman"/>
          <w:color w:val="auto"/>
          <w:sz w:val="32"/>
          <w:szCs w:val="32"/>
          <w:highlight w:val="none"/>
        </w:rPr>
        <w:t>年</w:t>
      </w:r>
      <w:r>
        <w:rPr>
          <w:rFonts w:hint="default" w:ascii="Times New Roman" w:hAnsi="Times New Roman" w:eastAsia="仿宋_GB2312" w:cs="Times New Roman"/>
          <w:color w:val="auto"/>
          <w:sz w:val="32"/>
          <w:szCs w:val="32"/>
          <w:highlight w:val="none"/>
          <w:lang w:val="en-US" w:eastAsia="zh-CN"/>
        </w:rPr>
        <w:t>9</w:t>
      </w:r>
      <w:r>
        <w:rPr>
          <w:rFonts w:hint="default" w:ascii="Times New Roman" w:hAnsi="Times New Roman" w:eastAsia="仿宋_GB2312" w:cs="Times New Roman"/>
          <w:color w:val="auto"/>
          <w:sz w:val="32"/>
          <w:szCs w:val="32"/>
          <w:highlight w:val="none"/>
        </w:rPr>
        <w:t>月</w:t>
      </w:r>
      <w:r>
        <w:rPr>
          <w:rFonts w:hint="default" w:ascii="Times New Roman" w:hAnsi="Times New Roman" w:eastAsia="仿宋_GB2312" w:cs="Times New Roman"/>
          <w:color w:val="auto"/>
          <w:sz w:val="32"/>
          <w:szCs w:val="32"/>
          <w:highlight w:val="none"/>
          <w:lang w:val="en-US" w:eastAsia="zh-CN"/>
        </w:rPr>
        <w:t>10</w:t>
      </w:r>
      <w:r>
        <w:rPr>
          <w:rFonts w:hint="default" w:ascii="Times New Roman" w:hAnsi="Times New Roman" w:eastAsia="仿宋_GB2312" w:cs="Times New Roman"/>
          <w:color w:val="auto"/>
          <w:sz w:val="32"/>
          <w:szCs w:val="32"/>
          <w:highlight w:val="none"/>
        </w:rPr>
        <w:t>日</w:t>
      </w:r>
    </w:p>
    <w:p w14:paraId="583B6CEA">
      <w:pPr>
        <w:rPr>
          <w:rFonts w:hint="default" w:ascii="Times New Roman" w:hAnsi="Times New Roman" w:cs="Times New Roman"/>
          <w:color w:val="auto"/>
          <w:highlight w:val="none"/>
        </w:rPr>
      </w:pPr>
    </w:p>
    <w:p w14:paraId="5ABE91D8">
      <w:pPr>
        <w:pStyle w:val="13"/>
        <w:adjustRightInd w:val="0"/>
        <w:snapToGrid w:val="0"/>
        <w:spacing w:before="0" w:line="440" w:lineRule="exact"/>
        <w:jc w:val="left"/>
        <w:rPr>
          <w:rFonts w:hint="default" w:ascii="Times New Roman" w:hAnsi="Times New Roman" w:cs="Times New Roman"/>
          <w:color w:val="auto"/>
          <w:sz w:val="24"/>
          <w:szCs w:val="24"/>
          <w:highlight w:val="none"/>
        </w:rPr>
      </w:pPr>
      <w:r>
        <w:rPr>
          <w:rFonts w:hint="default" w:ascii="Times New Roman" w:hAnsi="Times New Roman" w:eastAsia="黑体" w:cs="Times New Roman"/>
          <w:color w:val="auto"/>
          <w:sz w:val="32"/>
          <w:szCs w:val="32"/>
          <w:highlight w:val="none"/>
        </w:rPr>
        <w:t>第一部分 部门概况</w:t>
      </w:r>
      <w:r>
        <w:rPr>
          <w:rFonts w:hint="default" w:ascii="Times New Roman" w:hAnsi="Times New Roman" w:cs="Times New Roman"/>
          <w:color w:val="auto"/>
          <w:sz w:val="24"/>
          <w:szCs w:val="24"/>
        </w:rPr>
        <w:tab/>
      </w:r>
      <w:r>
        <w:rPr>
          <w:rFonts w:hint="eastAsia" w:ascii="Times New Roman" w:hAnsi="Times New Roman" w:cs="Times New Roman"/>
          <w:color w:val="auto"/>
          <w:sz w:val="24"/>
          <w:szCs w:val="24"/>
          <w:lang w:val="en-US" w:eastAsia="zh-CN"/>
        </w:rPr>
        <w:t>1</w:t>
      </w:r>
    </w:p>
    <w:p w14:paraId="48ECE22D">
      <w:pPr>
        <w:pStyle w:val="13"/>
        <w:adjustRightInd w:val="0"/>
        <w:snapToGrid w:val="0"/>
        <w:spacing w:before="0" w:line="440" w:lineRule="exact"/>
        <w:ind w:firstLine="640" w:firstLineChars="200"/>
        <w:jc w:val="left"/>
        <w:rPr>
          <w:rFonts w:hint="default" w:ascii="Times New Roman" w:hAnsi="Times New Roman" w:cs="Times New Roman"/>
          <w:color w:val="auto"/>
          <w:sz w:val="24"/>
          <w:szCs w:val="24"/>
          <w:highlight w:val="none"/>
        </w:rPr>
      </w:pPr>
      <w:r>
        <w:rPr>
          <w:rFonts w:hint="default" w:ascii="Times New Roman" w:hAnsi="Times New Roman" w:eastAsia="仿宋_GB2312" w:cs="Times New Roman"/>
          <w:color w:val="auto"/>
          <w:sz w:val="32"/>
          <w:szCs w:val="32"/>
          <w:highlight w:val="none"/>
        </w:rPr>
        <w:t>一、</w:t>
      </w:r>
      <w:r>
        <w:rPr>
          <w:rFonts w:hint="default" w:ascii="Times New Roman" w:hAnsi="Times New Roman" w:eastAsia="仿宋_GB2312" w:cs="Times New Roman"/>
          <w:color w:val="auto"/>
          <w:sz w:val="32"/>
          <w:szCs w:val="32"/>
          <w:highlight w:val="none"/>
          <w:lang w:eastAsia="zh-CN"/>
        </w:rPr>
        <w:t>部门职责</w:t>
      </w:r>
      <w:r>
        <w:rPr>
          <w:rFonts w:hint="default" w:ascii="Times New Roman" w:hAnsi="Times New Roman" w:cs="Times New Roman"/>
          <w:color w:val="auto"/>
          <w:sz w:val="24"/>
          <w:szCs w:val="24"/>
        </w:rPr>
        <w:tab/>
      </w:r>
      <w:r>
        <w:rPr>
          <w:rFonts w:hint="eastAsia" w:ascii="Times New Roman" w:hAnsi="Times New Roman" w:cs="Times New Roman"/>
          <w:color w:val="auto"/>
          <w:sz w:val="24"/>
          <w:szCs w:val="24"/>
          <w:lang w:val="en-US" w:eastAsia="zh-CN"/>
        </w:rPr>
        <w:t>1</w:t>
      </w:r>
    </w:p>
    <w:p w14:paraId="355D4869">
      <w:pPr>
        <w:pStyle w:val="15"/>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二、机构设置</w:t>
      </w:r>
      <w:r>
        <w:rPr>
          <w:rFonts w:hint="default" w:ascii="Times New Roman" w:hAnsi="Times New Roman" w:cs="Times New Roman"/>
          <w:color w:val="auto"/>
          <w:sz w:val="24"/>
          <w:szCs w:val="24"/>
        </w:rPr>
        <w:tab/>
      </w:r>
      <w:r>
        <w:rPr>
          <w:rFonts w:hint="eastAsia" w:ascii="Times New Roman" w:hAnsi="Times New Roman" w:cs="Times New Roman"/>
          <w:color w:val="auto"/>
          <w:sz w:val="24"/>
          <w:szCs w:val="24"/>
          <w:lang w:val="en-US" w:eastAsia="zh-CN"/>
        </w:rPr>
        <w:t>1</w:t>
      </w:r>
    </w:p>
    <w:p w14:paraId="16967733">
      <w:pPr>
        <w:pStyle w:val="13"/>
        <w:keepNext w:val="0"/>
        <w:keepLines w:val="0"/>
        <w:pageBreakBefore w:val="0"/>
        <w:kinsoku/>
        <w:wordWrap/>
        <w:overflowPunct/>
        <w:topLinePunct w:val="0"/>
        <w:autoSpaceDE/>
        <w:autoSpaceDN/>
        <w:bidi w:val="0"/>
        <w:adjustRightInd w:val="0"/>
        <w:snapToGrid w:val="0"/>
        <w:spacing w:before="0" w:line="560" w:lineRule="exact"/>
        <w:jc w:val="left"/>
        <w:textAlignment w:val="auto"/>
        <w:rPr>
          <w:rFonts w:hint="default" w:ascii="Times New Roman" w:hAnsi="Times New Roman" w:eastAsia="黑体" w:cs="Times New Roman"/>
          <w:color w:val="auto"/>
          <w:sz w:val="32"/>
          <w:szCs w:val="32"/>
          <w:highlight w:val="none"/>
        </w:rPr>
      </w:pPr>
      <w:r>
        <w:rPr>
          <w:rFonts w:hint="default" w:ascii="Times New Roman" w:hAnsi="Times New Roman" w:eastAsia="黑体" w:cs="Times New Roman"/>
          <w:color w:val="auto"/>
          <w:sz w:val="32"/>
          <w:szCs w:val="32"/>
          <w:highlight w:val="none"/>
        </w:rPr>
        <w:t>第二部分</w:t>
      </w:r>
      <w:r>
        <w:rPr>
          <w:rFonts w:hint="default" w:ascii="Times New Roman" w:hAnsi="Times New Roman" w:eastAsia="黑体" w:cs="Times New Roman"/>
          <w:color w:val="auto"/>
          <w:sz w:val="32"/>
          <w:szCs w:val="32"/>
          <w:highlight w:val="none"/>
          <w:lang w:val="en-US" w:eastAsia="zh-CN"/>
        </w:rPr>
        <w:t xml:space="preserve"> 2025年度</w:t>
      </w:r>
      <w:r>
        <w:rPr>
          <w:rFonts w:hint="default" w:ascii="Times New Roman" w:hAnsi="Times New Roman" w:eastAsia="黑体" w:cs="Times New Roman"/>
          <w:color w:val="auto"/>
          <w:sz w:val="32"/>
          <w:szCs w:val="32"/>
          <w:highlight w:val="none"/>
        </w:rPr>
        <w:t>部门决算情况说明</w:t>
      </w:r>
      <w:r>
        <w:rPr>
          <w:rFonts w:hint="default" w:ascii="Times New Roman" w:hAnsi="Times New Roman" w:cs="Times New Roman"/>
          <w:color w:val="auto"/>
          <w:sz w:val="24"/>
          <w:szCs w:val="24"/>
        </w:rPr>
        <w:tab/>
      </w:r>
      <w:r>
        <w:rPr>
          <w:rFonts w:hint="eastAsia" w:ascii="Times New Roman" w:hAnsi="Times New Roman" w:cs="Times New Roman"/>
          <w:color w:val="auto"/>
          <w:sz w:val="24"/>
          <w:szCs w:val="24"/>
          <w:lang w:val="en-US" w:eastAsia="zh-CN"/>
        </w:rPr>
        <w:t>2</w:t>
      </w:r>
    </w:p>
    <w:p w14:paraId="66312B9D">
      <w:pPr>
        <w:pStyle w:val="15"/>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一、收入支出决算总体情况说明</w:t>
      </w:r>
      <w:r>
        <w:rPr>
          <w:rFonts w:hint="default" w:ascii="Times New Roman" w:hAnsi="Times New Roman" w:cs="Times New Roman"/>
          <w:color w:val="auto"/>
          <w:sz w:val="24"/>
          <w:szCs w:val="24"/>
        </w:rPr>
        <w:tab/>
      </w:r>
      <w:r>
        <w:rPr>
          <w:rFonts w:hint="eastAsia" w:ascii="Times New Roman" w:hAnsi="Times New Roman" w:cs="Times New Roman"/>
          <w:color w:val="auto"/>
          <w:sz w:val="24"/>
          <w:szCs w:val="24"/>
          <w:lang w:val="en-US" w:eastAsia="zh-CN"/>
        </w:rPr>
        <w:t>2</w:t>
      </w:r>
    </w:p>
    <w:p w14:paraId="0A1C3369">
      <w:pPr>
        <w:pStyle w:val="15"/>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二、收入决算情况说明</w:t>
      </w:r>
      <w:r>
        <w:rPr>
          <w:rFonts w:hint="default" w:ascii="Times New Roman" w:hAnsi="Times New Roman" w:cs="Times New Roman"/>
          <w:color w:val="auto"/>
          <w:sz w:val="24"/>
          <w:szCs w:val="24"/>
        </w:rPr>
        <w:tab/>
      </w:r>
      <w:r>
        <w:rPr>
          <w:rFonts w:hint="eastAsia" w:ascii="Times New Roman" w:hAnsi="Times New Roman" w:cs="Times New Roman"/>
          <w:color w:val="auto"/>
          <w:sz w:val="24"/>
          <w:szCs w:val="24"/>
          <w:lang w:val="en-US" w:eastAsia="zh-CN"/>
        </w:rPr>
        <w:t>2</w:t>
      </w:r>
    </w:p>
    <w:p w14:paraId="1A8AB048">
      <w:pPr>
        <w:pStyle w:val="15"/>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三、支出决算情况说明</w:t>
      </w:r>
      <w:r>
        <w:rPr>
          <w:rFonts w:hint="default" w:ascii="Times New Roman" w:hAnsi="Times New Roman" w:cs="Times New Roman"/>
          <w:color w:val="auto"/>
          <w:sz w:val="24"/>
          <w:szCs w:val="24"/>
        </w:rPr>
        <w:tab/>
      </w:r>
      <w:r>
        <w:rPr>
          <w:rFonts w:hint="eastAsia" w:ascii="Times New Roman" w:hAnsi="Times New Roman" w:cs="Times New Roman"/>
          <w:color w:val="auto"/>
          <w:sz w:val="24"/>
          <w:szCs w:val="24"/>
          <w:lang w:val="en-US" w:eastAsia="zh-CN"/>
        </w:rPr>
        <w:t>3</w:t>
      </w:r>
    </w:p>
    <w:p w14:paraId="796EA8EB">
      <w:pPr>
        <w:pStyle w:val="15"/>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四、财政拨款收入支出决算总体情况说明</w:t>
      </w:r>
      <w:r>
        <w:rPr>
          <w:rFonts w:hint="default" w:ascii="Times New Roman" w:hAnsi="Times New Roman" w:cs="Times New Roman"/>
          <w:color w:val="auto"/>
          <w:sz w:val="24"/>
          <w:szCs w:val="24"/>
        </w:rPr>
        <w:tab/>
      </w:r>
      <w:r>
        <w:rPr>
          <w:rFonts w:hint="eastAsia" w:ascii="Times New Roman" w:hAnsi="Times New Roman" w:cs="Times New Roman"/>
          <w:color w:val="auto"/>
          <w:sz w:val="24"/>
          <w:szCs w:val="24"/>
          <w:lang w:val="en-US" w:eastAsia="zh-CN"/>
        </w:rPr>
        <w:t>3</w:t>
      </w:r>
    </w:p>
    <w:p w14:paraId="37EBD1E1">
      <w:pPr>
        <w:pStyle w:val="15"/>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五、一般公共预算财政拨款支出决算情况说明</w:t>
      </w:r>
      <w:r>
        <w:rPr>
          <w:rFonts w:hint="default" w:ascii="Times New Roman" w:hAnsi="Times New Roman" w:cs="Times New Roman"/>
          <w:color w:val="auto"/>
          <w:sz w:val="24"/>
          <w:szCs w:val="24"/>
        </w:rPr>
        <w:tab/>
      </w:r>
      <w:r>
        <w:rPr>
          <w:rFonts w:hint="eastAsia" w:ascii="Times New Roman" w:hAnsi="Times New Roman" w:cs="Times New Roman"/>
          <w:color w:val="auto"/>
          <w:sz w:val="24"/>
          <w:szCs w:val="24"/>
          <w:lang w:val="en-US" w:eastAsia="zh-CN"/>
        </w:rPr>
        <w:t>4</w:t>
      </w:r>
    </w:p>
    <w:p w14:paraId="6BD2A835">
      <w:pPr>
        <w:pStyle w:val="15"/>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六、一般公共预算财政拨款基本支出决算情况说明</w:t>
      </w:r>
      <w:r>
        <w:rPr>
          <w:rFonts w:hint="default" w:ascii="Times New Roman" w:hAnsi="Times New Roman" w:cs="Times New Roman"/>
          <w:color w:val="auto"/>
          <w:sz w:val="24"/>
          <w:szCs w:val="24"/>
        </w:rPr>
        <w:tab/>
      </w:r>
      <w:r>
        <w:rPr>
          <w:rFonts w:hint="eastAsia" w:ascii="Times New Roman" w:hAnsi="Times New Roman" w:cs="Times New Roman"/>
          <w:color w:val="auto"/>
          <w:sz w:val="24"/>
          <w:szCs w:val="24"/>
          <w:lang w:val="en-US" w:eastAsia="zh-CN"/>
        </w:rPr>
        <w:t>6</w:t>
      </w:r>
    </w:p>
    <w:p w14:paraId="03A39A5E">
      <w:pPr>
        <w:pStyle w:val="15"/>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七、财政拨款</w:t>
      </w:r>
      <w:r>
        <w:rPr>
          <w:rFonts w:hint="default" w:ascii="Times New Roman" w:hAnsi="Times New Roman" w:eastAsia="仿宋_GB2312" w:cs="Times New Roman"/>
          <w:color w:val="auto"/>
          <w:sz w:val="32"/>
          <w:szCs w:val="32"/>
          <w:highlight w:val="none"/>
          <w:lang w:eastAsia="zh-CN"/>
        </w:rPr>
        <w:t>“</w:t>
      </w:r>
      <w:r>
        <w:rPr>
          <w:rFonts w:hint="default" w:ascii="Times New Roman" w:hAnsi="Times New Roman" w:eastAsia="仿宋_GB2312" w:cs="Times New Roman"/>
          <w:color w:val="auto"/>
          <w:sz w:val="32"/>
          <w:szCs w:val="32"/>
          <w:highlight w:val="none"/>
        </w:rPr>
        <w:t>三公”经费支出决算情况说明</w:t>
      </w:r>
      <w:r>
        <w:rPr>
          <w:rFonts w:hint="default" w:ascii="Times New Roman" w:hAnsi="Times New Roman" w:cs="Times New Roman"/>
          <w:color w:val="auto"/>
          <w:sz w:val="24"/>
          <w:szCs w:val="24"/>
        </w:rPr>
        <w:tab/>
      </w:r>
      <w:r>
        <w:rPr>
          <w:rFonts w:hint="eastAsia" w:ascii="Times New Roman" w:hAnsi="Times New Roman" w:cs="Times New Roman"/>
          <w:color w:val="auto"/>
          <w:sz w:val="24"/>
          <w:szCs w:val="24"/>
          <w:lang w:val="en-US" w:eastAsia="zh-CN"/>
        </w:rPr>
        <w:t>7</w:t>
      </w:r>
    </w:p>
    <w:p w14:paraId="324529A9">
      <w:pPr>
        <w:pStyle w:val="15"/>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八、政府性基金预算支出决算情况说明</w:t>
      </w:r>
      <w:r>
        <w:rPr>
          <w:rFonts w:hint="default" w:ascii="Times New Roman" w:hAnsi="Times New Roman" w:cs="Times New Roman"/>
          <w:color w:val="auto"/>
          <w:sz w:val="24"/>
          <w:szCs w:val="24"/>
        </w:rPr>
        <w:tab/>
      </w:r>
      <w:r>
        <w:rPr>
          <w:rFonts w:hint="eastAsia" w:ascii="Times New Roman" w:hAnsi="Times New Roman" w:cs="Times New Roman"/>
          <w:color w:val="auto"/>
          <w:sz w:val="24"/>
          <w:szCs w:val="24"/>
          <w:lang w:val="en-US" w:eastAsia="zh-CN"/>
        </w:rPr>
        <w:t>9</w:t>
      </w:r>
    </w:p>
    <w:p w14:paraId="30965CD1">
      <w:pPr>
        <w:pStyle w:val="15"/>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九、</w:t>
      </w:r>
      <w:r>
        <w:rPr>
          <w:rFonts w:hint="default" w:ascii="Times New Roman" w:hAnsi="Times New Roman" w:eastAsia="仿宋_GB2312" w:cs="Times New Roman"/>
          <w:color w:val="auto"/>
          <w:sz w:val="32"/>
          <w:szCs w:val="32"/>
          <w:highlight w:val="none"/>
          <w:lang w:eastAsia="zh-CN"/>
        </w:rPr>
        <w:t>国</w:t>
      </w:r>
      <w:r>
        <w:rPr>
          <w:rFonts w:hint="default" w:ascii="Times New Roman" w:hAnsi="Times New Roman" w:eastAsia="仿宋_GB2312" w:cs="Times New Roman"/>
          <w:color w:val="auto"/>
          <w:sz w:val="32"/>
          <w:szCs w:val="32"/>
          <w:highlight w:val="none"/>
        </w:rPr>
        <w:t>有资本经营预算支出决算情况说明</w:t>
      </w:r>
      <w:r>
        <w:rPr>
          <w:rFonts w:hint="default" w:ascii="Times New Roman" w:hAnsi="Times New Roman" w:cs="Times New Roman"/>
          <w:color w:val="auto"/>
          <w:sz w:val="24"/>
          <w:szCs w:val="24"/>
        </w:rPr>
        <w:tab/>
      </w:r>
      <w:r>
        <w:rPr>
          <w:rFonts w:hint="eastAsia" w:ascii="Times New Roman" w:hAnsi="Times New Roman" w:cs="Times New Roman"/>
          <w:color w:val="auto"/>
          <w:sz w:val="24"/>
          <w:szCs w:val="24"/>
          <w:lang w:val="en-US" w:eastAsia="zh-CN"/>
        </w:rPr>
        <w:t>9</w:t>
      </w:r>
    </w:p>
    <w:p w14:paraId="0874A173">
      <w:pPr>
        <w:pStyle w:val="15"/>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default" w:ascii="Times New Roman" w:hAnsi="Times New Roman" w:eastAsia="仿宋_GB2312" w:cs="Times New Roman"/>
          <w:color w:val="auto"/>
          <w:sz w:val="32"/>
          <w:szCs w:val="32"/>
          <w:highlight w:val="none"/>
          <w:lang w:val="en-US"/>
        </w:rPr>
      </w:pPr>
      <w:r>
        <w:rPr>
          <w:rFonts w:hint="default" w:ascii="Times New Roman" w:hAnsi="Times New Roman" w:eastAsia="仿宋_GB2312" w:cs="Times New Roman"/>
          <w:color w:val="auto"/>
          <w:sz w:val="32"/>
          <w:szCs w:val="32"/>
          <w:highlight w:val="none"/>
          <w:lang w:eastAsia="zh-CN"/>
        </w:rPr>
        <w:t>十</w:t>
      </w:r>
      <w:r>
        <w:rPr>
          <w:rFonts w:hint="default" w:ascii="Times New Roman" w:hAnsi="Times New Roman" w:eastAsia="仿宋_GB2312" w:cs="Times New Roman"/>
          <w:color w:val="auto"/>
          <w:sz w:val="32"/>
          <w:szCs w:val="32"/>
          <w:highlight w:val="none"/>
        </w:rPr>
        <w:t>、其他重要事项的情况说明</w:t>
      </w:r>
      <w:r>
        <w:rPr>
          <w:rFonts w:hint="default" w:ascii="Times New Roman" w:hAnsi="Times New Roman" w:cs="Times New Roman"/>
          <w:color w:val="auto"/>
          <w:sz w:val="24"/>
          <w:szCs w:val="24"/>
        </w:rPr>
        <w:tab/>
      </w:r>
      <w:r>
        <w:rPr>
          <w:rFonts w:hint="eastAsia" w:cs="Times New Roman"/>
          <w:color w:val="auto"/>
          <w:sz w:val="24"/>
          <w:szCs w:val="24"/>
          <w:lang w:val="en-US" w:eastAsia="zh-CN"/>
        </w:rPr>
        <w:t>10</w:t>
      </w:r>
    </w:p>
    <w:p w14:paraId="66296172">
      <w:pPr>
        <w:pStyle w:val="13"/>
        <w:keepNext w:val="0"/>
        <w:keepLines w:val="0"/>
        <w:pageBreakBefore w:val="0"/>
        <w:kinsoku/>
        <w:wordWrap/>
        <w:overflowPunct/>
        <w:topLinePunct w:val="0"/>
        <w:autoSpaceDE/>
        <w:autoSpaceDN/>
        <w:bidi w:val="0"/>
        <w:adjustRightInd w:val="0"/>
        <w:snapToGrid w:val="0"/>
        <w:spacing w:before="0" w:line="560" w:lineRule="exact"/>
        <w:jc w:val="left"/>
        <w:textAlignment w:val="auto"/>
        <w:rPr>
          <w:rFonts w:hint="default" w:ascii="Times New Roman" w:hAnsi="Times New Roman" w:eastAsia="黑体" w:cs="Times New Roman"/>
          <w:color w:val="auto"/>
          <w:sz w:val="32"/>
          <w:szCs w:val="32"/>
          <w:highlight w:val="none"/>
          <w:lang w:val="en-US"/>
        </w:rPr>
      </w:pPr>
      <w:r>
        <w:rPr>
          <w:rFonts w:hint="default" w:ascii="Times New Roman" w:hAnsi="Times New Roman" w:eastAsia="黑体" w:cs="Times New Roman"/>
          <w:color w:val="auto"/>
          <w:sz w:val="32"/>
          <w:szCs w:val="32"/>
          <w:highlight w:val="none"/>
        </w:rPr>
        <w:t>第三部分 名词解释</w:t>
      </w:r>
      <w:r>
        <w:rPr>
          <w:rFonts w:hint="default" w:ascii="Times New Roman" w:hAnsi="Times New Roman" w:cs="Times New Roman"/>
          <w:color w:val="auto"/>
          <w:sz w:val="24"/>
          <w:szCs w:val="24"/>
        </w:rPr>
        <w:tab/>
      </w:r>
      <w:r>
        <w:rPr>
          <w:rFonts w:hint="eastAsia" w:ascii="Times New Roman" w:hAnsi="Times New Roman" w:cs="Times New Roman"/>
          <w:color w:val="auto"/>
          <w:sz w:val="24"/>
          <w:szCs w:val="24"/>
          <w:lang w:val="en-US" w:eastAsia="zh-CN"/>
        </w:rPr>
        <w:t>13</w:t>
      </w:r>
    </w:p>
    <w:p w14:paraId="59458036">
      <w:pPr>
        <w:pStyle w:val="13"/>
        <w:keepNext w:val="0"/>
        <w:keepLines w:val="0"/>
        <w:pageBreakBefore w:val="0"/>
        <w:kinsoku/>
        <w:wordWrap/>
        <w:overflowPunct/>
        <w:topLinePunct w:val="0"/>
        <w:autoSpaceDE/>
        <w:autoSpaceDN/>
        <w:bidi w:val="0"/>
        <w:adjustRightInd w:val="0"/>
        <w:snapToGrid w:val="0"/>
        <w:spacing w:before="0" w:line="560" w:lineRule="exact"/>
        <w:jc w:val="left"/>
        <w:textAlignment w:val="auto"/>
        <w:rPr>
          <w:rFonts w:hint="default" w:ascii="Times New Roman" w:hAnsi="Times New Roman" w:eastAsia="黑体" w:cs="Times New Roman"/>
          <w:color w:val="auto"/>
          <w:sz w:val="32"/>
          <w:szCs w:val="32"/>
          <w:highlight w:val="none"/>
          <w:lang w:val="en-US"/>
        </w:rPr>
      </w:pPr>
      <w:r>
        <w:rPr>
          <w:rFonts w:hint="default" w:ascii="Times New Roman" w:hAnsi="Times New Roman" w:eastAsia="黑体" w:cs="Times New Roman"/>
          <w:color w:val="auto"/>
          <w:sz w:val="32"/>
          <w:szCs w:val="32"/>
          <w:highlight w:val="none"/>
        </w:rPr>
        <w:t>第四部分 附件</w:t>
      </w:r>
      <w:r>
        <w:rPr>
          <w:rFonts w:hint="default" w:ascii="Times New Roman" w:hAnsi="Times New Roman" w:cs="Times New Roman"/>
          <w:color w:val="auto"/>
          <w:sz w:val="24"/>
          <w:szCs w:val="24"/>
        </w:rPr>
        <w:tab/>
      </w:r>
      <w:r>
        <w:rPr>
          <w:rFonts w:hint="eastAsia" w:ascii="Times New Roman" w:hAnsi="Times New Roman" w:cs="Times New Roman"/>
          <w:color w:val="auto"/>
          <w:sz w:val="24"/>
          <w:szCs w:val="24"/>
          <w:lang w:val="en-US" w:eastAsia="zh-CN"/>
        </w:rPr>
        <w:t>16</w:t>
      </w:r>
    </w:p>
    <w:p w14:paraId="7A411D2B">
      <w:pPr>
        <w:pStyle w:val="13"/>
        <w:keepNext w:val="0"/>
        <w:keepLines w:val="0"/>
        <w:pageBreakBefore w:val="0"/>
        <w:kinsoku/>
        <w:wordWrap/>
        <w:overflowPunct/>
        <w:topLinePunct w:val="0"/>
        <w:autoSpaceDE/>
        <w:autoSpaceDN/>
        <w:bidi w:val="0"/>
        <w:adjustRightInd w:val="0"/>
        <w:snapToGrid w:val="0"/>
        <w:spacing w:before="0" w:line="560" w:lineRule="exact"/>
        <w:jc w:val="left"/>
        <w:textAlignment w:val="auto"/>
        <w:rPr>
          <w:rFonts w:hint="default" w:ascii="Times New Roman" w:hAnsi="Times New Roman" w:eastAsia="黑体" w:cs="Times New Roman"/>
          <w:color w:val="auto"/>
          <w:sz w:val="32"/>
          <w:szCs w:val="32"/>
          <w:highlight w:val="none"/>
          <w:lang w:val="en-US"/>
        </w:rPr>
      </w:pPr>
      <w:r>
        <w:rPr>
          <w:rFonts w:hint="default" w:ascii="Times New Roman" w:hAnsi="Times New Roman" w:eastAsia="黑体" w:cs="Times New Roman"/>
          <w:color w:val="auto"/>
          <w:sz w:val="32"/>
          <w:szCs w:val="32"/>
          <w:highlight w:val="none"/>
        </w:rPr>
        <w:t>第五部分 附表</w:t>
      </w:r>
      <w:r>
        <w:rPr>
          <w:rFonts w:hint="default" w:ascii="Times New Roman" w:hAnsi="Times New Roman" w:cs="Times New Roman"/>
          <w:color w:val="auto"/>
          <w:sz w:val="24"/>
          <w:szCs w:val="24"/>
        </w:rPr>
        <w:tab/>
      </w:r>
      <w:r>
        <w:rPr>
          <w:rFonts w:hint="default" w:ascii="Times New Roman" w:hAnsi="Times New Roman" w:cs="Times New Roman"/>
          <w:color w:val="auto"/>
          <w:sz w:val="24"/>
          <w:szCs w:val="24"/>
          <w:lang w:val="en-US" w:eastAsia="zh-CN"/>
        </w:rPr>
        <w:t>4</w:t>
      </w:r>
      <w:r>
        <w:rPr>
          <w:rFonts w:hint="eastAsia" w:ascii="Times New Roman" w:hAnsi="Times New Roman" w:cs="Times New Roman"/>
          <w:color w:val="auto"/>
          <w:sz w:val="24"/>
          <w:szCs w:val="24"/>
          <w:lang w:val="en-US" w:eastAsia="zh-CN"/>
        </w:rPr>
        <w:t>0</w:t>
      </w:r>
    </w:p>
    <w:p w14:paraId="4BB40EFA">
      <w:pPr>
        <w:pStyle w:val="15"/>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default" w:ascii="Times New Roman" w:hAnsi="Times New Roman" w:eastAsia="仿宋_GB2312" w:cs="Times New Roman"/>
          <w:color w:val="auto"/>
          <w:sz w:val="32"/>
          <w:szCs w:val="32"/>
          <w:highlight w:val="none"/>
          <w:lang w:val="en-US"/>
        </w:rPr>
      </w:pPr>
      <w:r>
        <w:rPr>
          <w:rFonts w:hint="default" w:ascii="Times New Roman" w:hAnsi="Times New Roman" w:eastAsia="仿宋_GB2312" w:cs="Times New Roman"/>
          <w:color w:val="auto"/>
          <w:sz w:val="32"/>
          <w:szCs w:val="32"/>
          <w:highlight w:val="none"/>
        </w:rPr>
        <w:t>一、收入支出决算总表</w:t>
      </w:r>
      <w:r>
        <w:rPr>
          <w:rFonts w:hint="default" w:ascii="Times New Roman" w:hAnsi="Times New Roman" w:cs="Times New Roman"/>
          <w:color w:val="auto"/>
          <w:sz w:val="24"/>
          <w:szCs w:val="24"/>
        </w:rPr>
        <w:tab/>
      </w:r>
      <w:r>
        <w:rPr>
          <w:rFonts w:hint="default" w:ascii="Times New Roman" w:hAnsi="Times New Roman" w:cs="Times New Roman"/>
          <w:color w:val="auto"/>
          <w:sz w:val="24"/>
          <w:szCs w:val="24"/>
          <w:lang w:val="en-US" w:eastAsia="zh-CN"/>
        </w:rPr>
        <w:t>4</w:t>
      </w:r>
      <w:r>
        <w:rPr>
          <w:rFonts w:hint="eastAsia" w:cs="Times New Roman"/>
          <w:color w:val="auto"/>
          <w:sz w:val="24"/>
          <w:szCs w:val="24"/>
          <w:lang w:val="en-US" w:eastAsia="zh-CN"/>
        </w:rPr>
        <w:t>0</w:t>
      </w:r>
    </w:p>
    <w:p w14:paraId="0AE9A716">
      <w:pPr>
        <w:pStyle w:val="15"/>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default" w:ascii="Times New Roman" w:hAnsi="Times New Roman" w:eastAsia="仿宋_GB2312" w:cs="Times New Roman"/>
          <w:color w:val="auto"/>
          <w:sz w:val="32"/>
          <w:szCs w:val="32"/>
          <w:highlight w:val="none"/>
          <w:lang w:val="en-US"/>
        </w:rPr>
      </w:pPr>
      <w:r>
        <w:rPr>
          <w:rFonts w:hint="default" w:ascii="Times New Roman" w:hAnsi="Times New Roman" w:eastAsia="仿宋_GB2312" w:cs="Times New Roman"/>
          <w:color w:val="auto"/>
          <w:sz w:val="32"/>
          <w:szCs w:val="32"/>
          <w:highlight w:val="none"/>
        </w:rPr>
        <w:t>二、收入决算表</w:t>
      </w:r>
      <w:r>
        <w:rPr>
          <w:rFonts w:hint="default" w:ascii="Times New Roman" w:hAnsi="Times New Roman" w:cs="Times New Roman"/>
          <w:color w:val="auto"/>
          <w:sz w:val="24"/>
          <w:szCs w:val="24"/>
        </w:rPr>
        <w:tab/>
      </w:r>
      <w:r>
        <w:rPr>
          <w:rFonts w:hint="default" w:ascii="Times New Roman" w:hAnsi="Times New Roman" w:cs="Times New Roman"/>
          <w:color w:val="auto"/>
          <w:sz w:val="24"/>
          <w:szCs w:val="24"/>
          <w:lang w:val="en-US" w:eastAsia="zh-CN"/>
        </w:rPr>
        <w:t>4</w:t>
      </w:r>
      <w:r>
        <w:rPr>
          <w:rFonts w:hint="eastAsia" w:cs="Times New Roman"/>
          <w:color w:val="auto"/>
          <w:sz w:val="24"/>
          <w:szCs w:val="24"/>
          <w:lang w:val="en-US" w:eastAsia="zh-CN"/>
        </w:rPr>
        <w:t>0</w:t>
      </w:r>
    </w:p>
    <w:p w14:paraId="4D0E83D8">
      <w:pPr>
        <w:pStyle w:val="15"/>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default" w:ascii="Times New Roman" w:hAnsi="Times New Roman" w:eastAsia="仿宋_GB2312" w:cs="Times New Roman"/>
          <w:color w:val="auto"/>
          <w:sz w:val="32"/>
          <w:szCs w:val="32"/>
          <w:highlight w:val="none"/>
          <w:lang w:val="en-US"/>
        </w:rPr>
      </w:pPr>
      <w:r>
        <w:rPr>
          <w:rFonts w:hint="default" w:ascii="Times New Roman" w:hAnsi="Times New Roman" w:eastAsia="仿宋_GB2312" w:cs="Times New Roman"/>
          <w:color w:val="auto"/>
          <w:sz w:val="32"/>
          <w:szCs w:val="32"/>
          <w:highlight w:val="none"/>
        </w:rPr>
        <w:t>三、支出决算表</w:t>
      </w:r>
      <w:r>
        <w:rPr>
          <w:rFonts w:hint="default" w:ascii="Times New Roman" w:hAnsi="Times New Roman" w:cs="Times New Roman"/>
          <w:color w:val="auto"/>
          <w:sz w:val="24"/>
          <w:szCs w:val="24"/>
        </w:rPr>
        <w:tab/>
      </w:r>
      <w:r>
        <w:rPr>
          <w:rFonts w:hint="default" w:ascii="Times New Roman" w:hAnsi="Times New Roman" w:cs="Times New Roman"/>
          <w:color w:val="auto"/>
          <w:sz w:val="24"/>
          <w:szCs w:val="24"/>
          <w:lang w:val="en-US" w:eastAsia="zh-CN"/>
        </w:rPr>
        <w:t>4</w:t>
      </w:r>
      <w:r>
        <w:rPr>
          <w:rFonts w:hint="eastAsia" w:cs="Times New Roman"/>
          <w:color w:val="auto"/>
          <w:sz w:val="24"/>
          <w:szCs w:val="24"/>
          <w:lang w:val="en-US" w:eastAsia="zh-CN"/>
        </w:rPr>
        <w:t>0</w:t>
      </w:r>
    </w:p>
    <w:p w14:paraId="069B33D4">
      <w:pPr>
        <w:pStyle w:val="15"/>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default" w:ascii="Times New Roman" w:hAnsi="Times New Roman" w:eastAsia="仿宋_GB2312" w:cs="Times New Roman"/>
          <w:color w:val="auto"/>
          <w:sz w:val="32"/>
          <w:szCs w:val="32"/>
          <w:highlight w:val="none"/>
          <w:lang w:val="en-US"/>
        </w:rPr>
      </w:pPr>
      <w:r>
        <w:rPr>
          <w:rFonts w:hint="default" w:ascii="Times New Roman" w:hAnsi="Times New Roman" w:eastAsia="仿宋_GB2312" w:cs="Times New Roman"/>
          <w:color w:val="auto"/>
          <w:sz w:val="32"/>
          <w:szCs w:val="32"/>
          <w:highlight w:val="none"/>
        </w:rPr>
        <w:t>四、财政拨款收入支出决算总表</w:t>
      </w:r>
      <w:r>
        <w:rPr>
          <w:rFonts w:hint="default" w:ascii="Times New Roman" w:hAnsi="Times New Roman" w:cs="Times New Roman"/>
          <w:color w:val="auto"/>
          <w:sz w:val="24"/>
          <w:szCs w:val="24"/>
        </w:rPr>
        <w:tab/>
      </w:r>
      <w:r>
        <w:rPr>
          <w:rFonts w:hint="default" w:ascii="Times New Roman" w:hAnsi="Times New Roman" w:cs="Times New Roman"/>
          <w:color w:val="auto"/>
          <w:sz w:val="24"/>
          <w:szCs w:val="24"/>
          <w:lang w:val="en-US" w:eastAsia="zh-CN"/>
        </w:rPr>
        <w:t>4</w:t>
      </w:r>
      <w:r>
        <w:rPr>
          <w:rFonts w:hint="eastAsia" w:cs="Times New Roman"/>
          <w:color w:val="auto"/>
          <w:sz w:val="24"/>
          <w:szCs w:val="24"/>
          <w:lang w:val="en-US" w:eastAsia="zh-CN"/>
        </w:rPr>
        <w:t>0</w:t>
      </w:r>
    </w:p>
    <w:p w14:paraId="779F568C">
      <w:pPr>
        <w:pStyle w:val="15"/>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default" w:ascii="Times New Roman" w:hAnsi="Times New Roman" w:eastAsia="仿宋_GB2312" w:cs="Times New Roman"/>
          <w:color w:val="auto"/>
          <w:sz w:val="32"/>
          <w:szCs w:val="32"/>
          <w:highlight w:val="none"/>
        </w:rPr>
        <w:sectPr>
          <w:footerReference r:id="rId6" w:type="first"/>
          <w:footerReference r:id="rId5" w:type="default"/>
          <w:pgSz w:w="11906" w:h="16838"/>
          <w:pgMar w:top="1440" w:right="1800" w:bottom="1440" w:left="1800" w:header="851" w:footer="992" w:gutter="0"/>
          <w:pgNumType w:fmt="decimal" w:start="1"/>
          <w:cols w:space="425" w:num="1"/>
          <w:docGrid w:type="lines" w:linePitch="312" w:charSpace="0"/>
        </w:sectPr>
      </w:pPr>
    </w:p>
    <w:p w14:paraId="62052D43">
      <w:pPr>
        <w:pStyle w:val="15"/>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default" w:ascii="Times New Roman" w:hAnsi="Times New Roman" w:eastAsia="仿宋_GB2312" w:cs="Times New Roman"/>
          <w:color w:val="auto"/>
          <w:sz w:val="32"/>
          <w:szCs w:val="32"/>
          <w:highlight w:val="none"/>
          <w:lang w:val="en-US"/>
        </w:rPr>
      </w:pPr>
      <w:r>
        <w:rPr>
          <w:rFonts w:hint="default" w:ascii="Times New Roman" w:hAnsi="Times New Roman" w:eastAsia="仿宋_GB2312" w:cs="Times New Roman"/>
          <w:color w:val="auto"/>
          <w:sz w:val="32"/>
          <w:szCs w:val="32"/>
          <w:highlight w:val="none"/>
        </w:rPr>
        <w:t>五、财政拨款支出决算明细表</w:t>
      </w:r>
      <w:r>
        <w:rPr>
          <w:rFonts w:hint="default" w:ascii="Times New Roman" w:hAnsi="Times New Roman" w:cs="Times New Roman"/>
          <w:color w:val="auto"/>
          <w:sz w:val="24"/>
          <w:szCs w:val="24"/>
        </w:rPr>
        <w:tab/>
      </w:r>
      <w:r>
        <w:rPr>
          <w:rFonts w:hint="default" w:ascii="Times New Roman" w:hAnsi="Times New Roman" w:cs="Times New Roman"/>
          <w:color w:val="auto"/>
          <w:sz w:val="24"/>
          <w:szCs w:val="24"/>
          <w:lang w:val="en-US" w:eastAsia="zh-CN"/>
        </w:rPr>
        <w:t>4</w:t>
      </w:r>
      <w:r>
        <w:rPr>
          <w:rFonts w:hint="eastAsia" w:cs="Times New Roman"/>
          <w:color w:val="auto"/>
          <w:sz w:val="24"/>
          <w:szCs w:val="24"/>
          <w:lang w:val="en-US" w:eastAsia="zh-CN"/>
        </w:rPr>
        <w:t>0</w:t>
      </w:r>
    </w:p>
    <w:p w14:paraId="4EC68422">
      <w:pPr>
        <w:pStyle w:val="15"/>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default" w:ascii="Times New Roman" w:hAnsi="Times New Roman" w:eastAsia="仿宋_GB2312" w:cs="Times New Roman"/>
          <w:color w:val="auto"/>
          <w:sz w:val="32"/>
          <w:szCs w:val="32"/>
          <w:highlight w:val="none"/>
          <w:lang w:val="en-US"/>
        </w:rPr>
      </w:pPr>
      <w:r>
        <w:rPr>
          <w:rFonts w:hint="default" w:ascii="Times New Roman" w:hAnsi="Times New Roman" w:eastAsia="仿宋_GB2312" w:cs="Times New Roman"/>
          <w:color w:val="auto"/>
          <w:sz w:val="32"/>
          <w:szCs w:val="32"/>
          <w:highlight w:val="none"/>
        </w:rPr>
        <w:t>六、一般公共预算财政拨款支出决算表</w:t>
      </w:r>
      <w:r>
        <w:rPr>
          <w:rFonts w:hint="default" w:ascii="Times New Roman" w:hAnsi="Times New Roman" w:cs="Times New Roman"/>
          <w:color w:val="auto"/>
          <w:sz w:val="24"/>
          <w:szCs w:val="24"/>
        </w:rPr>
        <w:tab/>
      </w:r>
      <w:r>
        <w:rPr>
          <w:rFonts w:hint="default" w:ascii="Times New Roman" w:hAnsi="Times New Roman" w:cs="Times New Roman"/>
          <w:color w:val="auto"/>
          <w:sz w:val="24"/>
          <w:szCs w:val="24"/>
          <w:lang w:val="en-US" w:eastAsia="zh-CN"/>
        </w:rPr>
        <w:t>4</w:t>
      </w:r>
      <w:r>
        <w:rPr>
          <w:rFonts w:hint="eastAsia" w:cs="Times New Roman"/>
          <w:color w:val="auto"/>
          <w:sz w:val="24"/>
          <w:szCs w:val="24"/>
          <w:lang w:val="en-US" w:eastAsia="zh-CN"/>
        </w:rPr>
        <w:t>0</w:t>
      </w:r>
    </w:p>
    <w:p w14:paraId="1B3CFF85">
      <w:pPr>
        <w:pStyle w:val="15"/>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default" w:ascii="Times New Roman" w:hAnsi="Times New Roman" w:eastAsia="仿宋_GB2312" w:cs="Times New Roman"/>
          <w:color w:val="auto"/>
          <w:sz w:val="32"/>
          <w:szCs w:val="32"/>
          <w:highlight w:val="none"/>
          <w:lang w:val="en-US"/>
        </w:rPr>
      </w:pPr>
      <w:r>
        <w:rPr>
          <w:rFonts w:hint="default" w:ascii="Times New Roman" w:hAnsi="Times New Roman" w:eastAsia="仿宋_GB2312" w:cs="Times New Roman"/>
          <w:color w:val="auto"/>
          <w:sz w:val="32"/>
          <w:szCs w:val="32"/>
          <w:highlight w:val="none"/>
        </w:rPr>
        <w:t>七、一般公共预算财政拨款支出决算明细表</w:t>
      </w:r>
      <w:r>
        <w:rPr>
          <w:rFonts w:hint="default" w:ascii="Times New Roman" w:hAnsi="Times New Roman" w:cs="Times New Roman"/>
          <w:color w:val="auto"/>
          <w:sz w:val="24"/>
          <w:szCs w:val="24"/>
        </w:rPr>
        <w:tab/>
      </w:r>
      <w:r>
        <w:rPr>
          <w:rFonts w:hint="default" w:ascii="Times New Roman" w:hAnsi="Times New Roman" w:cs="Times New Roman"/>
          <w:color w:val="auto"/>
          <w:sz w:val="24"/>
          <w:szCs w:val="24"/>
          <w:lang w:val="en-US" w:eastAsia="zh-CN"/>
        </w:rPr>
        <w:t>4</w:t>
      </w:r>
      <w:r>
        <w:rPr>
          <w:rFonts w:hint="eastAsia" w:cs="Times New Roman"/>
          <w:color w:val="auto"/>
          <w:sz w:val="24"/>
          <w:szCs w:val="24"/>
          <w:lang w:val="en-US" w:eastAsia="zh-CN"/>
        </w:rPr>
        <w:t>0</w:t>
      </w:r>
    </w:p>
    <w:p w14:paraId="38CDD50C">
      <w:pPr>
        <w:pStyle w:val="15"/>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default" w:ascii="Times New Roman" w:hAnsi="Times New Roman" w:eastAsia="仿宋_GB2312" w:cs="Times New Roman"/>
          <w:color w:val="auto"/>
          <w:sz w:val="32"/>
          <w:szCs w:val="32"/>
          <w:highlight w:val="none"/>
          <w:lang w:val="en-US"/>
        </w:rPr>
      </w:pPr>
      <w:r>
        <w:rPr>
          <w:rFonts w:hint="default" w:ascii="Times New Roman" w:hAnsi="Times New Roman" w:eastAsia="仿宋_GB2312" w:cs="Times New Roman"/>
          <w:color w:val="auto"/>
          <w:sz w:val="32"/>
          <w:szCs w:val="32"/>
          <w:highlight w:val="none"/>
        </w:rPr>
        <w:t>八、一般公共预算财政拨款基本支出决算</w:t>
      </w:r>
      <w:r>
        <w:rPr>
          <w:rFonts w:hint="default" w:ascii="Times New Roman" w:hAnsi="Times New Roman" w:eastAsia="仿宋_GB2312" w:cs="Times New Roman"/>
          <w:color w:val="auto"/>
          <w:sz w:val="32"/>
          <w:szCs w:val="32"/>
          <w:highlight w:val="none"/>
          <w:lang w:eastAsia="zh-CN"/>
        </w:rPr>
        <w:t>明细</w:t>
      </w:r>
      <w:r>
        <w:rPr>
          <w:rFonts w:hint="default" w:ascii="Times New Roman" w:hAnsi="Times New Roman" w:eastAsia="仿宋_GB2312" w:cs="Times New Roman"/>
          <w:color w:val="auto"/>
          <w:sz w:val="32"/>
          <w:szCs w:val="32"/>
          <w:highlight w:val="none"/>
        </w:rPr>
        <w:t>表</w:t>
      </w:r>
      <w:r>
        <w:rPr>
          <w:rFonts w:hint="default" w:ascii="Times New Roman" w:hAnsi="Times New Roman" w:cs="Times New Roman"/>
          <w:color w:val="auto"/>
          <w:sz w:val="24"/>
          <w:szCs w:val="24"/>
        </w:rPr>
        <w:tab/>
      </w:r>
      <w:r>
        <w:rPr>
          <w:rFonts w:hint="default" w:ascii="Times New Roman" w:hAnsi="Times New Roman" w:cs="Times New Roman"/>
          <w:color w:val="auto"/>
          <w:sz w:val="24"/>
          <w:szCs w:val="24"/>
          <w:lang w:val="en-US" w:eastAsia="zh-CN"/>
        </w:rPr>
        <w:t>4</w:t>
      </w:r>
      <w:r>
        <w:rPr>
          <w:rFonts w:hint="eastAsia" w:cs="Times New Roman"/>
          <w:color w:val="auto"/>
          <w:sz w:val="24"/>
          <w:szCs w:val="24"/>
          <w:lang w:val="en-US" w:eastAsia="zh-CN"/>
        </w:rPr>
        <w:t>0</w:t>
      </w:r>
    </w:p>
    <w:p w14:paraId="5A94DB56">
      <w:pPr>
        <w:pStyle w:val="15"/>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default" w:ascii="Times New Roman" w:hAnsi="Times New Roman" w:eastAsia="仿宋_GB2312" w:cs="Times New Roman"/>
          <w:color w:val="auto"/>
          <w:sz w:val="32"/>
          <w:szCs w:val="32"/>
          <w:highlight w:val="none"/>
          <w:lang w:val="en-US"/>
        </w:rPr>
      </w:pPr>
      <w:r>
        <w:rPr>
          <w:rFonts w:hint="default" w:ascii="Times New Roman" w:hAnsi="Times New Roman" w:eastAsia="仿宋_GB2312" w:cs="Times New Roman"/>
          <w:color w:val="auto"/>
          <w:sz w:val="32"/>
          <w:szCs w:val="32"/>
          <w:highlight w:val="none"/>
        </w:rPr>
        <w:t>九、一般公共预算财政拨款项目支出决算表</w:t>
      </w:r>
      <w:r>
        <w:rPr>
          <w:rFonts w:hint="default" w:ascii="Times New Roman" w:hAnsi="Times New Roman" w:cs="Times New Roman"/>
          <w:color w:val="auto"/>
          <w:sz w:val="24"/>
          <w:szCs w:val="24"/>
        </w:rPr>
        <w:tab/>
      </w:r>
      <w:r>
        <w:rPr>
          <w:rFonts w:hint="default" w:ascii="Times New Roman" w:hAnsi="Times New Roman" w:cs="Times New Roman"/>
          <w:color w:val="auto"/>
          <w:sz w:val="24"/>
          <w:szCs w:val="24"/>
          <w:lang w:val="en-US" w:eastAsia="zh-CN"/>
        </w:rPr>
        <w:t>4</w:t>
      </w:r>
      <w:r>
        <w:rPr>
          <w:rFonts w:hint="eastAsia" w:cs="Times New Roman"/>
          <w:color w:val="auto"/>
          <w:sz w:val="24"/>
          <w:szCs w:val="24"/>
          <w:lang w:val="en-US" w:eastAsia="zh-CN"/>
        </w:rPr>
        <w:t>0</w:t>
      </w:r>
    </w:p>
    <w:p w14:paraId="6ED77E19">
      <w:pPr>
        <w:pStyle w:val="15"/>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default" w:ascii="Times New Roman" w:hAnsi="Times New Roman" w:eastAsia="仿宋_GB2312" w:cs="Times New Roman"/>
          <w:color w:val="auto"/>
          <w:sz w:val="32"/>
          <w:szCs w:val="32"/>
          <w:highlight w:val="none"/>
          <w:lang w:val="en-US"/>
        </w:rPr>
      </w:pPr>
      <w:r>
        <w:rPr>
          <w:rFonts w:hint="default" w:ascii="Times New Roman" w:hAnsi="Times New Roman" w:eastAsia="仿宋_GB2312" w:cs="Times New Roman"/>
          <w:color w:val="auto"/>
          <w:sz w:val="32"/>
          <w:szCs w:val="32"/>
          <w:highlight w:val="none"/>
        </w:rPr>
        <w:t>十、政府性基金预算财政拨款收入支出决算表</w:t>
      </w:r>
      <w:r>
        <w:rPr>
          <w:rFonts w:hint="default" w:ascii="Times New Roman" w:hAnsi="Times New Roman" w:cs="Times New Roman"/>
          <w:color w:val="auto"/>
          <w:sz w:val="24"/>
          <w:szCs w:val="24"/>
        </w:rPr>
        <w:tab/>
      </w:r>
      <w:r>
        <w:rPr>
          <w:rFonts w:hint="default" w:ascii="Times New Roman" w:hAnsi="Times New Roman" w:cs="Times New Roman"/>
          <w:color w:val="auto"/>
          <w:sz w:val="24"/>
          <w:szCs w:val="24"/>
          <w:lang w:val="en-US" w:eastAsia="zh-CN"/>
        </w:rPr>
        <w:t>4</w:t>
      </w:r>
      <w:r>
        <w:rPr>
          <w:rFonts w:hint="eastAsia" w:cs="Times New Roman"/>
          <w:color w:val="auto"/>
          <w:sz w:val="24"/>
          <w:szCs w:val="24"/>
          <w:lang w:val="en-US" w:eastAsia="zh-CN"/>
        </w:rPr>
        <w:t>0</w:t>
      </w:r>
    </w:p>
    <w:p w14:paraId="07FE1DCB">
      <w:pPr>
        <w:pStyle w:val="15"/>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default" w:ascii="Times New Roman" w:hAnsi="Times New Roman" w:eastAsia="仿宋_GB2312" w:cs="Times New Roman"/>
          <w:color w:val="auto"/>
          <w:sz w:val="32"/>
          <w:szCs w:val="32"/>
          <w:highlight w:val="none"/>
          <w:lang w:val="en-US"/>
        </w:rPr>
      </w:pPr>
      <w:r>
        <w:rPr>
          <w:rFonts w:hint="default" w:ascii="Times New Roman" w:hAnsi="Times New Roman" w:eastAsia="仿宋_GB2312" w:cs="Times New Roman"/>
          <w:color w:val="auto"/>
          <w:sz w:val="32"/>
          <w:szCs w:val="32"/>
          <w:highlight w:val="none"/>
        </w:rPr>
        <w:t>十一、国有资本经营预算财政拨款收入支出决算表</w:t>
      </w:r>
      <w:r>
        <w:rPr>
          <w:rFonts w:hint="default" w:ascii="Times New Roman" w:hAnsi="Times New Roman" w:cs="Times New Roman"/>
          <w:color w:val="auto"/>
          <w:sz w:val="24"/>
          <w:szCs w:val="24"/>
        </w:rPr>
        <w:tab/>
      </w:r>
      <w:r>
        <w:rPr>
          <w:rFonts w:hint="default" w:ascii="Times New Roman" w:hAnsi="Times New Roman" w:cs="Times New Roman"/>
          <w:color w:val="auto"/>
          <w:sz w:val="24"/>
          <w:szCs w:val="24"/>
          <w:lang w:val="en-US" w:eastAsia="zh-CN"/>
        </w:rPr>
        <w:t>4</w:t>
      </w:r>
      <w:r>
        <w:rPr>
          <w:rFonts w:hint="eastAsia" w:cs="Times New Roman"/>
          <w:color w:val="auto"/>
          <w:sz w:val="24"/>
          <w:szCs w:val="24"/>
          <w:lang w:val="en-US" w:eastAsia="zh-CN"/>
        </w:rPr>
        <w:t>0</w:t>
      </w:r>
    </w:p>
    <w:p w14:paraId="71CDE43C">
      <w:pPr>
        <w:pStyle w:val="15"/>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default" w:ascii="Times New Roman" w:hAnsi="Times New Roman" w:eastAsia="仿宋_GB2312" w:cs="Times New Roman"/>
          <w:color w:val="auto"/>
          <w:sz w:val="32"/>
          <w:szCs w:val="32"/>
          <w:highlight w:val="none"/>
          <w:lang w:val="en-US"/>
        </w:rPr>
      </w:pPr>
      <w:r>
        <w:rPr>
          <w:rFonts w:hint="default" w:ascii="Times New Roman" w:hAnsi="Times New Roman" w:eastAsia="仿宋_GB2312" w:cs="Times New Roman"/>
          <w:color w:val="auto"/>
          <w:sz w:val="32"/>
          <w:szCs w:val="32"/>
          <w:highlight w:val="none"/>
        </w:rPr>
        <w:t>十二、</w:t>
      </w:r>
      <w:r>
        <w:rPr>
          <w:rFonts w:hint="default" w:ascii="Times New Roman" w:hAnsi="Times New Roman" w:eastAsia="仿宋_GB2312" w:cs="Times New Roman"/>
          <w:color w:val="auto"/>
          <w:sz w:val="32"/>
          <w:szCs w:val="32"/>
          <w:highlight w:val="none"/>
          <w:lang w:val="en-US" w:eastAsia="zh-CN"/>
        </w:rPr>
        <w:t>国有资本经营预算财政拨款支出决算表</w:t>
      </w:r>
      <w:r>
        <w:rPr>
          <w:rFonts w:hint="default" w:ascii="Times New Roman" w:hAnsi="Times New Roman" w:cs="Times New Roman"/>
          <w:color w:val="auto"/>
          <w:sz w:val="24"/>
          <w:szCs w:val="24"/>
        </w:rPr>
        <w:tab/>
      </w:r>
      <w:r>
        <w:rPr>
          <w:rFonts w:hint="default" w:ascii="Times New Roman" w:hAnsi="Times New Roman" w:cs="Times New Roman"/>
          <w:color w:val="auto"/>
          <w:sz w:val="24"/>
          <w:szCs w:val="24"/>
          <w:lang w:val="en-US" w:eastAsia="zh-CN"/>
        </w:rPr>
        <w:t>4</w:t>
      </w:r>
      <w:r>
        <w:rPr>
          <w:rFonts w:hint="eastAsia" w:cs="Times New Roman"/>
          <w:color w:val="auto"/>
          <w:sz w:val="24"/>
          <w:szCs w:val="24"/>
          <w:lang w:val="en-US" w:eastAsia="zh-CN"/>
        </w:rPr>
        <w:t>0</w:t>
      </w:r>
    </w:p>
    <w:p w14:paraId="49E95813">
      <w:pPr>
        <w:pStyle w:val="15"/>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default" w:ascii="Times New Roman" w:hAnsi="Times New Roman" w:eastAsia="仿宋_GB2312" w:cs="Times New Roman"/>
          <w:color w:val="auto"/>
          <w:sz w:val="28"/>
          <w:szCs w:val="28"/>
          <w:highlight w:val="none"/>
          <w:lang w:val="en-US"/>
        </w:rPr>
      </w:pPr>
      <w:r>
        <w:rPr>
          <w:rFonts w:hint="default" w:ascii="Times New Roman" w:hAnsi="Times New Roman" w:eastAsia="仿宋_GB2312" w:cs="Times New Roman"/>
          <w:color w:val="auto"/>
          <w:sz w:val="32"/>
          <w:szCs w:val="32"/>
          <w:highlight w:val="none"/>
        </w:rPr>
        <w:t>十三、财政拨款“三公”经费支出决算表</w:t>
      </w:r>
      <w:r>
        <w:rPr>
          <w:rFonts w:hint="default" w:ascii="Times New Roman" w:hAnsi="Times New Roman" w:cs="Times New Roman"/>
          <w:color w:val="auto"/>
          <w:sz w:val="24"/>
          <w:szCs w:val="24"/>
        </w:rPr>
        <w:tab/>
      </w:r>
      <w:r>
        <w:rPr>
          <w:rFonts w:hint="default" w:ascii="Times New Roman" w:hAnsi="Times New Roman" w:cs="Times New Roman"/>
          <w:color w:val="auto"/>
          <w:sz w:val="24"/>
          <w:szCs w:val="24"/>
          <w:lang w:val="en-US" w:eastAsia="zh-CN"/>
        </w:rPr>
        <w:t>4</w:t>
      </w:r>
      <w:r>
        <w:rPr>
          <w:rFonts w:hint="eastAsia" w:cs="Times New Roman"/>
          <w:color w:val="auto"/>
          <w:sz w:val="24"/>
          <w:szCs w:val="24"/>
          <w:lang w:val="en-US" w:eastAsia="zh-CN"/>
        </w:rPr>
        <w:t>0</w:t>
      </w:r>
    </w:p>
    <w:p w14:paraId="167C63D3">
      <w:pPr>
        <w:keepNext w:val="0"/>
        <w:keepLines w:val="0"/>
        <w:pageBreakBefore w:val="0"/>
        <w:widowControl/>
        <w:kinsoku/>
        <w:wordWrap/>
        <w:overflowPunct/>
        <w:topLinePunct w:val="0"/>
        <w:autoSpaceDE/>
        <w:autoSpaceDN/>
        <w:bidi w:val="0"/>
        <w:spacing w:line="560" w:lineRule="exact"/>
        <w:jc w:val="left"/>
        <w:textAlignment w:val="auto"/>
        <w:rPr>
          <w:rFonts w:hint="default" w:ascii="Times New Roman" w:hAnsi="Times New Roman" w:eastAsia="仿宋_GB2312" w:cs="Times New Roman"/>
          <w:bCs/>
          <w:color w:val="auto"/>
          <w:kern w:val="44"/>
          <w:sz w:val="32"/>
          <w:szCs w:val="32"/>
          <w:highlight w:val="none"/>
        </w:rPr>
      </w:pPr>
      <w:bookmarkStart w:id="12" w:name="_Toc15396599"/>
      <w:bookmarkStart w:id="13" w:name="_Toc15377196"/>
    </w:p>
    <w:p w14:paraId="6D4BBCE8">
      <w:pPr>
        <w:keepNext w:val="0"/>
        <w:keepLines w:val="0"/>
        <w:pageBreakBefore w:val="0"/>
        <w:widowControl/>
        <w:kinsoku/>
        <w:wordWrap/>
        <w:overflowPunct/>
        <w:topLinePunct w:val="0"/>
        <w:autoSpaceDE/>
        <w:autoSpaceDN/>
        <w:bidi w:val="0"/>
        <w:spacing w:line="560" w:lineRule="exact"/>
        <w:jc w:val="left"/>
        <w:textAlignment w:val="auto"/>
        <w:rPr>
          <w:rFonts w:hint="default" w:ascii="Times New Roman" w:hAnsi="Times New Roman" w:eastAsia="仿宋_GB2312" w:cs="Times New Roman"/>
          <w:bCs/>
          <w:color w:val="auto"/>
          <w:kern w:val="44"/>
          <w:sz w:val="32"/>
          <w:szCs w:val="32"/>
          <w:highlight w:val="none"/>
        </w:rPr>
      </w:pPr>
    </w:p>
    <w:p w14:paraId="19F35E4C">
      <w:pPr>
        <w:keepNext w:val="0"/>
        <w:keepLines w:val="0"/>
        <w:pageBreakBefore w:val="0"/>
        <w:widowControl/>
        <w:kinsoku/>
        <w:wordWrap/>
        <w:overflowPunct/>
        <w:topLinePunct w:val="0"/>
        <w:autoSpaceDE/>
        <w:autoSpaceDN/>
        <w:bidi w:val="0"/>
        <w:spacing w:line="560" w:lineRule="exact"/>
        <w:jc w:val="left"/>
        <w:textAlignment w:val="auto"/>
        <w:rPr>
          <w:rFonts w:hint="default" w:ascii="Times New Roman" w:hAnsi="Times New Roman" w:eastAsia="仿宋_GB2312" w:cs="Times New Roman"/>
          <w:bCs/>
          <w:color w:val="auto"/>
          <w:kern w:val="44"/>
          <w:sz w:val="32"/>
          <w:szCs w:val="32"/>
          <w:highlight w:val="none"/>
        </w:rPr>
      </w:pPr>
    </w:p>
    <w:p w14:paraId="17F3C764">
      <w:pPr>
        <w:keepNext w:val="0"/>
        <w:keepLines w:val="0"/>
        <w:pageBreakBefore w:val="0"/>
        <w:widowControl/>
        <w:kinsoku/>
        <w:wordWrap/>
        <w:overflowPunct/>
        <w:topLinePunct w:val="0"/>
        <w:autoSpaceDE/>
        <w:autoSpaceDN/>
        <w:bidi w:val="0"/>
        <w:spacing w:line="560" w:lineRule="exact"/>
        <w:jc w:val="left"/>
        <w:textAlignment w:val="auto"/>
        <w:rPr>
          <w:rFonts w:hint="default" w:ascii="Times New Roman" w:hAnsi="Times New Roman" w:eastAsia="仿宋_GB2312" w:cs="Times New Roman"/>
          <w:bCs/>
          <w:color w:val="auto"/>
          <w:kern w:val="44"/>
          <w:sz w:val="32"/>
          <w:szCs w:val="32"/>
          <w:highlight w:val="none"/>
        </w:rPr>
      </w:pPr>
    </w:p>
    <w:p w14:paraId="37D24A5B">
      <w:pPr>
        <w:keepNext w:val="0"/>
        <w:keepLines w:val="0"/>
        <w:pageBreakBefore w:val="0"/>
        <w:widowControl/>
        <w:kinsoku/>
        <w:wordWrap/>
        <w:overflowPunct/>
        <w:topLinePunct w:val="0"/>
        <w:autoSpaceDE/>
        <w:autoSpaceDN/>
        <w:bidi w:val="0"/>
        <w:spacing w:line="560" w:lineRule="exact"/>
        <w:jc w:val="left"/>
        <w:textAlignment w:val="auto"/>
        <w:rPr>
          <w:rFonts w:hint="default" w:ascii="Times New Roman" w:hAnsi="Times New Roman" w:eastAsia="仿宋_GB2312" w:cs="Times New Roman"/>
          <w:bCs/>
          <w:color w:val="auto"/>
          <w:kern w:val="44"/>
          <w:sz w:val="32"/>
          <w:szCs w:val="32"/>
          <w:highlight w:val="none"/>
        </w:rPr>
      </w:pPr>
    </w:p>
    <w:p w14:paraId="4A98E632">
      <w:pPr>
        <w:keepNext w:val="0"/>
        <w:keepLines w:val="0"/>
        <w:pageBreakBefore w:val="0"/>
        <w:widowControl/>
        <w:kinsoku/>
        <w:wordWrap/>
        <w:overflowPunct/>
        <w:topLinePunct w:val="0"/>
        <w:autoSpaceDE/>
        <w:autoSpaceDN/>
        <w:bidi w:val="0"/>
        <w:spacing w:line="560" w:lineRule="exact"/>
        <w:jc w:val="left"/>
        <w:textAlignment w:val="auto"/>
        <w:rPr>
          <w:rFonts w:hint="default" w:ascii="Times New Roman" w:hAnsi="Times New Roman" w:eastAsia="仿宋_GB2312" w:cs="Times New Roman"/>
          <w:bCs/>
          <w:color w:val="auto"/>
          <w:kern w:val="44"/>
          <w:sz w:val="32"/>
          <w:szCs w:val="32"/>
          <w:highlight w:val="none"/>
        </w:rPr>
      </w:pPr>
    </w:p>
    <w:p w14:paraId="13ED1C6F">
      <w:pPr>
        <w:keepNext w:val="0"/>
        <w:keepLines w:val="0"/>
        <w:pageBreakBefore w:val="0"/>
        <w:widowControl/>
        <w:kinsoku/>
        <w:wordWrap/>
        <w:overflowPunct/>
        <w:topLinePunct w:val="0"/>
        <w:autoSpaceDE/>
        <w:autoSpaceDN/>
        <w:bidi w:val="0"/>
        <w:spacing w:line="560" w:lineRule="exact"/>
        <w:jc w:val="left"/>
        <w:textAlignment w:val="auto"/>
        <w:rPr>
          <w:rFonts w:hint="default" w:ascii="Times New Roman" w:hAnsi="Times New Roman" w:eastAsia="仿宋_GB2312" w:cs="Times New Roman"/>
          <w:bCs/>
          <w:color w:val="auto"/>
          <w:kern w:val="44"/>
          <w:sz w:val="32"/>
          <w:szCs w:val="32"/>
          <w:highlight w:val="none"/>
        </w:rPr>
      </w:pPr>
    </w:p>
    <w:p w14:paraId="097CDDB7">
      <w:pPr>
        <w:keepNext w:val="0"/>
        <w:keepLines w:val="0"/>
        <w:pageBreakBefore w:val="0"/>
        <w:widowControl/>
        <w:kinsoku/>
        <w:wordWrap/>
        <w:overflowPunct/>
        <w:topLinePunct w:val="0"/>
        <w:autoSpaceDE/>
        <w:autoSpaceDN/>
        <w:bidi w:val="0"/>
        <w:spacing w:line="560" w:lineRule="exact"/>
        <w:jc w:val="left"/>
        <w:textAlignment w:val="auto"/>
        <w:rPr>
          <w:rFonts w:hint="default" w:ascii="Times New Roman" w:hAnsi="Times New Roman" w:eastAsia="仿宋_GB2312" w:cs="Times New Roman"/>
          <w:bCs/>
          <w:color w:val="auto"/>
          <w:kern w:val="44"/>
          <w:sz w:val="32"/>
          <w:szCs w:val="32"/>
          <w:highlight w:val="none"/>
        </w:rPr>
      </w:pPr>
    </w:p>
    <w:p w14:paraId="16C7022B">
      <w:pPr>
        <w:keepNext w:val="0"/>
        <w:keepLines w:val="0"/>
        <w:pageBreakBefore w:val="0"/>
        <w:widowControl/>
        <w:kinsoku/>
        <w:wordWrap/>
        <w:overflowPunct/>
        <w:topLinePunct w:val="0"/>
        <w:autoSpaceDE/>
        <w:autoSpaceDN/>
        <w:bidi w:val="0"/>
        <w:spacing w:line="560" w:lineRule="exact"/>
        <w:jc w:val="left"/>
        <w:textAlignment w:val="auto"/>
        <w:rPr>
          <w:rFonts w:hint="default" w:ascii="Times New Roman" w:hAnsi="Times New Roman" w:eastAsia="仿宋_GB2312" w:cs="Times New Roman"/>
          <w:bCs/>
          <w:color w:val="auto"/>
          <w:kern w:val="44"/>
          <w:sz w:val="32"/>
          <w:szCs w:val="32"/>
          <w:highlight w:val="none"/>
        </w:rPr>
      </w:pPr>
    </w:p>
    <w:p w14:paraId="56C84EBF">
      <w:pPr>
        <w:keepNext w:val="0"/>
        <w:keepLines w:val="0"/>
        <w:pageBreakBefore w:val="0"/>
        <w:widowControl/>
        <w:kinsoku/>
        <w:wordWrap/>
        <w:overflowPunct/>
        <w:topLinePunct w:val="0"/>
        <w:autoSpaceDE/>
        <w:autoSpaceDN/>
        <w:bidi w:val="0"/>
        <w:spacing w:line="560" w:lineRule="exact"/>
        <w:jc w:val="left"/>
        <w:textAlignment w:val="auto"/>
        <w:rPr>
          <w:rFonts w:hint="default" w:ascii="Times New Roman" w:hAnsi="Times New Roman" w:eastAsia="仿宋_GB2312" w:cs="Times New Roman"/>
          <w:bCs/>
          <w:color w:val="auto"/>
          <w:kern w:val="44"/>
          <w:sz w:val="32"/>
          <w:szCs w:val="32"/>
          <w:highlight w:val="none"/>
        </w:rPr>
      </w:pPr>
    </w:p>
    <w:p w14:paraId="7B8832BC">
      <w:pPr>
        <w:keepNext w:val="0"/>
        <w:keepLines w:val="0"/>
        <w:pageBreakBefore w:val="0"/>
        <w:widowControl/>
        <w:kinsoku/>
        <w:wordWrap/>
        <w:overflowPunct/>
        <w:topLinePunct w:val="0"/>
        <w:autoSpaceDE/>
        <w:autoSpaceDN/>
        <w:bidi w:val="0"/>
        <w:spacing w:line="560" w:lineRule="exact"/>
        <w:jc w:val="left"/>
        <w:textAlignment w:val="auto"/>
        <w:rPr>
          <w:rFonts w:hint="default" w:ascii="Times New Roman" w:hAnsi="Times New Roman" w:eastAsia="仿宋_GB2312" w:cs="Times New Roman"/>
          <w:bCs/>
          <w:color w:val="auto"/>
          <w:kern w:val="44"/>
          <w:sz w:val="32"/>
          <w:szCs w:val="32"/>
          <w:highlight w:val="none"/>
        </w:rPr>
      </w:pPr>
    </w:p>
    <w:p w14:paraId="56DE3580">
      <w:pPr>
        <w:keepNext w:val="0"/>
        <w:keepLines w:val="0"/>
        <w:pageBreakBefore w:val="0"/>
        <w:widowControl/>
        <w:kinsoku/>
        <w:wordWrap/>
        <w:overflowPunct/>
        <w:topLinePunct w:val="0"/>
        <w:autoSpaceDE/>
        <w:autoSpaceDN/>
        <w:bidi w:val="0"/>
        <w:spacing w:line="560" w:lineRule="exact"/>
        <w:jc w:val="left"/>
        <w:textAlignment w:val="auto"/>
        <w:rPr>
          <w:rFonts w:hint="default" w:ascii="Times New Roman" w:hAnsi="Times New Roman" w:eastAsia="仿宋_GB2312" w:cs="Times New Roman"/>
          <w:bCs/>
          <w:color w:val="auto"/>
          <w:kern w:val="44"/>
          <w:sz w:val="32"/>
          <w:szCs w:val="32"/>
          <w:highlight w:val="none"/>
        </w:rPr>
      </w:pPr>
    </w:p>
    <w:p w14:paraId="24F7BA60">
      <w:pPr>
        <w:keepNext w:val="0"/>
        <w:keepLines w:val="0"/>
        <w:pageBreakBefore w:val="0"/>
        <w:widowControl/>
        <w:kinsoku/>
        <w:wordWrap/>
        <w:overflowPunct/>
        <w:topLinePunct w:val="0"/>
        <w:autoSpaceDE/>
        <w:autoSpaceDN/>
        <w:bidi w:val="0"/>
        <w:spacing w:line="560" w:lineRule="exact"/>
        <w:jc w:val="left"/>
        <w:textAlignment w:val="auto"/>
        <w:rPr>
          <w:rFonts w:hint="default" w:ascii="Times New Roman" w:hAnsi="Times New Roman" w:eastAsia="仿宋_GB2312" w:cs="Times New Roman"/>
          <w:bCs/>
          <w:color w:val="auto"/>
          <w:kern w:val="44"/>
          <w:sz w:val="32"/>
          <w:szCs w:val="32"/>
          <w:highlight w:val="none"/>
        </w:rPr>
      </w:pPr>
    </w:p>
    <w:p w14:paraId="29C406D8">
      <w:pPr>
        <w:keepNext w:val="0"/>
        <w:keepLines w:val="0"/>
        <w:pageBreakBefore w:val="0"/>
        <w:widowControl/>
        <w:kinsoku/>
        <w:wordWrap/>
        <w:overflowPunct/>
        <w:topLinePunct w:val="0"/>
        <w:autoSpaceDE/>
        <w:autoSpaceDN/>
        <w:bidi w:val="0"/>
        <w:spacing w:line="560" w:lineRule="exact"/>
        <w:jc w:val="left"/>
        <w:textAlignment w:val="auto"/>
        <w:rPr>
          <w:rFonts w:hint="default" w:ascii="Times New Roman" w:hAnsi="Times New Roman" w:eastAsia="仿宋_GB2312" w:cs="Times New Roman"/>
          <w:bCs/>
          <w:color w:val="auto"/>
          <w:kern w:val="44"/>
          <w:sz w:val="32"/>
          <w:szCs w:val="32"/>
          <w:highlight w:val="none"/>
        </w:rPr>
      </w:pPr>
    </w:p>
    <w:p w14:paraId="23EB75BA">
      <w:pPr>
        <w:pStyle w:val="2"/>
        <w:jc w:val="center"/>
        <w:rPr>
          <w:rFonts w:hint="default" w:ascii="Times New Roman" w:hAnsi="Times New Roman" w:eastAsia="方正小标宋简体" w:cs="Times New Roman"/>
          <w:b w:val="0"/>
          <w:color w:val="auto"/>
          <w:highlight w:val="none"/>
        </w:rPr>
        <w:sectPr>
          <w:footerReference r:id="rId7" w:type="default"/>
          <w:pgSz w:w="11906" w:h="16838"/>
          <w:pgMar w:top="1440" w:right="1800" w:bottom="1440" w:left="1800" w:header="851" w:footer="992" w:gutter="0"/>
          <w:pgNumType w:fmt="decimal" w:start="1"/>
          <w:cols w:space="425" w:num="1"/>
          <w:docGrid w:type="lines" w:linePitch="312" w:charSpace="0"/>
        </w:sectPr>
      </w:pPr>
    </w:p>
    <w:p w14:paraId="1CF5A1E8">
      <w:pPr>
        <w:pStyle w:val="2"/>
        <w:jc w:val="center"/>
        <w:rPr>
          <w:rStyle w:val="31"/>
          <w:rFonts w:hint="default" w:ascii="Times New Roman" w:hAnsi="Times New Roman" w:eastAsia="方正小标宋简体" w:cs="Times New Roman"/>
          <w:b/>
          <w:bCs w:val="0"/>
          <w:color w:val="auto"/>
          <w:highlight w:val="none"/>
        </w:rPr>
      </w:pPr>
      <w:r>
        <w:rPr>
          <w:rFonts w:hint="default" w:ascii="Times New Roman" w:hAnsi="Times New Roman" w:eastAsia="方正小标宋简体" w:cs="Times New Roman"/>
          <w:b w:val="0"/>
          <w:color w:val="auto"/>
          <w:highlight w:val="none"/>
        </w:rPr>
        <w:t>第一部分</w:t>
      </w:r>
      <w:r>
        <w:rPr>
          <w:rFonts w:hint="default" w:ascii="Times New Roman" w:hAnsi="Times New Roman" w:eastAsia="方正小标宋简体" w:cs="Times New Roman"/>
          <w:b w:val="0"/>
          <w:color w:val="auto"/>
          <w:highlight w:val="none"/>
          <w:lang w:val="en-US" w:eastAsia="zh-CN"/>
        </w:rPr>
        <w:t xml:space="preserve"> </w:t>
      </w:r>
      <w:r>
        <w:rPr>
          <w:rFonts w:hint="default" w:ascii="Times New Roman" w:hAnsi="Times New Roman" w:eastAsia="方正小标宋简体" w:cs="Times New Roman"/>
          <w:b w:val="0"/>
          <w:color w:val="auto"/>
          <w:highlight w:val="none"/>
        </w:rPr>
        <w:t xml:space="preserve"> </w:t>
      </w:r>
      <w:r>
        <w:rPr>
          <w:rStyle w:val="31"/>
          <w:rFonts w:hint="default" w:ascii="Times New Roman" w:hAnsi="Times New Roman" w:eastAsia="方正小标宋简体" w:cs="Times New Roman"/>
          <w:b w:val="0"/>
          <w:bCs w:val="0"/>
          <w:color w:val="auto"/>
          <w:highlight w:val="none"/>
        </w:rPr>
        <w:t>部门概况</w:t>
      </w:r>
      <w:bookmarkEnd w:id="12"/>
      <w:bookmarkEnd w:id="13"/>
    </w:p>
    <w:p w14:paraId="24C043D1">
      <w:pPr>
        <w:pStyle w:val="3"/>
        <w:pageBreakBefore w:val="0"/>
        <w:numPr>
          <w:ilvl w:val="0"/>
          <w:numId w:val="0"/>
        </w:numPr>
        <w:kinsoku/>
        <w:wordWrap/>
        <w:overflowPunct/>
        <w:topLinePunct w:val="0"/>
        <w:autoSpaceDE/>
        <w:autoSpaceDN/>
        <w:bidi w:val="0"/>
        <w:adjustRightInd/>
        <w:snapToGrid/>
        <w:spacing w:before="0" w:after="0" w:line="360" w:lineRule="auto"/>
        <w:ind w:firstLine="640" w:firstLineChars="200"/>
        <w:textAlignment w:val="auto"/>
        <w:rPr>
          <w:rFonts w:hint="default" w:ascii="Times New Roman" w:hAnsi="Times New Roman" w:eastAsia="黑体" w:cs="Times New Roman"/>
          <w:b w:val="0"/>
          <w:color w:val="auto"/>
          <w:highlight w:val="none"/>
          <w:lang w:eastAsia="zh-CN"/>
        </w:rPr>
      </w:pPr>
      <w:r>
        <w:rPr>
          <w:rFonts w:hint="default" w:ascii="Times New Roman" w:hAnsi="Times New Roman" w:eastAsia="黑体" w:cs="Times New Roman"/>
          <w:b w:val="0"/>
          <w:color w:val="auto"/>
          <w:highlight w:val="none"/>
          <w:lang w:val="en-US" w:eastAsia="zh-CN"/>
        </w:rPr>
        <w:t>一、</w:t>
      </w:r>
      <w:r>
        <w:rPr>
          <w:rFonts w:hint="default" w:ascii="Times New Roman" w:hAnsi="Times New Roman" w:eastAsia="黑体" w:cs="Times New Roman"/>
          <w:b w:val="0"/>
          <w:color w:val="auto"/>
          <w:highlight w:val="none"/>
          <w:lang w:eastAsia="zh-CN"/>
        </w:rPr>
        <w:t>部门职责</w:t>
      </w:r>
    </w:p>
    <w:p w14:paraId="70188DDC">
      <w:pPr>
        <w:pageBreakBefore w:val="0"/>
        <w:kinsoku/>
        <w:wordWrap/>
        <w:overflowPunct/>
        <w:topLinePunct w:val="0"/>
        <w:autoSpaceDE/>
        <w:autoSpaceDN/>
        <w:bidi w:val="0"/>
        <w:adjustRightInd/>
        <w:snapToGrid/>
        <w:spacing w:line="360" w:lineRule="auto"/>
        <w:ind w:firstLine="640" w:firstLineChars="200"/>
        <w:jc w:val="both"/>
        <w:textAlignment w:val="auto"/>
        <w:rPr>
          <w:rFonts w:hint="default" w:ascii="Times New Roman" w:hAnsi="Times New Roman" w:eastAsia="仿宋_GB2312" w:cs="Times New Roman"/>
          <w:kern w:val="0"/>
          <w:sz w:val="32"/>
          <w:szCs w:val="32"/>
          <w:lang w:eastAsia="zh-CN"/>
        </w:rPr>
      </w:pPr>
      <w:r>
        <w:rPr>
          <w:rFonts w:hint="default" w:ascii="Times New Roman" w:hAnsi="Times New Roman" w:eastAsia="仿宋_GB2312" w:cs="Times New Roman"/>
          <w:color w:val="auto"/>
          <w:sz w:val="32"/>
          <w:szCs w:val="32"/>
          <w:lang w:eastAsia="zh-CN"/>
        </w:rPr>
        <w:t>四川省攀枝花市社会保险事务中心</w:t>
      </w:r>
      <w:r>
        <w:rPr>
          <w:rFonts w:hint="default" w:ascii="Times New Roman" w:hAnsi="Times New Roman" w:eastAsia="仿宋_GB2312" w:cs="Times New Roman"/>
          <w:kern w:val="0"/>
          <w:sz w:val="32"/>
          <w:szCs w:val="32"/>
          <w:lang w:eastAsia="zh-CN"/>
        </w:rPr>
        <w:t>承担城镇企业职工、灵活就业人员、机关事业单位职工养老保险以及工伤保险参保登记、申报工作；</w:t>
      </w:r>
      <w:r>
        <w:rPr>
          <w:rFonts w:hint="default" w:ascii="Times New Roman" w:hAnsi="Times New Roman" w:eastAsia="仿宋_GB2312" w:cs="Times New Roman"/>
          <w:kern w:val="0"/>
          <w:sz w:val="32"/>
          <w:szCs w:val="32"/>
          <w:lang w:val="en-US" w:eastAsia="zh-CN"/>
        </w:rPr>
        <w:t>负责</w:t>
      </w:r>
      <w:r>
        <w:rPr>
          <w:rFonts w:hint="default" w:ascii="Times New Roman" w:hAnsi="Times New Roman" w:eastAsia="仿宋_GB2312" w:cs="Times New Roman"/>
          <w:kern w:val="0"/>
          <w:sz w:val="32"/>
          <w:szCs w:val="32"/>
          <w:lang w:eastAsia="zh-CN"/>
        </w:rPr>
        <w:t>个人权益记录、核定并按时支付各类人员养老保险及工伤保险待遇；负责城镇各类用人单位职工基本养老、工伤的稽核及待遇支付等工作；负责组织实施全市征地农转非人员社会保障工作；承担工伤保险经办及劳动能力鉴定服务工作；指导各县（区）社保经办机构开展相关工作。</w:t>
      </w:r>
    </w:p>
    <w:p w14:paraId="61D62118">
      <w:pPr>
        <w:pStyle w:val="3"/>
        <w:pageBreakBefore w:val="0"/>
        <w:kinsoku/>
        <w:wordWrap/>
        <w:overflowPunct/>
        <w:topLinePunct w:val="0"/>
        <w:autoSpaceDE/>
        <w:autoSpaceDN/>
        <w:bidi w:val="0"/>
        <w:adjustRightInd/>
        <w:snapToGrid/>
        <w:spacing w:before="0" w:after="0" w:line="360" w:lineRule="auto"/>
        <w:ind w:firstLine="640" w:firstLineChars="200"/>
        <w:textAlignment w:val="auto"/>
        <w:rPr>
          <w:rStyle w:val="32"/>
          <w:rFonts w:hint="default" w:ascii="Times New Roman" w:hAnsi="Times New Roman" w:cs="Times New Roman"/>
          <w:b w:val="0"/>
          <w:bCs w:val="0"/>
          <w:color w:val="auto"/>
          <w:highlight w:val="none"/>
        </w:rPr>
      </w:pPr>
      <w:bookmarkStart w:id="14" w:name="_Toc15396601"/>
      <w:bookmarkStart w:id="15" w:name="_Toc15377200"/>
      <w:r>
        <w:rPr>
          <w:rFonts w:hint="default" w:ascii="Times New Roman" w:hAnsi="Times New Roman" w:eastAsia="黑体" w:cs="Times New Roman"/>
          <w:b w:val="0"/>
          <w:color w:val="auto"/>
          <w:highlight w:val="none"/>
        </w:rPr>
        <w:t>二、机</w:t>
      </w:r>
      <w:r>
        <w:rPr>
          <w:rStyle w:val="32"/>
          <w:rFonts w:hint="default" w:ascii="Times New Roman" w:hAnsi="Times New Roman" w:eastAsia="黑体" w:cs="Times New Roman"/>
          <w:b w:val="0"/>
          <w:bCs w:val="0"/>
          <w:color w:val="auto"/>
          <w:highlight w:val="none"/>
        </w:rPr>
        <w:t>构设置</w:t>
      </w:r>
      <w:bookmarkEnd w:id="14"/>
      <w:bookmarkEnd w:id="15"/>
    </w:p>
    <w:p w14:paraId="23F3570F">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before="0" w:beforeAutospacing="0" w:after="0" w:afterAutospacing="0" w:line="360" w:lineRule="auto"/>
        <w:ind w:left="0" w:leftChars="0" w:right="0" w:rightChars="0" w:firstLine="640" w:firstLineChars="200"/>
        <w:jc w:val="both"/>
        <w:textAlignment w:val="auto"/>
        <w:rPr>
          <w:rFonts w:hint="default" w:ascii="Times New Roman" w:hAnsi="Times New Roman" w:eastAsia="仿宋_GB2312" w:cs="Times New Roman"/>
          <w:i w:val="0"/>
          <w:caps w:val="0"/>
          <w:color w:val="auto"/>
          <w:spacing w:val="0"/>
          <w:kern w:val="2"/>
          <w:sz w:val="32"/>
          <w:szCs w:val="32"/>
          <w:highlight w:val="none"/>
          <w:shd w:val="clear" w:color="auto" w:fill="auto"/>
          <w:lang w:val="en-US" w:eastAsia="zh-CN" w:bidi="ar-SA"/>
        </w:rPr>
      </w:pPr>
      <w:r>
        <w:rPr>
          <w:rFonts w:hint="default" w:ascii="Times New Roman" w:hAnsi="Times New Roman" w:eastAsia="仿宋_GB2312" w:cs="Times New Roman"/>
          <w:color w:val="auto"/>
          <w:sz w:val="32"/>
          <w:szCs w:val="32"/>
          <w:highlight w:val="none"/>
        </w:rPr>
        <w:t>四川省攀枝花市社会保险事务中心</w:t>
      </w:r>
      <w:r>
        <w:rPr>
          <w:rFonts w:hint="default" w:ascii="Times New Roman" w:hAnsi="Times New Roman" w:eastAsia="仿宋_GB2312" w:cs="Times New Roman"/>
          <w:sz w:val="32"/>
          <w:szCs w:val="32"/>
        </w:rPr>
        <w:t>为</w:t>
      </w:r>
      <w:r>
        <w:rPr>
          <w:rFonts w:hint="default" w:ascii="Times New Roman" w:hAnsi="Times New Roman" w:eastAsia="仿宋_GB2312" w:cs="Times New Roman"/>
          <w:color w:val="auto"/>
          <w:sz w:val="32"/>
          <w:szCs w:val="32"/>
        </w:rPr>
        <w:t>《</w:t>
      </w:r>
      <w:r>
        <w:rPr>
          <w:rFonts w:hint="eastAsia" w:eastAsia="仿宋_GB2312" w:cs="Times New Roman"/>
          <w:color w:val="auto"/>
          <w:sz w:val="32"/>
          <w:szCs w:val="32"/>
          <w:lang w:val="en-US" w:eastAsia="zh-CN"/>
        </w:rPr>
        <w:t>四川</w:t>
      </w:r>
      <w:r>
        <w:rPr>
          <w:rFonts w:hint="default" w:ascii="Times New Roman" w:hAnsi="Times New Roman" w:eastAsia="仿宋_GB2312" w:cs="Times New Roman"/>
          <w:color w:val="auto"/>
          <w:sz w:val="32"/>
          <w:szCs w:val="32"/>
        </w:rPr>
        <w:t>省人事厅</w:t>
      </w:r>
      <w:r>
        <w:rPr>
          <w:rFonts w:hint="default" w:ascii="Times New Roman" w:hAnsi="Times New Roman" w:eastAsia="仿宋_GB2312" w:cs="Times New Roman"/>
          <w:sz w:val="32"/>
          <w:szCs w:val="32"/>
        </w:rPr>
        <w:t>关于批准攀枝花市机关事务管理局等39个市属事业单位参照公务员法管理的函》（川人函〔2009〕68号）批准的参照公务员法管理事业单位</w:t>
      </w:r>
      <w:r>
        <w:rPr>
          <w:rFonts w:hint="default" w:ascii="Times New Roman" w:hAnsi="Times New Roman" w:eastAsia="仿宋_GB2312" w:cs="Times New Roman"/>
          <w:sz w:val="32"/>
          <w:szCs w:val="32"/>
          <w:lang w:eastAsia="zh-CN"/>
        </w:rPr>
        <w:t>。</w:t>
      </w:r>
    </w:p>
    <w:p w14:paraId="008134D2">
      <w:pPr>
        <w:widowControl/>
        <w:jc w:val="left"/>
        <w:rPr>
          <w:rFonts w:hint="default" w:ascii="Times New Roman" w:hAnsi="Times New Roman" w:eastAsia="仿宋" w:cs="Times New Roman"/>
          <w:color w:val="auto"/>
          <w:kern w:val="0"/>
          <w:sz w:val="32"/>
          <w:szCs w:val="32"/>
          <w:highlight w:val="none"/>
        </w:rPr>
      </w:pPr>
      <w:r>
        <w:rPr>
          <w:rFonts w:hint="default" w:ascii="Times New Roman" w:hAnsi="Times New Roman" w:eastAsia="仿宋" w:cs="Times New Roman"/>
          <w:color w:val="auto"/>
          <w:sz w:val="32"/>
          <w:szCs w:val="32"/>
          <w:highlight w:val="none"/>
        </w:rPr>
        <w:br w:type="page"/>
      </w:r>
    </w:p>
    <w:p w14:paraId="788B4BE8">
      <w:pPr>
        <w:pStyle w:val="2"/>
        <w:jc w:val="center"/>
        <w:rPr>
          <w:rFonts w:hint="default" w:ascii="Times New Roman" w:hAnsi="Times New Roman" w:eastAsia="方正小标宋简体" w:cs="Times New Roman"/>
          <w:b w:val="0"/>
          <w:color w:val="auto"/>
          <w:highlight w:val="none"/>
        </w:rPr>
      </w:pPr>
      <w:bookmarkStart w:id="16" w:name="_Toc15396602"/>
      <w:bookmarkStart w:id="17" w:name="_Toc15377204"/>
      <w:r>
        <w:rPr>
          <w:rFonts w:hint="default" w:ascii="Times New Roman" w:hAnsi="Times New Roman" w:eastAsia="方正小标宋简体" w:cs="Times New Roman"/>
          <w:b w:val="0"/>
          <w:color w:val="auto"/>
          <w:highlight w:val="none"/>
        </w:rPr>
        <w:t>第二部分</w:t>
      </w:r>
      <w:r>
        <w:rPr>
          <w:rFonts w:hint="default" w:ascii="Times New Roman" w:hAnsi="Times New Roman" w:eastAsia="方正小标宋简体" w:cs="Times New Roman"/>
          <w:b w:val="0"/>
          <w:color w:val="auto"/>
          <w:highlight w:val="none"/>
          <w:lang w:val="en-US" w:eastAsia="zh-CN"/>
        </w:rPr>
        <w:t xml:space="preserve"> </w:t>
      </w:r>
      <w:r>
        <w:rPr>
          <w:rFonts w:hint="default" w:ascii="Times New Roman" w:hAnsi="Times New Roman" w:eastAsia="方正小标宋简体" w:cs="Times New Roman"/>
          <w:b w:val="0"/>
          <w:color w:val="auto"/>
          <w:highlight w:val="none"/>
        </w:rPr>
        <w:t xml:space="preserve"> </w:t>
      </w:r>
      <w:r>
        <w:rPr>
          <w:rFonts w:hint="default" w:ascii="Times New Roman" w:hAnsi="Times New Roman" w:eastAsia="方正小标宋简体" w:cs="Times New Roman"/>
          <w:b w:val="0"/>
          <w:color w:val="auto"/>
          <w:highlight w:val="none"/>
          <w:lang w:val="en-US" w:eastAsia="zh-CN"/>
        </w:rPr>
        <w:t>2025年度</w:t>
      </w:r>
      <w:r>
        <w:rPr>
          <w:rFonts w:hint="default" w:ascii="Times New Roman" w:hAnsi="Times New Roman" w:eastAsia="方正小标宋简体" w:cs="Times New Roman"/>
          <w:b w:val="0"/>
          <w:color w:val="auto"/>
          <w:highlight w:val="none"/>
        </w:rPr>
        <w:t>部门决算情况说明</w:t>
      </w:r>
      <w:bookmarkEnd w:id="16"/>
      <w:bookmarkEnd w:id="17"/>
    </w:p>
    <w:p w14:paraId="006801E9">
      <w:pPr>
        <w:rPr>
          <w:rFonts w:hint="default" w:ascii="Times New Roman" w:hAnsi="Times New Roman" w:cs="Times New Roman"/>
          <w:color w:val="auto"/>
          <w:highlight w:val="none"/>
        </w:rPr>
      </w:pPr>
    </w:p>
    <w:p w14:paraId="1A7B746D">
      <w:pPr>
        <w:pStyle w:val="30"/>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0" w:firstLineChars="200"/>
        <w:textAlignment w:val="auto"/>
        <w:outlineLvl w:val="1"/>
        <w:rPr>
          <w:rStyle w:val="32"/>
          <w:rFonts w:hint="default" w:ascii="Times New Roman" w:hAnsi="Times New Roman" w:eastAsia="黑体" w:cs="Times New Roman"/>
          <w:b w:val="0"/>
          <w:color w:val="auto"/>
          <w:highlight w:val="none"/>
        </w:rPr>
      </w:pPr>
      <w:bookmarkStart w:id="18" w:name="_Toc15377205"/>
      <w:bookmarkStart w:id="19" w:name="_Toc15396603"/>
      <w:r>
        <w:rPr>
          <w:rFonts w:hint="default" w:ascii="Times New Roman" w:hAnsi="Times New Roman" w:eastAsia="黑体" w:cs="Times New Roman"/>
          <w:color w:val="auto"/>
          <w:sz w:val="32"/>
          <w:szCs w:val="32"/>
          <w:highlight w:val="none"/>
          <w:lang w:eastAsia="zh-CN"/>
        </w:rPr>
        <w:t>一、</w:t>
      </w:r>
      <w:r>
        <w:rPr>
          <w:rFonts w:hint="default" w:ascii="Times New Roman" w:hAnsi="Times New Roman" w:eastAsia="黑体" w:cs="Times New Roman"/>
          <w:color w:val="auto"/>
          <w:sz w:val="32"/>
          <w:szCs w:val="32"/>
          <w:highlight w:val="none"/>
        </w:rPr>
        <w:t>收</w:t>
      </w:r>
      <w:r>
        <w:rPr>
          <w:rStyle w:val="32"/>
          <w:rFonts w:hint="default" w:ascii="Times New Roman" w:hAnsi="Times New Roman" w:eastAsia="黑体" w:cs="Times New Roman"/>
          <w:b w:val="0"/>
          <w:color w:val="auto"/>
          <w:highlight w:val="none"/>
        </w:rPr>
        <w:t>入支出决算总体情况说明</w:t>
      </w:r>
      <w:bookmarkEnd w:id="18"/>
      <w:bookmarkEnd w:id="19"/>
    </w:p>
    <w:p w14:paraId="20A05509">
      <w:pPr>
        <w:pStyle w:val="30"/>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0" w:firstLineChars="200"/>
        <w:textAlignment w:val="auto"/>
        <w:outlineLvl w:val="1"/>
        <w:rPr>
          <w:rFonts w:hint="default" w:ascii="Times New Roman" w:hAnsi="Times New Roman" w:eastAsia="仿宋_GB2312" w:cs="Times New Roman"/>
          <w:color w:val="auto"/>
          <w:sz w:val="32"/>
          <w:szCs w:val="32"/>
          <w:highlight w:val="none"/>
          <w:lang w:val="en-US"/>
        </w:rPr>
      </w:pPr>
      <w:r>
        <w:rPr>
          <w:rFonts w:hint="default" w:ascii="Times New Roman" w:hAnsi="Times New Roman" w:eastAsia="仿宋_GB2312" w:cs="Times New Roman"/>
          <w:color w:val="auto"/>
          <w:sz w:val="32"/>
          <w:szCs w:val="32"/>
          <w:highlight w:val="none"/>
          <w:lang w:eastAsia="zh-CN"/>
        </w:rPr>
        <w:t>2025年度收入</w:t>
      </w:r>
      <w:r>
        <w:rPr>
          <w:rFonts w:hint="default" w:ascii="Times New Roman" w:hAnsi="Times New Roman" w:eastAsia="仿宋_GB2312" w:cs="Times New Roman"/>
          <w:color w:val="auto"/>
          <w:sz w:val="32"/>
          <w:szCs w:val="32"/>
          <w:highlight w:val="none"/>
        </w:rPr>
        <w:t>、</w:t>
      </w:r>
      <w:r>
        <w:rPr>
          <w:rFonts w:hint="default" w:ascii="Times New Roman" w:hAnsi="Times New Roman" w:eastAsia="仿宋_GB2312" w:cs="Times New Roman"/>
          <w:color w:val="auto"/>
          <w:sz w:val="32"/>
          <w:szCs w:val="32"/>
          <w:highlight w:val="none"/>
          <w:lang w:eastAsia="zh-CN"/>
        </w:rPr>
        <w:t>支出</w:t>
      </w:r>
      <w:r>
        <w:rPr>
          <w:rFonts w:hint="default" w:ascii="Times New Roman" w:hAnsi="Times New Roman" w:eastAsia="仿宋_GB2312" w:cs="Times New Roman"/>
          <w:color w:val="auto"/>
          <w:sz w:val="32"/>
          <w:szCs w:val="32"/>
          <w:highlight w:val="none"/>
        </w:rPr>
        <w:t>总计</w:t>
      </w:r>
      <w:r>
        <w:rPr>
          <w:rFonts w:hint="default" w:ascii="Times New Roman" w:hAnsi="Times New Roman" w:eastAsia="仿宋_GB2312" w:cs="Times New Roman"/>
          <w:color w:val="auto"/>
          <w:sz w:val="32"/>
          <w:szCs w:val="32"/>
          <w:highlight w:val="none"/>
          <w:lang w:eastAsia="zh-CN"/>
        </w:rPr>
        <w:t>均为</w:t>
      </w:r>
      <w:r>
        <w:rPr>
          <w:rFonts w:hint="default" w:ascii="Times New Roman" w:hAnsi="Times New Roman" w:eastAsia="仿宋_GB2312" w:cs="Times New Roman"/>
          <w:sz w:val="32"/>
          <w:szCs w:val="32"/>
        </w:rPr>
        <w:t>1550.82</w:t>
      </w:r>
      <w:r>
        <w:rPr>
          <w:rFonts w:hint="default" w:ascii="Times New Roman" w:hAnsi="Times New Roman" w:eastAsia="仿宋_GB2312" w:cs="Times New Roman"/>
          <w:color w:val="auto"/>
          <w:sz w:val="32"/>
          <w:szCs w:val="32"/>
          <w:highlight w:val="none"/>
        </w:rPr>
        <w:t>万元。与</w:t>
      </w:r>
      <w:r>
        <w:rPr>
          <w:rFonts w:hint="default" w:ascii="Times New Roman" w:hAnsi="Times New Roman" w:eastAsia="仿宋_GB2312" w:cs="Times New Roman"/>
          <w:color w:val="auto"/>
          <w:sz w:val="32"/>
          <w:szCs w:val="32"/>
          <w:highlight w:val="none"/>
          <w:lang w:eastAsia="zh-CN"/>
        </w:rPr>
        <w:t>上</w:t>
      </w:r>
      <w:r>
        <w:rPr>
          <w:rFonts w:hint="default" w:ascii="Times New Roman" w:hAnsi="Times New Roman" w:eastAsia="仿宋_GB2312" w:cs="Times New Roman"/>
          <w:color w:val="auto"/>
          <w:sz w:val="32"/>
          <w:szCs w:val="32"/>
          <w:highlight w:val="none"/>
        </w:rPr>
        <w:t>年</w:t>
      </w:r>
      <w:r>
        <w:rPr>
          <w:rFonts w:hint="default" w:ascii="Times New Roman" w:hAnsi="Times New Roman" w:eastAsia="仿宋_GB2312" w:cs="Times New Roman"/>
          <w:color w:val="auto"/>
          <w:sz w:val="32"/>
          <w:szCs w:val="32"/>
          <w:highlight w:val="none"/>
          <w:lang w:eastAsia="zh-CN"/>
        </w:rPr>
        <w:t>度</w:t>
      </w:r>
      <w:r>
        <w:rPr>
          <w:rFonts w:hint="default" w:ascii="Times New Roman" w:hAnsi="Times New Roman" w:eastAsia="仿宋_GB2312" w:cs="Times New Roman"/>
          <w:color w:val="auto"/>
          <w:sz w:val="32"/>
          <w:szCs w:val="32"/>
          <w:highlight w:val="none"/>
        </w:rPr>
        <w:t>相比，</w:t>
      </w:r>
      <w:r>
        <w:rPr>
          <w:rFonts w:hint="default" w:ascii="Times New Roman" w:hAnsi="Times New Roman" w:eastAsia="仿宋_GB2312" w:cs="Times New Roman"/>
          <w:color w:val="auto"/>
          <w:sz w:val="32"/>
          <w:szCs w:val="32"/>
          <w:highlight w:val="none"/>
          <w:lang w:eastAsia="zh-CN"/>
        </w:rPr>
        <w:t>收入</w:t>
      </w:r>
      <w:r>
        <w:rPr>
          <w:rFonts w:hint="default" w:ascii="Times New Roman" w:hAnsi="Times New Roman" w:eastAsia="仿宋_GB2312" w:cs="Times New Roman"/>
          <w:color w:val="auto"/>
          <w:sz w:val="32"/>
          <w:szCs w:val="32"/>
          <w:highlight w:val="none"/>
        </w:rPr>
        <w:t>、</w:t>
      </w:r>
      <w:r>
        <w:rPr>
          <w:rFonts w:hint="default" w:ascii="Times New Roman" w:hAnsi="Times New Roman" w:eastAsia="仿宋_GB2312" w:cs="Times New Roman"/>
          <w:color w:val="auto"/>
          <w:sz w:val="32"/>
          <w:szCs w:val="32"/>
          <w:highlight w:val="none"/>
          <w:lang w:eastAsia="zh-CN"/>
        </w:rPr>
        <w:t>支出</w:t>
      </w:r>
      <w:r>
        <w:rPr>
          <w:rFonts w:hint="default" w:ascii="Times New Roman" w:hAnsi="Times New Roman" w:eastAsia="仿宋_GB2312" w:cs="Times New Roman"/>
          <w:color w:val="auto"/>
          <w:sz w:val="32"/>
          <w:szCs w:val="32"/>
          <w:highlight w:val="none"/>
        </w:rPr>
        <w:t>总计各增加</w:t>
      </w:r>
      <w:r>
        <w:rPr>
          <w:rFonts w:hint="default" w:ascii="Times New Roman" w:hAnsi="Times New Roman" w:eastAsia="仿宋_GB2312" w:cs="Times New Roman"/>
          <w:color w:val="auto"/>
          <w:sz w:val="32"/>
          <w:szCs w:val="32"/>
          <w:highlight w:val="none"/>
          <w:lang w:val="en-US" w:eastAsia="zh-CN"/>
        </w:rPr>
        <w:t>68.77</w:t>
      </w:r>
      <w:r>
        <w:rPr>
          <w:rFonts w:hint="default" w:ascii="Times New Roman" w:hAnsi="Times New Roman" w:eastAsia="仿宋_GB2312" w:cs="Times New Roman"/>
          <w:color w:val="auto"/>
          <w:sz w:val="32"/>
          <w:szCs w:val="32"/>
          <w:highlight w:val="none"/>
        </w:rPr>
        <w:t>万元，增长</w:t>
      </w:r>
      <w:r>
        <w:rPr>
          <w:rFonts w:hint="default" w:ascii="Times New Roman" w:hAnsi="Times New Roman" w:eastAsia="仿宋_GB2312" w:cs="Times New Roman"/>
          <w:color w:val="auto"/>
          <w:sz w:val="32"/>
          <w:szCs w:val="32"/>
          <w:highlight w:val="none"/>
          <w:lang w:val="en-US" w:eastAsia="zh-CN"/>
        </w:rPr>
        <w:t>4.64</w:t>
      </w:r>
      <w:r>
        <w:rPr>
          <w:rFonts w:hint="default" w:ascii="Times New Roman" w:hAnsi="Times New Roman" w:eastAsia="仿宋_GB2312" w:cs="Times New Roman"/>
          <w:color w:val="auto"/>
          <w:sz w:val="32"/>
          <w:szCs w:val="32"/>
          <w:highlight w:val="none"/>
        </w:rPr>
        <w:t>%。主要变动原因是</w:t>
      </w:r>
      <w:r>
        <w:rPr>
          <w:rFonts w:hint="default" w:ascii="Times New Roman" w:hAnsi="Times New Roman" w:eastAsia="仿宋" w:cs="Times New Roman"/>
          <w:color w:val="auto"/>
          <w:sz w:val="32"/>
          <w:szCs w:val="32"/>
          <w:highlight w:val="none"/>
          <w:lang w:eastAsia="zh-CN"/>
        </w:rPr>
        <w:t>人员经费</w:t>
      </w:r>
      <w:r>
        <w:rPr>
          <w:rFonts w:hint="default" w:ascii="Times New Roman" w:hAnsi="Times New Roman" w:eastAsia="仿宋" w:cs="Times New Roman"/>
          <w:color w:val="auto"/>
          <w:sz w:val="32"/>
          <w:szCs w:val="32"/>
          <w:highlight w:val="none"/>
          <w:lang w:val="en-US" w:eastAsia="zh-CN"/>
        </w:rPr>
        <w:t>增加。</w:t>
      </w:r>
    </w:p>
    <w:p w14:paraId="229FF750">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cs="Times New Roman"/>
        </w:rPr>
        <w:drawing>
          <wp:inline distT="0" distB="0" distL="114300" distR="114300">
            <wp:extent cx="4826000" cy="2742565"/>
            <wp:effectExtent l="4445" t="4445" r="8255" b="15240"/>
            <wp:docPr id="1"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192CA6C">
      <w:pPr>
        <w:pStyle w:val="30"/>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0" w:firstLineChars="200"/>
        <w:textAlignment w:val="auto"/>
        <w:outlineLvl w:val="1"/>
        <w:rPr>
          <w:rFonts w:hint="default" w:ascii="Times New Roman" w:hAnsi="Times New Roman" w:eastAsia="黑体" w:cs="Times New Roman"/>
          <w:color w:val="auto"/>
          <w:sz w:val="32"/>
          <w:szCs w:val="32"/>
          <w:highlight w:val="none"/>
          <w:lang w:eastAsia="zh-CN"/>
        </w:rPr>
      </w:pPr>
      <w:bookmarkStart w:id="20" w:name="_Toc15377206"/>
      <w:bookmarkStart w:id="21" w:name="_Toc15396604"/>
      <w:r>
        <w:rPr>
          <w:rFonts w:hint="default" w:ascii="Times New Roman" w:hAnsi="Times New Roman" w:eastAsia="黑体" w:cs="Times New Roman"/>
          <w:color w:val="auto"/>
          <w:sz w:val="32"/>
          <w:szCs w:val="32"/>
          <w:highlight w:val="none"/>
          <w:lang w:eastAsia="zh-CN"/>
        </w:rPr>
        <w:t>二、收入决算情况说明</w:t>
      </w:r>
      <w:bookmarkEnd w:id="20"/>
      <w:bookmarkEnd w:id="21"/>
    </w:p>
    <w:p w14:paraId="5DA024B8">
      <w:pPr>
        <w:pStyle w:val="30"/>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0" w:firstLineChars="200"/>
        <w:textAlignment w:val="auto"/>
        <w:outlineLvl w:val="1"/>
        <w:rPr>
          <w:rFonts w:hint="default" w:ascii="Times New Roman" w:hAnsi="Times New Roman" w:eastAsia="仿宋_GB2312" w:cs="Times New Roman"/>
          <w:b/>
          <w:bCs/>
          <w:color w:val="auto"/>
          <w:sz w:val="32"/>
          <w:szCs w:val="32"/>
          <w:highlight w:val="none"/>
          <w:lang w:eastAsia="zh-CN"/>
        </w:rPr>
      </w:pPr>
      <w:r>
        <w:rPr>
          <w:rFonts w:hint="default" w:ascii="Times New Roman" w:hAnsi="Times New Roman" w:eastAsia="仿宋_GB2312" w:cs="Times New Roman"/>
          <w:color w:val="auto"/>
          <w:sz w:val="32"/>
          <w:szCs w:val="32"/>
          <w:highlight w:val="none"/>
          <w:lang w:eastAsia="zh-CN"/>
        </w:rPr>
        <w:t>2025年度本年收入合计</w:t>
      </w:r>
      <w:r>
        <w:rPr>
          <w:rFonts w:hint="default" w:ascii="Times New Roman" w:hAnsi="Times New Roman" w:eastAsia="仿宋_GB2312" w:cs="Times New Roman"/>
          <w:sz w:val="32"/>
          <w:szCs w:val="32"/>
        </w:rPr>
        <w:t>1550.82</w:t>
      </w:r>
      <w:r>
        <w:rPr>
          <w:rFonts w:hint="default" w:ascii="Times New Roman" w:hAnsi="Times New Roman" w:eastAsia="仿宋_GB2312" w:cs="Times New Roman"/>
          <w:color w:val="auto"/>
          <w:sz w:val="32"/>
          <w:szCs w:val="32"/>
          <w:highlight w:val="none"/>
          <w:lang w:eastAsia="zh-CN"/>
        </w:rPr>
        <w:t>万元，其中：一般公共预算财政拨款收入</w:t>
      </w:r>
      <w:r>
        <w:rPr>
          <w:rFonts w:hint="default" w:ascii="Times New Roman" w:hAnsi="Times New Roman" w:eastAsia="仿宋_GB2312" w:cs="Times New Roman"/>
          <w:sz w:val="32"/>
          <w:szCs w:val="32"/>
        </w:rPr>
        <w:t>1550.79</w:t>
      </w:r>
      <w:r>
        <w:rPr>
          <w:rFonts w:hint="default" w:ascii="Times New Roman" w:hAnsi="Times New Roman" w:eastAsia="仿宋_GB2312" w:cs="Times New Roman"/>
          <w:color w:val="auto"/>
          <w:sz w:val="32"/>
          <w:szCs w:val="32"/>
          <w:highlight w:val="none"/>
          <w:lang w:eastAsia="zh-CN"/>
        </w:rPr>
        <w:t>万元，占</w:t>
      </w:r>
      <w:r>
        <w:rPr>
          <w:rFonts w:hint="default" w:ascii="Times New Roman" w:hAnsi="Times New Roman" w:eastAsia="仿宋_GB2312" w:cs="Times New Roman"/>
          <w:sz w:val="32"/>
          <w:szCs w:val="32"/>
        </w:rPr>
        <w:t>99.99</w:t>
      </w:r>
      <w:r>
        <w:rPr>
          <w:rFonts w:hint="default" w:ascii="Times New Roman" w:hAnsi="Times New Roman" w:eastAsia="仿宋_GB2312" w:cs="Times New Roman"/>
          <w:color w:val="auto"/>
          <w:sz w:val="32"/>
          <w:szCs w:val="32"/>
          <w:highlight w:val="none"/>
          <w:lang w:eastAsia="zh-CN"/>
        </w:rPr>
        <w:t>%；其他收入</w:t>
      </w:r>
      <w:r>
        <w:rPr>
          <w:rFonts w:hint="default" w:ascii="Times New Roman" w:hAnsi="Times New Roman" w:eastAsia="仿宋_GB2312" w:cs="Times New Roman"/>
          <w:sz w:val="32"/>
          <w:szCs w:val="32"/>
        </w:rPr>
        <w:t>0.03</w:t>
      </w:r>
      <w:r>
        <w:rPr>
          <w:rFonts w:hint="default" w:ascii="Times New Roman" w:hAnsi="Times New Roman" w:eastAsia="仿宋_GB2312" w:cs="Times New Roman"/>
          <w:color w:val="auto"/>
          <w:sz w:val="32"/>
          <w:szCs w:val="32"/>
          <w:highlight w:val="none"/>
          <w:lang w:eastAsia="zh-CN"/>
        </w:rPr>
        <w:t>万元，占</w:t>
      </w:r>
      <w:r>
        <w:rPr>
          <w:rFonts w:hint="default" w:ascii="Times New Roman" w:hAnsi="Times New Roman" w:eastAsia="仿宋_GB2312" w:cs="Times New Roman"/>
          <w:sz w:val="32"/>
          <w:szCs w:val="32"/>
        </w:rPr>
        <w:t>0</w:t>
      </w:r>
      <w:r>
        <w:rPr>
          <w:rFonts w:hint="default" w:ascii="Times New Roman" w:hAnsi="Times New Roman" w:eastAsia="仿宋_GB2312" w:cs="Times New Roman"/>
          <w:sz w:val="32"/>
          <w:szCs w:val="32"/>
          <w:lang w:val="en-US" w:eastAsia="zh-CN"/>
        </w:rPr>
        <w:t>.01</w:t>
      </w:r>
      <w:r>
        <w:rPr>
          <w:rFonts w:hint="default" w:ascii="Times New Roman" w:hAnsi="Times New Roman" w:eastAsia="仿宋_GB2312" w:cs="Times New Roman"/>
          <w:color w:val="auto"/>
          <w:sz w:val="32"/>
          <w:szCs w:val="32"/>
          <w:highlight w:val="none"/>
          <w:lang w:eastAsia="zh-CN"/>
        </w:rPr>
        <w:t>%。</w:t>
      </w:r>
    </w:p>
    <w:p w14:paraId="24F29E70">
      <w:pPr>
        <w:pStyle w:val="30"/>
        <w:keepNext w:val="0"/>
        <w:keepLines w:val="0"/>
        <w:pageBreakBefore w:val="0"/>
        <w:widowControl w:val="0"/>
        <w:numPr>
          <w:ilvl w:val="0"/>
          <w:numId w:val="0"/>
        </w:numPr>
        <w:kinsoku/>
        <w:wordWrap/>
        <w:overflowPunct/>
        <w:topLinePunct w:val="0"/>
        <w:autoSpaceDE/>
        <w:autoSpaceDN/>
        <w:bidi w:val="0"/>
        <w:adjustRightInd/>
        <w:snapToGrid/>
        <w:spacing w:line="360" w:lineRule="auto"/>
        <w:ind w:left="630" w:leftChars="200" w:hanging="210" w:hangingChars="100"/>
        <w:jc w:val="left"/>
        <w:textAlignment w:val="auto"/>
        <w:outlineLvl w:val="1"/>
        <w:rPr>
          <w:rStyle w:val="32"/>
          <w:rFonts w:hint="default" w:ascii="Times New Roman" w:hAnsi="Times New Roman" w:eastAsia="黑体" w:cs="Times New Roman"/>
          <w:b w:val="0"/>
          <w:color w:val="auto"/>
          <w:highlight w:val="none"/>
        </w:rPr>
      </w:pPr>
      <w:bookmarkStart w:id="22" w:name="_Toc15377207"/>
      <w:bookmarkStart w:id="23" w:name="_Toc15396605"/>
      <w:r>
        <w:rPr>
          <w:rFonts w:hint="default" w:ascii="Times New Roman" w:hAnsi="Times New Roman" w:cs="Times New Roman"/>
        </w:rPr>
        <w:drawing>
          <wp:inline distT="0" distB="0" distL="114300" distR="114300">
            <wp:extent cx="4826000" cy="2743200"/>
            <wp:effectExtent l="4445" t="4445" r="8255" b="52705"/>
            <wp:docPr id="3"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r>
        <w:rPr>
          <w:rFonts w:hint="default" w:ascii="Times New Roman" w:hAnsi="Times New Roman" w:eastAsia="黑体" w:cs="Times New Roman"/>
          <w:color w:val="auto"/>
          <w:sz w:val="32"/>
          <w:szCs w:val="32"/>
          <w:highlight w:val="none"/>
          <w:lang w:eastAsia="zh-CN"/>
        </w:rPr>
        <w:t>三、</w:t>
      </w:r>
      <w:r>
        <w:rPr>
          <w:rFonts w:hint="default" w:ascii="Times New Roman" w:hAnsi="Times New Roman" w:eastAsia="黑体" w:cs="Times New Roman"/>
          <w:color w:val="auto"/>
          <w:sz w:val="32"/>
          <w:szCs w:val="32"/>
          <w:highlight w:val="none"/>
        </w:rPr>
        <w:t>支</w:t>
      </w:r>
      <w:r>
        <w:rPr>
          <w:rStyle w:val="32"/>
          <w:rFonts w:hint="default" w:ascii="Times New Roman" w:hAnsi="Times New Roman" w:eastAsia="黑体" w:cs="Times New Roman"/>
          <w:b w:val="0"/>
          <w:color w:val="auto"/>
          <w:highlight w:val="none"/>
        </w:rPr>
        <w:t>出决算情况说明</w:t>
      </w:r>
      <w:bookmarkEnd w:id="22"/>
      <w:bookmarkEnd w:id="23"/>
    </w:p>
    <w:p w14:paraId="0B5DBCE5">
      <w:pPr>
        <w:pStyle w:val="30"/>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0" w:firstLineChars="200"/>
        <w:jc w:val="center"/>
        <w:textAlignment w:val="auto"/>
        <w:outlineLvl w:val="1"/>
        <w:rPr>
          <w:rFonts w:hint="default" w:ascii="Times New Roman" w:hAnsi="Times New Roman" w:eastAsia="仿宋_GB2312" w:cs="Times New Roman"/>
          <w:color w:val="auto"/>
          <w:sz w:val="32"/>
          <w:szCs w:val="32"/>
          <w:highlight w:val="none"/>
          <w:lang w:eastAsia="zh-CN"/>
        </w:rPr>
      </w:pPr>
      <w:r>
        <w:rPr>
          <w:rFonts w:hint="default" w:ascii="Times New Roman" w:hAnsi="Times New Roman" w:eastAsia="仿宋_GB2312" w:cs="Times New Roman"/>
          <w:color w:val="auto"/>
          <w:sz w:val="32"/>
          <w:szCs w:val="32"/>
          <w:highlight w:val="none"/>
          <w:lang w:eastAsia="zh-CN"/>
        </w:rPr>
        <w:t>2025年度本年支出合计</w:t>
      </w:r>
      <w:r>
        <w:rPr>
          <w:rFonts w:hint="default" w:ascii="Times New Roman" w:hAnsi="Times New Roman" w:eastAsia="仿宋_GB2312" w:cs="Times New Roman"/>
          <w:sz w:val="32"/>
          <w:szCs w:val="32"/>
        </w:rPr>
        <w:t>1550.82</w:t>
      </w:r>
      <w:r>
        <w:rPr>
          <w:rFonts w:hint="default" w:ascii="Times New Roman" w:hAnsi="Times New Roman" w:eastAsia="仿宋_GB2312" w:cs="Times New Roman"/>
          <w:color w:val="auto"/>
          <w:sz w:val="32"/>
          <w:szCs w:val="32"/>
          <w:highlight w:val="none"/>
          <w:lang w:eastAsia="zh-CN"/>
        </w:rPr>
        <w:t>万元，其中：基本支出</w:t>
      </w:r>
      <w:r>
        <w:rPr>
          <w:rFonts w:hint="default" w:ascii="Times New Roman" w:hAnsi="Times New Roman" w:eastAsia="仿宋_GB2312" w:cs="Times New Roman"/>
          <w:sz w:val="32"/>
          <w:szCs w:val="32"/>
        </w:rPr>
        <w:t>1462.72</w:t>
      </w:r>
      <w:r>
        <w:rPr>
          <w:rFonts w:hint="default" w:ascii="Times New Roman" w:hAnsi="Times New Roman" w:eastAsia="仿宋_GB2312" w:cs="Times New Roman"/>
          <w:color w:val="auto"/>
          <w:sz w:val="32"/>
          <w:szCs w:val="32"/>
          <w:highlight w:val="none"/>
          <w:lang w:eastAsia="zh-CN"/>
        </w:rPr>
        <w:t>万元，占</w:t>
      </w:r>
      <w:r>
        <w:rPr>
          <w:rFonts w:hint="default" w:ascii="Times New Roman" w:hAnsi="Times New Roman" w:eastAsia="仿宋_GB2312" w:cs="Times New Roman"/>
          <w:sz w:val="32"/>
          <w:szCs w:val="32"/>
        </w:rPr>
        <w:t>94.3</w:t>
      </w:r>
      <w:r>
        <w:rPr>
          <w:rFonts w:hint="eastAsia" w:eastAsia="仿宋_GB2312" w:cs="Times New Roman"/>
          <w:color w:val="auto"/>
          <w:sz w:val="32"/>
          <w:szCs w:val="32"/>
          <w:lang w:val="en-US" w:eastAsia="zh-CN"/>
        </w:rPr>
        <w:t>2</w:t>
      </w:r>
      <w:r>
        <w:rPr>
          <w:rFonts w:hint="default" w:ascii="Times New Roman" w:hAnsi="Times New Roman" w:eastAsia="仿宋_GB2312" w:cs="Times New Roman"/>
          <w:color w:val="auto"/>
          <w:sz w:val="32"/>
          <w:szCs w:val="32"/>
          <w:highlight w:val="none"/>
          <w:lang w:eastAsia="zh-CN"/>
        </w:rPr>
        <w:t>%；项目支出</w:t>
      </w:r>
      <w:r>
        <w:rPr>
          <w:rFonts w:hint="default" w:ascii="Times New Roman" w:hAnsi="Times New Roman" w:eastAsia="仿宋_GB2312" w:cs="Times New Roman"/>
          <w:sz w:val="32"/>
          <w:szCs w:val="32"/>
        </w:rPr>
        <w:t>88.1</w:t>
      </w:r>
      <w:r>
        <w:rPr>
          <w:rFonts w:hint="default" w:ascii="Times New Roman" w:hAnsi="Times New Roman" w:eastAsia="仿宋_GB2312" w:cs="Times New Roman"/>
          <w:color w:val="auto"/>
          <w:sz w:val="32"/>
          <w:szCs w:val="32"/>
          <w:highlight w:val="none"/>
          <w:lang w:eastAsia="zh-CN"/>
        </w:rPr>
        <w:t>万元，占</w:t>
      </w:r>
      <w:r>
        <w:rPr>
          <w:rFonts w:hint="default" w:ascii="Times New Roman" w:hAnsi="Times New Roman" w:eastAsia="仿宋_GB2312" w:cs="Times New Roman"/>
          <w:sz w:val="32"/>
          <w:szCs w:val="32"/>
        </w:rPr>
        <w:t>5.68</w:t>
      </w:r>
      <w:r>
        <w:rPr>
          <w:rFonts w:hint="default" w:ascii="Times New Roman" w:hAnsi="Times New Roman" w:eastAsia="仿宋_GB2312" w:cs="Times New Roman"/>
          <w:color w:val="auto"/>
          <w:sz w:val="32"/>
          <w:szCs w:val="32"/>
          <w:highlight w:val="none"/>
          <w:lang w:eastAsia="zh-CN"/>
        </w:rPr>
        <w:t>%。</w:t>
      </w:r>
      <w:r>
        <w:rPr>
          <w:rFonts w:hint="default" w:ascii="Times New Roman" w:hAnsi="Times New Roman" w:cs="Times New Roman"/>
        </w:rPr>
        <w:drawing>
          <wp:inline distT="0" distB="0" distL="114300" distR="114300">
            <wp:extent cx="4826000" cy="2743200"/>
            <wp:effectExtent l="4445" t="4445" r="8255" b="52705"/>
            <wp:docPr id="4"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D162AE8">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outlineLvl w:val="1"/>
        <w:rPr>
          <w:rStyle w:val="32"/>
          <w:rFonts w:hint="default" w:ascii="Times New Roman" w:hAnsi="Times New Roman" w:eastAsia="黑体" w:cs="Times New Roman"/>
          <w:b w:val="0"/>
          <w:color w:val="auto"/>
          <w:highlight w:val="none"/>
        </w:rPr>
      </w:pPr>
      <w:bookmarkStart w:id="24" w:name="_Toc15377208"/>
      <w:bookmarkStart w:id="25" w:name="_Toc15396606"/>
      <w:r>
        <w:rPr>
          <w:rFonts w:hint="default" w:ascii="Times New Roman" w:hAnsi="Times New Roman" w:eastAsia="黑体" w:cs="Times New Roman"/>
          <w:color w:val="auto"/>
          <w:sz w:val="32"/>
          <w:szCs w:val="32"/>
          <w:highlight w:val="none"/>
        </w:rPr>
        <w:t>四、财</w:t>
      </w:r>
      <w:r>
        <w:rPr>
          <w:rStyle w:val="32"/>
          <w:rFonts w:hint="default" w:ascii="Times New Roman" w:hAnsi="Times New Roman" w:eastAsia="黑体" w:cs="Times New Roman"/>
          <w:b w:val="0"/>
          <w:color w:val="auto"/>
          <w:highlight w:val="none"/>
        </w:rPr>
        <w:t>政拨款收入支出决算总体情况说明</w:t>
      </w:r>
      <w:bookmarkEnd w:id="24"/>
      <w:bookmarkEnd w:id="25"/>
    </w:p>
    <w:p w14:paraId="71A1F4BF">
      <w:pPr>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default" w:ascii="Times New Roman" w:hAnsi="Times New Roman" w:eastAsia="仿宋_GB2312" w:cs="Times New Roman"/>
          <w:color w:val="auto"/>
          <w:kern w:val="2"/>
          <w:sz w:val="32"/>
          <w:szCs w:val="32"/>
          <w:highlight w:val="none"/>
          <w:lang w:val="en-US" w:eastAsia="zh-CN" w:bidi="ar-SA"/>
        </w:rPr>
      </w:pPr>
      <w:r>
        <w:rPr>
          <w:rFonts w:hint="default" w:ascii="Times New Roman" w:hAnsi="Times New Roman" w:eastAsia="仿宋_GB2312" w:cs="Times New Roman"/>
          <w:color w:val="auto"/>
          <w:kern w:val="2"/>
          <w:sz w:val="32"/>
          <w:szCs w:val="32"/>
          <w:highlight w:val="none"/>
          <w:lang w:val="en-US" w:eastAsia="zh-CN" w:bidi="ar-SA"/>
        </w:rPr>
        <w:t>2025年度财政拨款收入、支出总计均为</w:t>
      </w:r>
      <w:r>
        <w:rPr>
          <w:rFonts w:hint="default" w:ascii="Times New Roman" w:hAnsi="Times New Roman" w:eastAsia="仿宋_GB2312" w:cs="Times New Roman"/>
          <w:sz w:val="32"/>
          <w:szCs w:val="32"/>
        </w:rPr>
        <w:t>1550.79</w:t>
      </w:r>
      <w:r>
        <w:rPr>
          <w:rFonts w:hint="default" w:ascii="Times New Roman" w:hAnsi="Times New Roman" w:eastAsia="仿宋_GB2312" w:cs="Times New Roman"/>
          <w:color w:val="auto"/>
          <w:kern w:val="2"/>
          <w:sz w:val="32"/>
          <w:szCs w:val="32"/>
          <w:highlight w:val="none"/>
          <w:lang w:val="en-US" w:eastAsia="zh-CN" w:bidi="ar-SA"/>
        </w:rPr>
        <w:t>万元。与上年度相比，财政拨款收入、支出总计各增加68.77万元，增长4.64%。主要变动原因是</w:t>
      </w:r>
      <w:r>
        <w:rPr>
          <w:rFonts w:hint="default" w:ascii="Times New Roman" w:hAnsi="Times New Roman" w:eastAsia="仿宋" w:cs="Times New Roman"/>
          <w:color w:val="auto"/>
          <w:sz w:val="32"/>
          <w:szCs w:val="32"/>
          <w:highlight w:val="none"/>
          <w:lang w:eastAsia="zh-CN"/>
        </w:rPr>
        <w:t>人员经费</w:t>
      </w:r>
      <w:r>
        <w:rPr>
          <w:rFonts w:hint="default" w:ascii="Times New Roman" w:hAnsi="Times New Roman" w:eastAsia="仿宋" w:cs="Times New Roman"/>
          <w:color w:val="auto"/>
          <w:sz w:val="32"/>
          <w:szCs w:val="32"/>
          <w:highlight w:val="none"/>
          <w:lang w:val="en-US" w:eastAsia="zh-CN"/>
        </w:rPr>
        <w:t>增加。</w:t>
      </w:r>
    </w:p>
    <w:p w14:paraId="750BA5B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kern w:val="2"/>
          <w:sz w:val="32"/>
          <w:szCs w:val="32"/>
          <w:highlight w:val="none"/>
          <w:lang w:val="en-US" w:eastAsia="zh-CN" w:bidi="ar-SA"/>
        </w:rPr>
      </w:pPr>
      <w:r>
        <w:rPr>
          <w:rFonts w:hint="default" w:ascii="Times New Roman" w:hAnsi="Times New Roman" w:cs="Times New Roman"/>
        </w:rPr>
        <w:drawing>
          <wp:inline distT="0" distB="0" distL="114300" distR="114300">
            <wp:extent cx="4826000" cy="2743200"/>
            <wp:effectExtent l="4445" t="4445" r="8255" b="14605"/>
            <wp:docPr id="5" name="图表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714DE53">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outlineLvl w:val="1"/>
        <w:rPr>
          <w:rStyle w:val="32"/>
          <w:rFonts w:hint="default" w:ascii="Times New Roman" w:hAnsi="Times New Roman" w:eastAsia="黑体" w:cs="Times New Roman"/>
          <w:b w:val="0"/>
          <w:color w:val="auto"/>
          <w:highlight w:val="none"/>
        </w:rPr>
      </w:pPr>
      <w:bookmarkStart w:id="26" w:name="_Toc15377209"/>
      <w:bookmarkStart w:id="27" w:name="_Toc15396607"/>
      <w:r>
        <w:rPr>
          <w:rFonts w:hint="default" w:ascii="Times New Roman" w:hAnsi="Times New Roman" w:eastAsia="黑体" w:cs="Times New Roman"/>
          <w:color w:val="auto"/>
          <w:sz w:val="32"/>
          <w:szCs w:val="32"/>
          <w:highlight w:val="none"/>
        </w:rPr>
        <w:t>五、</w:t>
      </w:r>
      <w:r>
        <w:rPr>
          <w:rFonts w:hint="default" w:ascii="Times New Roman" w:hAnsi="Times New Roman" w:eastAsia="黑体" w:cs="Times New Roman"/>
          <w:b/>
          <w:color w:val="auto"/>
          <w:sz w:val="32"/>
          <w:szCs w:val="32"/>
          <w:highlight w:val="none"/>
        </w:rPr>
        <w:t>一</w:t>
      </w:r>
      <w:r>
        <w:rPr>
          <w:rStyle w:val="32"/>
          <w:rFonts w:hint="default" w:ascii="Times New Roman" w:hAnsi="Times New Roman" w:eastAsia="黑体" w:cs="Times New Roman"/>
          <w:b w:val="0"/>
          <w:color w:val="auto"/>
          <w:highlight w:val="none"/>
        </w:rPr>
        <w:t>般公共预算财政拨款支出决算情况说明</w:t>
      </w:r>
      <w:bookmarkEnd w:id="26"/>
      <w:bookmarkEnd w:id="27"/>
    </w:p>
    <w:p w14:paraId="64362FE2">
      <w:pPr>
        <w:keepNext w:val="0"/>
        <w:keepLines w:val="0"/>
        <w:pageBreakBefore w:val="0"/>
        <w:widowControl w:val="0"/>
        <w:kinsoku/>
        <w:wordWrap/>
        <w:overflowPunct/>
        <w:topLinePunct w:val="0"/>
        <w:autoSpaceDE/>
        <w:autoSpaceDN/>
        <w:bidi w:val="0"/>
        <w:adjustRightInd/>
        <w:snapToGrid/>
        <w:spacing w:line="360" w:lineRule="auto"/>
        <w:ind w:firstLine="643" w:firstLineChars="200"/>
        <w:textAlignment w:val="auto"/>
        <w:outlineLvl w:val="2"/>
        <w:rPr>
          <w:rFonts w:hint="default" w:ascii="Times New Roman" w:hAnsi="Times New Roman" w:eastAsia="楷体_GB2312" w:cs="Times New Roman"/>
          <w:b/>
          <w:color w:val="auto"/>
          <w:sz w:val="32"/>
          <w:szCs w:val="32"/>
          <w:highlight w:val="none"/>
        </w:rPr>
      </w:pPr>
      <w:bookmarkStart w:id="28" w:name="_Toc15377210"/>
      <w:r>
        <w:rPr>
          <w:rFonts w:hint="default" w:ascii="Times New Roman" w:hAnsi="Times New Roman" w:eastAsia="楷体_GB2312" w:cs="Times New Roman"/>
          <w:b/>
          <w:color w:val="auto"/>
          <w:sz w:val="32"/>
          <w:szCs w:val="32"/>
          <w:highlight w:val="none"/>
        </w:rPr>
        <w:t>（一）一般公共预算财政拨款支出决算总体情况</w:t>
      </w:r>
      <w:bookmarkEnd w:id="28"/>
    </w:p>
    <w:p w14:paraId="73C6A26F">
      <w:pPr>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default" w:ascii="Times New Roman" w:hAnsi="Times New Roman" w:eastAsia="仿宋_GB2312" w:cs="Times New Roman"/>
          <w:color w:val="auto"/>
          <w:kern w:val="2"/>
          <w:sz w:val="32"/>
          <w:szCs w:val="32"/>
          <w:highlight w:val="none"/>
          <w:lang w:val="en-US" w:eastAsia="zh-CN" w:bidi="ar-SA"/>
        </w:rPr>
      </w:pPr>
      <w:r>
        <w:rPr>
          <w:rFonts w:hint="default" w:ascii="Times New Roman" w:hAnsi="Times New Roman" w:eastAsia="仿宋_GB2312" w:cs="Times New Roman"/>
          <w:color w:val="auto"/>
          <w:kern w:val="2"/>
          <w:sz w:val="32"/>
          <w:szCs w:val="32"/>
          <w:highlight w:val="none"/>
          <w:lang w:val="en-US" w:eastAsia="zh-CN" w:bidi="ar-SA"/>
        </w:rPr>
        <w:t>2025年度一般公共预算财政拨款支出</w:t>
      </w:r>
      <w:r>
        <w:rPr>
          <w:rFonts w:hint="default" w:ascii="Times New Roman" w:hAnsi="Times New Roman" w:eastAsia="仿宋_GB2312" w:cs="Times New Roman"/>
          <w:sz w:val="32"/>
          <w:szCs w:val="32"/>
        </w:rPr>
        <w:t>1550.79</w:t>
      </w:r>
      <w:r>
        <w:rPr>
          <w:rFonts w:hint="default" w:ascii="Times New Roman" w:hAnsi="Times New Roman" w:eastAsia="仿宋_GB2312" w:cs="Times New Roman"/>
          <w:color w:val="auto"/>
          <w:kern w:val="2"/>
          <w:sz w:val="32"/>
          <w:szCs w:val="32"/>
          <w:highlight w:val="none"/>
          <w:lang w:val="en-US" w:eastAsia="zh-CN" w:bidi="ar-SA"/>
        </w:rPr>
        <w:t>万元，占本年支出合计的</w:t>
      </w:r>
      <w:r>
        <w:rPr>
          <w:rFonts w:hint="default" w:ascii="Times New Roman" w:hAnsi="Times New Roman" w:eastAsia="仿宋_GB2312" w:cs="Times New Roman"/>
          <w:sz w:val="32"/>
          <w:szCs w:val="32"/>
        </w:rPr>
        <w:t>99.99</w:t>
      </w:r>
      <w:r>
        <w:rPr>
          <w:rFonts w:hint="default" w:ascii="Times New Roman" w:hAnsi="Times New Roman" w:eastAsia="仿宋_GB2312" w:cs="Times New Roman"/>
          <w:color w:val="auto"/>
          <w:kern w:val="2"/>
          <w:sz w:val="32"/>
          <w:szCs w:val="32"/>
          <w:highlight w:val="none"/>
          <w:lang w:val="en-US" w:eastAsia="zh-CN" w:bidi="ar-SA"/>
        </w:rPr>
        <w:t>%。与上年度相比，一般公共预算财政拨款支出增加68.77万元，增长4.64%。主要变动原因是</w:t>
      </w:r>
      <w:r>
        <w:rPr>
          <w:rFonts w:hint="default" w:ascii="Times New Roman" w:hAnsi="Times New Roman" w:eastAsia="仿宋" w:cs="Times New Roman"/>
          <w:color w:val="auto"/>
          <w:sz w:val="32"/>
          <w:szCs w:val="32"/>
          <w:highlight w:val="none"/>
          <w:lang w:eastAsia="zh-CN"/>
        </w:rPr>
        <w:t>人员经费</w:t>
      </w:r>
      <w:r>
        <w:rPr>
          <w:rFonts w:hint="default" w:ascii="Times New Roman" w:hAnsi="Times New Roman" w:eastAsia="仿宋" w:cs="Times New Roman"/>
          <w:color w:val="auto"/>
          <w:sz w:val="32"/>
          <w:szCs w:val="32"/>
          <w:highlight w:val="none"/>
          <w:lang w:val="en-US" w:eastAsia="zh-CN"/>
        </w:rPr>
        <w:t>增加。</w:t>
      </w:r>
    </w:p>
    <w:p w14:paraId="61253E0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kern w:val="2"/>
          <w:sz w:val="32"/>
          <w:szCs w:val="32"/>
          <w:highlight w:val="none"/>
          <w:lang w:val="en-US" w:eastAsia="zh-CN" w:bidi="ar-SA"/>
        </w:rPr>
      </w:pPr>
      <w:r>
        <w:rPr>
          <w:rFonts w:hint="default" w:ascii="Times New Roman" w:hAnsi="Times New Roman" w:cs="Times New Roman"/>
        </w:rPr>
        <w:drawing>
          <wp:inline distT="0" distB="0" distL="114300" distR="114300">
            <wp:extent cx="4826000" cy="2743200"/>
            <wp:effectExtent l="4445" t="4445" r="8255" b="14605"/>
            <wp:docPr id="8" name="图表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DFC5151">
      <w:pPr>
        <w:keepNext w:val="0"/>
        <w:keepLines w:val="0"/>
        <w:pageBreakBefore w:val="0"/>
        <w:widowControl w:val="0"/>
        <w:kinsoku/>
        <w:wordWrap/>
        <w:overflowPunct/>
        <w:topLinePunct w:val="0"/>
        <w:autoSpaceDE/>
        <w:autoSpaceDN/>
        <w:bidi w:val="0"/>
        <w:adjustRightInd/>
        <w:snapToGrid/>
        <w:spacing w:line="360" w:lineRule="auto"/>
        <w:ind w:firstLine="643" w:firstLineChars="200"/>
        <w:textAlignment w:val="auto"/>
        <w:outlineLvl w:val="2"/>
        <w:rPr>
          <w:rFonts w:hint="default" w:ascii="Times New Roman" w:hAnsi="Times New Roman" w:eastAsia="楷体_GB2312" w:cs="Times New Roman"/>
          <w:b/>
          <w:color w:val="auto"/>
          <w:sz w:val="32"/>
          <w:szCs w:val="32"/>
          <w:highlight w:val="none"/>
        </w:rPr>
      </w:pPr>
      <w:bookmarkStart w:id="29" w:name="_Toc15377211"/>
      <w:r>
        <w:rPr>
          <w:rFonts w:hint="default" w:ascii="Times New Roman" w:hAnsi="Times New Roman" w:eastAsia="楷体_GB2312" w:cs="Times New Roman"/>
          <w:b/>
          <w:color w:val="auto"/>
          <w:sz w:val="32"/>
          <w:szCs w:val="32"/>
          <w:highlight w:val="none"/>
        </w:rPr>
        <w:t>（二）一般公共预算财政拨款支出决算结构情况</w:t>
      </w:r>
      <w:bookmarkEnd w:id="29"/>
    </w:p>
    <w:p w14:paraId="67BE513F">
      <w:pPr>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default" w:ascii="Times New Roman" w:hAnsi="Times New Roman" w:eastAsia="仿宋_GB2312" w:cs="Times New Roman"/>
          <w:b/>
          <w:bCs/>
          <w:color w:val="auto"/>
          <w:kern w:val="2"/>
          <w:sz w:val="32"/>
          <w:szCs w:val="32"/>
          <w:highlight w:val="none"/>
          <w:lang w:val="en-US" w:eastAsia="zh-CN" w:bidi="ar-SA"/>
        </w:rPr>
      </w:pPr>
      <w:r>
        <w:rPr>
          <w:rFonts w:hint="default" w:ascii="Times New Roman" w:hAnsi="Times New Roman" w:eastAsia="仿宋_GB2312" w:cs="Times New Roman"/>
          <w:color w:val="auto"/>
          <w:kern w:val="2"/>
          <w:sz w:val="32"/>
          <w:szCs w:val="32"/>
          <w:highlight w:val="none"/>
          <w:lang w:val="en-US" w:eastAsia="zh-CN" w:bidi="ar-SA"/>
        </w:rPr>
        <w:t>2025年度一般公共预算财政拨款支出</w:t>
      </w:r>
      <w:r>
        <w:rPr>
          <w:rFonts w:hint="default" w:ascii="Times New Roman" w:hAnsi="Times New Roman" w:eastAsia="仿宋_GB2312" w:cs="Times New Roman"/>
          <w:sz w:val="32"/>
          <w:szCs w:val="32"/>
        </w:rPr>
        <w:t>1550.79</w:t>
      </w:r>
      <w:r>
        <w:rPr>
          <w:rFonts w:hint="default" w:ascii="Times New Roman" w:hAnsi="Times New Roman" w:eastAsia="仿宋_GB2312" w:cs="Times New Roman"/>
          <w:color w:val="auto"/>
          <w:kern w:val="2"/>
          <w:sz w:val="32"/>
          <w:szCs w:val="32"/>
          <w:highlight w:val="none"/>
          <w:lang w:val="en-US" w:eastAsia="zh-CN" w:bidi="ar-SA"/>
        </w:rPr>
        <w:t>万元，主要用于以下方面：一般公共服务支出13.69万元，占0.88%；社会保障和就业支出1367.05万元，占88.15%；卫生健康支出75.93万元，占4.9%；住房保障支出94.12万元，占6.07%</w:t>
      </w:r>
      <w:r>
        <w:rPr>
          <w:rFonts w:hint="default" w:ascii="Times New Roman" w:hAnsi="Times New Roman" w:eastAsia="仿宋_GB2312" w:cs="Times New Roman"/>
          <w:b/>
          <w:bCs/>
          <w:color w:val="auto"/>
          <w:kern w:val="2"/>
          <w:sz w:val="32"/>
          <w:szCs w:val="32"/>
          <w:highlight w:val="none"/>
          <w:lang w:val="en-US" w:eastAsia="zh-CN" w:bidi="ar-SA"/>
        </w:rPr>
        <w:t>。</w:t>
      </w:r>
    </w:p>
    <w:p w14:paraId="17E5DF0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color w:val="auto"/>
          <w:kern w:val="2"/>
          <w:sz w:val="32"/>
          <w:szCs w:val="32"/>
          <w:highlight w:val="none"/>
          <w:lang w:val="en-US" w:eastAsia="zh-CN" w:bidi="ar-SA"/>
        </w:rPr>
      </w:pPr>
      <w:r>
        <w:rPr>
          <w:rFonts w:hint="default" w:ascii="Times New Roman" w:hAnsi="Times New Roman" w:cs="Times New Roman"/>
        </w:rPr>
        <w:drawing>
          <wp:inline distT="0" distB="0" distL="114300" distR="114300">
            <wp:extent cx="4826000" cy="2743200"/>
            <wp:effectExtent l="4445" t="4445" r="8255" b="14605"/>
            <wp:docPr id="9"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8F498B1">
      <w:pPr>
        <w:keepNext w:val="0"/>
        <w:keepLines w:val="0"/>
        <w:pageBreakBefore w:val="0"/>
        <w:widowControl w:val="0"/>
        <w:kinsoku/>
        <w:wordWrap/>
        <w:overflowPunct/>
        <w:topLinePunct w:val="0"/>
        <w:autoSpaceDE/>
        <w:autoSpaceDN/>
        <w:bidi w:val="0"/>
        <w:adjustRightInd/>
        <w:snapToGrid/>
        <w:spacing w:line="360" w:lineRule="auto"/>
        <w:ind w:firstLine="643" w:firstLineChars="200"/>
        <w:textAlignment w:val="auto"/>
        <w:outlineLvl w:val="2"/>
        <w:rPr>
          <w:rFonts w:hint="default" w:ascii="Times New Roman" w:hAnsi="Times New Roman" w:eastAsia="楷体_GB2312" w:cs="Times New Roman"/>
          <w:b/>
          <w:color w:val="auto"/>
          <w:sz w:val="32"/>
          <w:szCs w:val="32"/>
          <w:highlight w:val="none"/>
        </w:rPr>
      </w:pPr>
      <w:bookmarkStart w:id="30" w:name="_Toc15377212"/>
      <w:r>
        <w:rPr>
          <w:rFonts w:hint="default" w:ascii="Times New Roman" w:hAnsi="Times New Roman" w:eastAsia="楷体_GB2312" w:cs="Times New Roman"/>
          <w:b/>
          <w:color w:val="auto"/>
          <w:sz w:val="32"/>
          <w:szCs w:val="32"/>
          <w:highlight w:val="none"/>
        </w:rPr>
        <w:t>（三）一般公共预算财政拨款支出决算具体情况</w:t>
      </w:r>
      <w:bookmarkEnd w:id="30"/>
    </w:p>
    <w:p w14:paraId="4BBF7762">
      <w:pPr>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default" w:ascii="Times New Roman" w:hAnsi="Times New Roman" w:eastAsia="仿宋_GB2312" w:cs="Times New Roman"/>
          <w:color w:val="auto"/>
          <w:kern w:val="2"/>
          <w:sz w:val="32"/>
          <w:szCs w:val="32"/>
          <w:highlight w:val="none"/>
          <w:lang w:val="en-US" w:eastAsia="zh-CN" w:bidi="ar-SA"/>
        </w:rPr>
      </w:pPr>
      <w:bookmarkStart w:id="31" w:name="_Toc15377444"/>
      <w:bookmarkStart w:id="32" w:name="_Toc15377213"/>
      <w:bookmarkStart w:id="33" w:name="_Toc15378460"/>
      <w:r>
        <w:rPr>
          <w:rFonts w:hint="default" w:ascii="Times New Roman" w:hAnsi="Times New Roman" w:eastAsia="仿宋_GB2312" w:cs="Times New Roman"/>
          <w:color w:val="auto"/>
          <w:kern w:val="2"/>
          <w:sz w:val="32"/>
          <w:szCs w:val="32"/>
          <w:highlight w:val="none"/>
          <w:lang w:val="en-US" w:eastAsia="zh-CN" w:bidi="ar-SA"/>
        </w:rPr>
        <w:t>2025年度一般公共预算支出决算数为1550.79</w:t>
      </w:r>
      <w:r>
        <w:rPr>
          <w:rFonts w:hint="eastAsia" w:eastAsia="仿宋_GB2312" w:cs="Times New Roman"/>
          <w:color w:val="auto"/>
          <w:kern w:val="2"/>
          <w:sz w:val="32"/>
          <w:szCs w:val="32"/>
          <w:highlight w:val="none"/>
          <w:lang w:val="en-US" w:eastAsia="zh-CN" w:bidi="ar-SA"/>
        </w:rPr>
        <w:t>万元</w:t>
      </w:r>
      <w:r>
        <w:rPr>
          <w:rFonts w:hint="default" w:ascii="Times New Roman" w:hAnsi="Times New Roman" w:eastAsia="仿宋_GB2312" w:cs="Times New Roman"/>
          <w:color w:val="auto"/>
          <w:kern w:val="2"/>
          <w:sz w:val="32"/>
          <w:szCs w:val="32"/>
          <w:highlight w:val="none"/>
          <w:lang w:val="en-US" w:eastAsia="zh-CN" w:bidi="ar-SA"/>
        </w:rPr>
        <w:t>，完成预算100%。其中：</w:t>
      </w:r>
      <w:bookmarkEnd w:id="31"/>
      <w:bookmarkEnd w:id="32"/>
      <w:bookmarkEnd w:id="33"/>
    </w:p>
    <w:p w14:paraId="1A080571">
      <w:pPr>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default" w:ascii="Times New Roman" w:hAnsi="Times New Roman" w:eastAsia="仿宋_GB2312" w:cs="Times New Roman"/>
          <w:color w:val="auto"/>
          <w:kern w:val="2"/>
          <w:sz w:val="32"/>
          <w:szCs w:val="32"/>
          <w:highlight w:val="none"/>
          <w:lang w:val="en-US" w:eastAsia="zh-CN" w:bidi="ar-SA"/>
        </w:rPr>
      </w:pPr>
      <w:r>
        <w:rPr>
          <w:rFonts w:hint="default" w:ascii="Times New Roman" w:hAnsi="Times New Roman" w:eastAsia="仿宋_GB2312" w:cs="Times New Roman"/>
          <w:color w:val="auto"/>
          <w:kern w:val="2"/>
          <w:sz w:val="32"/>
          <w:szCs w:val="32"/>
          <w:highlight w:val="none"/>
          <w:lang w:val="en-US" w:eastAsia="zh-CN" w:bidi="ar-SA"/>
        </w:rPr>
        <w:t>1.一般公共服务（类）组织事务（款）其他组织事务支出（项）：支出决算为13.69万元，完成预算100%，决算数等于预算数。</w:t>
      </w:r>
    </w:p>
    <w:p w14:paraId="0644E7C2">
      <w:pPr>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default" w:ascii="Times New Roman" w:hAnsi="Times New Roman" w:eastAsia="仿宋_GB2312" w:cs="Times New Roman"/>
          <w:color w:val="auto"/>
          <w:kern w:val="2"/>
          <w:sz w:val="32"/>
          <w:szCs w:val="32"/>
          <w:highlight w:val="none"/>
          <w:lang w:val="en-US" w:eastAsia="zh-CN" w:bidi="ar-SA"/>
        </w:rPr>
      </w:pPr>
      <w:bookmarkStart w:id="34" w:name="_Toc15396608"/>
      <w:bookmarkStart w:id="35" w:name="_Toc15377214"/>
      <w:r>
        <w:rPr>
          <w:rFonts w:hint="default" w:ascii="Times New Roman" w:hAnsi="Times New Roman" w:eastAsia="仿宋_GB2312" w:cs="Times New Roman"/>
          <w:color w:val="auto"/>
          <w:kern w:val="2"/>
          <w:sz w:val="32"/>
          <w:szCs w:val="32"/>
          <w:highlight w:val="none"/>
          <w:lang w:val="en-US" w:eastAsia="zh-CN" w:bidi="ar-SA"/>
        </w:rPr>
        <w:t>2.社会保障和就业支出（类）人力资源和社会保障管理事务（款）行政运行（项）:支出决算为991.4</w:t>
      </w:r>
      <w:r>
        <w:rPr>
          <w:rFonts w:hint="eastAsia" w:eastAsia="仿宋_GB2312" w:cs="Times New Roman"/>
          <w:color w:val="auto"/>
          <w:kern w:val="2"/>
          <w:sz w:val="32"/>
          <w:szCs w:val="32"/>
          <w:highlight w:val="none"/>
          <w:lang w:val="en-US" w:eastAsia="zh-CN" w:bidi="ar-SA"/>
        </w:rPr>
        <w:t>6</w:t>
      </w:r>
      <w:r>
        <w:rPr>
          <w:rFonts w:hint="default" w:ascii="Times New Roman" w:hAnsi="Times New Roman" w:eastAsia="仿宋_GB2312" w:cs="Times New Roman"/>
          <w:color w:val="auto"/>
          <w:kern w:val="2"/>
          <w:sz w:val="32"/>
          <w:szCs w:val="32"/>
          <w:highlight w:val="none"/>
          <w:lang w:val="en-US" w:eastAsia="zh-CN" w:bidi="ar-SA"/>
        </w:rPr>
        <w:t>万元，完成预算100%，决算数等于预算数。</w:t>
      </w:r>
    </w:p>
    <w:p w14:paraId="6DDB9F86">
      <w:pPr>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default" w:ascii="Times New Roman" w:hAnsi="Times New Roman" w:eastAsia="仿宋_GB2312" w:cs="Times New Roman"/>
          <w:color w:val="auto"/>
          <w:kern w:val="2"/>
          <w:sz w:val="32"/>
          <w:szCs w:val="32"/>
          <w:highlight w:val="none"/>
          <w:lang w:val="en-US" w:eastAsia="zh-CN" w:bidi="ar-SA"/>
        </w:rPr>
      </w:pPr>
      <w:r>
        <w:rPr>
          <w:rFonts w:hint="default" w:ascii="Times New Roman" w:hAnsi="Times New Roman" w:eastAsia="仿宋_GB2312" w:cs="Times New Roman"/>
          <w:color w:val="auto"/>
          <w:kern w:val="2"/>
          <w:sz w:val="32"/>
          <w:szCs w:val="32"/>
          <w:highlight w:val="none"/>
          <w:lang w:val="en-US" w:eastAsia="zh-CN" w:bidi="ar-SA"/>
        </w:rPr>
        <w:t>3.社会保障和就业支出（类）人力资源和社会保障管理事务（款）社会保险经办机构（项）:支出决算为140.59万元，完成预算100%，决算数等于预算数。</w:t>
      </w:r>
    </w:p>
    <w:p w14:paraId="56DFF71C">
      <w:pPr>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default" w:ascii="Times New Roman" w:hAnsi="Times New Roman" w:eastAsia="仿宋_GB2312" w:cs="Times New Roman"/>
          <w:color w:val="auto"/>
          <w:kern w:val="2"/>
          <w:sz w:val="32"/>
          <w:szCs w:val="32"/>
          <w:highlight w:val="none"/>
          <w:lang w:val="en-US" w:eastAsia="zh-CN" w:bidi="ar-SA"/>
        </w:rPr>
      </w:pPr>
      <w:r>
        <w:rPr>
          <w:rFonts w:hint="default" w:ascii="Times New Roman" w:hAnsi="Times New Roman" w:eastAsia="仿宋_GB2312" w:cs="Times New Roman"/>
          <w:color w:val="auto"/>
          <w:kern w:val="2"/>
          <w:sz w:val="32"/>
          <w:szCs w:val="32"/>
          <w:highlight w:val="none"/>
          <w:lang w:val="en-US" w:eastAsia="zh-CN" w:bidi="ar-SA"/>
        </w:rPr>
        <w:t>4.社会保障和就业支出（类）行政事业单位养老支出（款）行政单位离退休（项）:支出决算为103.77万元，完成预算100%，决算数等于预算数。</w:t>
      </w:r>
    </w:p>
    <w:p w14:paraId="6705B5E8">
      <w:pPr>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default" w:ascii="Times New Roman" w:hAnsi="Times New Roman" w:eastAsia="仿宋_GB2312" w:cs="Times New Roman"/>
          <w:color w:val="auto"/>
          <w:kern w:val="2"/>
          <w:sz w:val="32"/>
          <w:szCs w:val="32"/>
          <w:highlight w:val="none"/>
          <w:lang w:val="en-US" w:eastAsia="zh-CN" w:bidi="ar-SA"/>
        </w:rPr>
      </w:pPr>
      <w:r>
        <w:rPr>
          <w:rFonts w:hint="default" w:ascii="Times New Roman" w:hAnsi="Times New Roman" w:eastAsia="仿宋_GB2312" w:cs="Times New Roman"/>
          <w:color w:val="auto"/>
          <w:kern w:val="2"/>
          <w:sz w:val="32"/>
          <w:szCs w:val="32"/>
          <w:highlight w:val="none"/>
          <w:lang w:val="en-US" w:eastAsia="zh-CN" w:bidi="ar-SA"/>
        </w:rPr>
        <w:t>5.社会保障和就业支出（类）行政事业单位养老支出（款）机关事业单位基本养老保险缴费支出（项）:支出决算为115.07万元，完成预算100%，决算数等于预算数。</w:t>
      </w:r>
    </w:p>
    <w:p w14:paraId="0A75BABD">
      <w:pPr>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default" w:ascii="Times New Roman" w:hAnsi="Times New Roman" w:eastAsia="仿宋_GB2312" w:cs="Times New Roman"/>
          <w:color w:val="auto"/>
          <w:kern w:val="2"/>
          <w:sz w:val="32"/>
          <w:szCs w:val="32"/>
          <w:highlight w:val="none"/>
          <w:lang w:val="en-US" w:eastAsia="zh-CN" w:bidi="ar-SA"/>
        </w:rPr>
      </w:pPr>
      <w:r>
        <w:rPr>
          <w:rFonts w:hint="default" w:ascii="Times New Roman" w:hAnsi="Times New Roman" w:eastAsia="仿宋_GB2312" w:cs="Times New Roman"/>
          <w:color w:val="auto"/>
          <w:kern w:val="2"/>
          <w:sz w:val="32"/>
          <w:szCs w:val="32"/>
          <w:highlight w:val="none"/>
          <w:lang w:val="en-US" w:eastAsia="zh-CN" w:bidi="ar-SA"/>
        </w:rPr>
        <w:t>6.社会保障和就业支出（类）行政事业单位养老支出（款）机关事业单位职业年金缴费支出（项）:支出决算为16.16万元，完成预算100%，决算数等于预算数。</w:t>
      </w:r>
    </w:p>
    <w:p w14:paraId="5F3683D0">
      <w:pPr>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default" w:ascii="Times New Roman" w:hAnsi="Times New Roman" w:eastAsia="仿宋_GB2312" w:cs="Times New Roman"/>
          <w:color w:val="auto"/>
          <w:kern w:val="2"/>
          <w:sz w:val="32"/>
          <w:szCs w:val="32"/>
          <w:highlight w:val="none"/>
          <w:lang w:val="en-US" w:eastAsia="zh-CN" w:bidi="ar-SA"/>
        </w:rPr>
      </w:pPr>
      <w:r>
        <w:rPr>
          <w:rFonts w:hint="default" w:ascii="Times New Roman" w:hAnsi="Times New Roman" w:eastAsia="仿宋_GB2312" w:cs="Times New Roman"/>
          <w:color w:val="auto"/>
          <w:kern w:val="2"/>
          <w:sz w:val="32"/>
          <w:szCs w:val="32"/>
          <w:highlight w:val="none"/>
          <w:lang w:val="en-US" w:eastAsia="zh-CN" w:bidi="ar-SA"/>
        </w:rPr>
        <w:t>7.卫生健康支出（类）行政事业单位医疗（款）行政单位医疗（项）:支出决算为61.36万元，完成预算100%，决算数等于预算数。</w:t>
      </w:r>
    </w:p>
    <w:p w14:paraId="45D12DB4">
      <w:pPr>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default" w:ascii="Times New Roman" w:hAnsi="Times New Roman" w:eastAsia="仿宋_GB2312" w:cs="Times New Roman"/>
          <w:color w:val="auto"/>
          <w:kern w:val="2"/>
          <w:sz w:val="32"/>
          <w:szCs w:val="32"/>
          <w:highlight w:val="none"/>
          <w:lang w:val="en-US" w:eastAsia="zh-CN" w:bidi="ar-SA"/>
        </w:rPr>
      </w:pPr>
      <w:r>
        <w:rPr>
          <w:rFonts w:hint="default" w:ascii="Times New Roman" w:hAnsi="Times New Roman" w:eastAsia="仿宋_GB2312" w:cs="Times New Roman"/>
          <w:color w:val="auto"/>
          <w:kern w:val="2"/>
          <w:sz w:val="32"/>
          <w:szCs w:val="32"/>
          <w:highlight w:val="none"/>
          <w:lang w:val="en-US" w:eastAsia="zh-CN" w:bidi="ar-SA"/>
        </w:rPr>
        <w:t>8.卫生健康支出（类）行政事业单位医疗（款）公务员医疗补助（项）:支出决算为6.84万元，完成预算100%，决算数等于预算数。</w:t>
      </w:r>
    </w:p>
    <w:p w14:paraId="43D5BDE2">
      <w:pPr>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default" w:ascii="Times New Roman" w:hAnsi="Times New Roman" w:eastAsia="仿宋_GB2312" w:cs="Times New Roman"/>
          <w:color w:val="auto"/>
          <w:kern w:val="2"/>
          <w:sz w:val="32"/>
          <w:szCs w:val="32"/>
          <w:highlight w:val="none"/>
          <w:lang w:val="en-US" w:eastAsia="zh-CN" w:bidi="ar-SA"/>
        </w:rPr>
      </w:pPr>
      <w:r>
        <w:rPr>
          <w:rFonts w:hint="default" w:ascii="Times New Roman" w:hAnsi="Times New Roman" w:eastAsia="仿宋_GB2312" w:cs="Times New Roman"/>
          <w:color w:val="auto"/>
          <w:kern w:val="2"/>
          <w:sz w:val="32"/>
          <w:szCs w:val="32"/>
          <w:highlight w:val="none"/>
          <w:lang w:val="en-US" w:eastAsia="zh-CN" w:bidi="ar-SA"/>
        </w:rPr>
        <w:t>9.卫生健康支出（类）行政事业单位医疗（款）其他行政事业单位医疗支出（项）:支出决算为7.73万元，完成预算100%，决算数等于预算数。</w:t>
      </w:r>
    </w:p>
    <w:p w14:paraId="01638C6F">
      <w:pPr>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default" w:ascii="Times New Roman" w:hAnsi="Times New Roman" w:eastAsia="仿宋_GB2312" w:cs="Times New Roman"/>
          <w:color w:val="auto"/>
          <w:kern w:val="2"/>
          <w:sz w:val="32"/>
          <w:szCs w:val="32"/>
          <w:highlight w:val="none"/>
          <w:lang w:val="en-US" w:eastAsia="zh-CN" w:bidi="ar-SA"/>
        </w:rPr>
      </w:pPr>
      <w:r>
        <w:rPr>
          <w:rFonts w:hint="default" w:ascii="Times New Roman" w:hAnsi="Times New Roman" w:eastAsia="仿宋_GB2312" w:cs="Times New Roman"/>
          <w:color w:val="auto"/>
          <w:kern w:val="2"/>
          <w:sz w:val="32"/>
          <w:szCs w:val="32"/>
          <w:highlight w:val="none"/>
          <w:lang w:val="en-US" w:eastAsia="zh-CN" w:bidi="ar-SA"/>
        </w:rPr>
        <w:t>10.住房保障支出（类）住房改革支出（款）住房公积金（项）:支出决算为94.12万元，完成预算100%，决算数等于预算数。</w:t>
      </w:r>
    </w:p>
    <w:p w14:paraId="7250657C">
      <w:pPr>
        <w:keepNext w:val="0"/>
        <w:keepLines w:val="0"/>
        <w:pageBreakBefore w:val="0"/>
        <w:widowControl w:val="0"/>
        <w:tabs>
          <w:tab w:val="right" w:pos="8306"/>
        </w:tabs>
        <w:kinsoku/>
        <w:wordWrap/>
        <w:overflowPunct/>
        <w:topLinePunct w:val="0"/>
        <w:autoSpaceDE/>
        <w:autoSpaceDN/>
        <w:bidi w:val="0"/>
        <w:adjustRightInd/>
        <w:snapToGrid/>
        <w:spacing w:line="360" w:lineRule="auto"/>
        <w:ind w:firstLine="640"/>
        <w:textAlignment w:val="auto"/>
        <w:outlineLvl w:val="1"/>
        <w:rPr>
          <w:rStyle w:val="32"/>
          <w:rFonts w:hint="default" w:ascii="Times New Roman" w:hAnsi="Times New Roman" w:cs="Times New Roman"/>
          <w:color w:val="auto"/>
          <w:highlight w:val="none"/>
        </w:rPr>
      </w:pPr>
      <w:r>
        <w:rPr>
          <w:rFonts w:hint="default" w:ascii="Times New Roman" w:hAnsi="Times New Roman" w:eastAsia="黑体" w:cs="Times New Roman"/>
          <w:color w:val="auto"/>
          <w:sz w:val="32"/>
          <w:szCs w:val="32"/>
          <w:highlight w:val="none"/>
        </w:rPr>
        <w:t>六</w:t>
      </w:r>
      <w:r>
        <w:rPr>
          <w:rFonts w:hint="default" w:ascii="Times New Roman" w:hAnsi="Times New Roman" w:eastAsia="黑体" w:cs="Times New Roman"/>
          <w:b/>
          <w:color w:val="auto"/>
          <w:sz w:val="32"/>
          <w:szCs w:val="32"/>
          <w:highlight w:val="none"/>
        </w:rPr>
        <w:t>、一</w:t>
      </w:r>
      <w:r>
        <w:rPr>
          <w:rStyle w:val="32"/>
          <w:rFonts w:hint="default" w:ascii="Times New Roman" w:hAnsi="Times New Roman" w:eastAsia="黑体" w:cs="Times New Roman"/>
          <w:b w:val="0"/>
          <w:color w:val="auto"/>
          <w:highlight w:val="none"/>
        </w:rPr>
        <w:t>般公共预算财政拨款基本支出决算情况说明</w:t>
      </w:r>
      <w:bookmarkEnd w:id="34"/>
      <w:bookmarkEnd w:id="35"/>
      <w:r>
        <w:rPr>
          <w:rStyle w:val="32"/>
          <w:rFonts w:hint="default" w:ascii="Times New Roman" w:hAnsi="Times New Roman" w:eastAsia="黑体" w:cs="Times New Roman"/>
          <w:b w:val="0"/>
          <w:color w:val="auto"/>
          <w:highlight w:val="none"/>
        </w:rPr>
        <w:tab/>
      </w:r>
    </w:p>
    <w:p w14:paraId="55BA1810">
      <w:pPr>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default" w:ascii="Times New Roman" w:hAnsi="Times New Roman" w:eastAsia="仿宋_GB2312" w:cs="Times New Roman"/>
          <w:color w:val="auto"/>
          <w:kern w:val="2"/>
          <w:sz w:val="32"/>
          <w:szCs w:val="32"/>
          <w:highlight w:val="none"/>
          <w:lang w:val="en-US" w:eastAsia="zh-CN" w:bidi="ar-SA"/>
        </w:rPr>
      </w:pPr>
      <w:r>
        <w:rPr>
          <w:rFonts w:hint="default" w:ascii="Times New Roman" w:hAnsi="Times New Roman" w:eastAsia="仿宋_GB2312" w:cs="Times New Roman"/>
          <w:color w:val="auto"/>
          <w:kern w:val="2"/>
          <w:sz w:val="32"/>
          <w:szCs w:val="32"/>
          <w:highlight w:val="none"/>
          <w:lang w:val="en-US" w:eastAsia="zh-CN" w:bidi="ar-SA"/>
        </w:rPr>
        <w:t>2025年度一般公共预算财政拨款基本支出</w:t>
      </w:r>
      <w:r>
        <w:rPr>
          <w:rFonts w:hint="default" w:ascii="Times New Roman" w:hAnsi="Times New Roman" w:eastAsia="仿宋_GB2312" w:cs="Times New Roman"/>
          <w:sz w:val="32"/>
          <w:szCs w:val="32"/>
        </w:rPr>
        <w:t>1462.69</w:t>
      </w:r>
      <w:r>
        <w:rPr>
          <w:rFonts w:hint="default" w:ascii="Times New Roman" w:hAnsi="Times New Roman" w:eastAsia="仿宋_GB2312" w:cs="Times New Roman"/>
          <w:color w:val="auto"/>
          <w:kern w:val="2"/>
          <w:sz w:val="32"/>
          <w:szCs w:val="32"/>
          <w:highlight w:val="none"/>
          <w:lang w:val="en-US" w:eastAsia="zh-CN" w:bidi="ar-SA"/>
        </w:rPr>
        <w:t>万元，其中：</w:t>
      </w:r>
    </w:p>
    <w:p w14:paraId="6F2D951D">
      <w:pPr>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default" w:ascii="Times New Roman" w:hAnsi="Times New Roman" w:eastAsia="仿宋_GB2312" w:cs="Times New Roman"/>
          <w:color w:val="auto"/>
          <w:kern w:val="2"/>
          <w:sz w:val="32"/>
          <w:szCs w:val="32"/>
          <w:highlight w:val="none"/>
          <w:lang w:val="en-US" w:eastAsia="zh-CN" w:bidi="ar-SA"/>
        </w:rPr>
      </w:pPr>
      <w:r>
        <w:rPr>
          <w:rFonts w:hint="default" w:ascii="Times New Roman" w:hAnsi="Times New Roman" w:eastAsia="仿宋_GB2312" w:cs="Times New Roman"/>
          <w:color w:val="auto"/>
          <w:kern w:val="2"/>
          <w:sz w:val="32"/>
          <w:szCs w:val="32"/>
          <w:highlight w:val="none"/>
          <w:lang w:val="en-US" w:eastAsia="zh-CN" w:bidi="ar-SA"/>
        </w:rPr>
        <w:t>人员经费</w:t>
      </w:r>
      <w:r>
        <w:rPr>
          <w:rFonts w:hint="default" w:ascii="Times New Roman" w:hAnsi="Times New Roman" w:eastAsia="仿宋_GB2312" w:cs="Times New Roman"/>
          <w:sz w:val="32"/>
          <w:szCs w:val="32"/>
        </w:rPr>
        <w:t>1332.84</w:t>
      </w:r>
      <w:r>
        <w:rPr>
          <w:rFonts w:hint="default" w:ascii="Times New Roman" w:hAnsi="Times New Roman" w:eastAsia="仿宋_GB2312" w:cs="Times New Roman"/>
          <w:color w:val="auto"/>
          <w:kern w:val="2"/>
          <w:sz w:val="32"/>
          <w:szCs w:val="32"/>
          <w:highlight w:val="none"/>
          <w:lang w:val="en-US" w:eastAsia="zh-CN" w:bidi="ar-SA"/>
        </w:rPr>
        <w:t>万元，主要包括：基本工资、津贴补贴、奖金、机关事业单位基本养老保险缴费、职业年金缴费、职工基本医疗保险缴费、公务员医疗补助缴费、其他社会保障缴费、其他工资福利支出、生活补助、医疗费补助、奖励金、住房公积金、其他对个人和家庭的补助支出。</w:t>
      </w:r>
      <w:r>
        <w:rPr>
          <w:rFonts w:hint="default" w:ascii="Times New Roman" w:hAnsi="Times New Roman" w:eastAsia="仿宋_GB2312" w:cs="Times New Roman"/>
          <w:color w:val="auto"/>
          <w:kern w:val="2"/>
          <w:sz w:val="32"/>
          <w:szCs w:val="32"/>
          <w:highlight w:val="none"/>
          <w:lang w:val="en-US" w:eastAsia="zh-CN" w:bidi="ar-SA"/>
        </w:rPr>
        <w:br w:type="textWrapping"/>
      </w:r>
      <w:r>
        <w:rPr>
          <w:rFonts w:hint="default" w:ascii="Times New Roman" w:hAnsi="Times New Roman" w:eastAsia="仿宋_GB2312" w:cs="Times New Roman"/>
          <w:color w:val="auto"/>
          <w:kern w:val="2"/>
          <w:sz w:val="32"/>
          <w:szCs w:val="32"/>
          <w:highlight w:val="none"/>
          <w:lang w:val="en-US" w:eastAsia="zh-CN" w:bidi="ar-SA"/>
        </w:rPr>
        <w:t>　　公用经费</w:t>
      </w:r>
      <w:r>
        <w:rPr>
          <w:rFonts w:hint="default" w:ascii="Times New Roman" w:hAnsi="Times New Roman" w:eastAsia="仿宋_GB2312" w:cs="Times New Roman"/>
          <w:sz w:val="32"/>
          <w:szCs w:val="32"/>
        </w:rPr>
        <w:t>129.85</w:t>
      </w:r>
      <w:r>
        <w:rPr>
          <w:rFonts w:hint="default" w:ascii="Times New Roman" w:hAnsi="Times New Roman" w:eastAsia="仿宋_GB2312" w:cs="Times New Roman"/>
          <w:color w:val="auto"/>
          <w:kern w:val="2"/>
          <w:sz w:val="32"/>
          <w:szCs w:val="32"/>
          <w:highlight w:val="none"/>
          <w:lang w:val="en-US" w:eastAsia="zh-CN" w:bidi="ar-SA"/>
        </w:rPr>
        <w:t>万元，主要包括：办公费、印刷费、邮电费、差旅费、维修（护）费、培训费、公务接待费、工会经费、福利费、公务用车运行维护费、其他交通费、其他商品和服务支出。</w:t>
      </w:r>
    </w:p>
    <w:p w14:paraId="0CC61164">
      <w:pPr>
        <w:keepNext w:val="0"/>
        <w:keepLines w:val="0"/>
        <w:pageBreakBefore w:val="0"/>
        <w:widowControl w:val="0"/>
        <w:kinsoku/>
        <w:wordWrap/>
        <w:overflowPunct/>
        <w:topLinePunct w:val="0"/>
        <w:autoSpaceDE/>
        <w:autoSpaceDN/>
        <w:bidi w:val="0"/>
        <w:adjustRightInd/>
        <w:snapToGrid/>
        <w:spacing w:line="360" w:lineRule="auto"/>
        <w:ind w:firstLine="640"/>
        <w:textAlignment w:val="auto"/>
        <w:outlineLvl w:val="1"/>
        <w:rPr>
          <w:rStyle w:val="32"/>
          <w:rFonts w:hint="default" w:ascii="Times New Roman" w:hAnsi="Times New Roman" w:eastAsia="黑体" w:cs="Times New Roman"/>
          <w:b w:val="0"/>
          <w:color w:val="auto"/>
          <w:highlight w:val="none"/>
        </w:rPr>
      </w:pPr>
      <w:bookmarkStart w:id="36" w:name="_Toc15396609"/>
      <w:bookmarkStart w:id="37" w:name="_Toc15377215"/>
      <w:r>
        <w:rPr>
          <w:rFonts w:hint="default" w:ascii="Times New Roman" w:hAnsi="Times New Roman" w:eastAsia="黑体" w:cs="Times New Roman"/>
          <w:color w:val="auto"/>
          <w:sz w:val="32"/>
          <w:szCs w:val="32"/>
          <w:highlight w:val="none"/>
        </w:rPr>
        <w:t>七、</w:t>
      </w:r>
      <w:r>
        <w:rPr>
          <w:rStyle w:val="32"/>
          <w:rFonts w:hint="default" w:ascii="Times New Roman" w:hAnsi="Times New Roman" w:eastAsia="黑体" w:cs="Times New Roman"/>
          <w:b w:val="0"/>
          <w:color w:val="auto"/>
          <w:highlight w:val="none"/>
        </w:rPr>
        <w:t>财政拨款</w:t>
      </w:r>
      <w:r>
        <w:rPr>
          <w:rStyle w:val="32"/>
          <w:rFonts w:hint="default" w:ascii="Times New Roman" w:hAnsi="Times New Roman" w:eastAsia="黑体" w:cs="Times New Roman"/>
          <w:color w:val="auto"/>
          <w:highlight w:val="none"/>
        </w:rPr>
        <w:t>“</w:t>
      </w:r>
      <w:r>
        <w:rPr>
          <w:rStyle w:val="32"/>
          <w:rFonts w:hint="default" w:ascii="Times New Roman" w:hAnsi="Times New Roman" w:eastAsia="黑体" w:cs="Times New Roman"/>
          <w:b w:val="0"/>
          <w:color w:val="auto"/>
          <w:highlight w:val="none"/>
        </w:rPr>
        <w:t>三公”经费支出决算情况说明</w:t>
      </w:r>
      <w:bookmarkEnd w:id="36"/>
      <w:bookmarkEnd w:id="37"/>
    </w:p>
    <w:p w14:paraId="0E20870E">
      <w:pPr>
        <w:keepNext w:val="0"/>
        <w:keepLines w:val="0"/>
        <w:pageBreakBefore w:val="0"/>
        <w:widowControl w:val="0"/>
        <w:kinsoku/>
        <w:wordWrap/>
        <w:overflowPunct/>
        <w:topLinePunct w:val="0"/>
        <w:autoSpaceDE/>
        <w:autoSpaceDN/>
        <w:bidi w:val="0"/>
        <w:adjustRightInd/>
        <w:snapToGrid/>
        <w:spacing w:line="360" w:lineRule="auto"/>
        <w:ind w:firstLine="643" w:firstLineChars="200"/>
        <w:textAlignment w:val="auto"/>
        <w:outlineLvl w:val="2"/>
        <w:rPr>
          <w:rFonts w:hint="default" w:ascii="Times New Roman" w:hAnsi="Times New Roman" w:eastAsia="楷体_GB2312" w:cs="Times New Roman"/>
          <w:b/>
          <w:color w:val="auto"/>
          <w:sz w:val="32"/>
          <w:szCs w:val="32"/>
          <w:highlight w:val="none"/>
        </w:rPr>
      </w:pPr>
      <w:bookmarkStart w:id="38" w:name="_Toc15377216"/>
      <w:r>
        <w:rPr>
          <w:rFonts w:hint="default" w:ascii="Times New Roman" w:hAnsi="Times New Roman" w:eastAsia="楷体_GB2312" w:cs="Times New Roman"/>
          <w:b/>
          <w:color w:val="auto"/>
          <w:sz w:val="32"/>
          <w:szCs w:val="32"/>
          <w:highlight w:val="none"/>
        </w:rPr>
        <w:t>（一）财政拨款“三公”经费支出决算总体情况说明</w:t>
      </w:r>
      <w:bookmarkEnd w:id="38"/>
    </w:p>
    <w:p w14:paraId="004F7599">
      <w:pPr>
        <w:keepNext w:val="0"/>
        <w:keepLines w:val="0"/>
        <w:pageBreakBefore w:val="0"/>
        <w:widowControl w:val="0"/>
        <w:kinsoku/>
        <w:wordWrap/>
        <w:overflowPunct/>
        <w:topLinePunct w:val="0"/>
        <w:autoSpaceDE/>
        <w:autoSpaceDN/>
        <w:bidi w:val="0"/>
        <w:adjustRightInd/>
        <w:snapToGrid/>
        <w:spacing w:line="600" w:lineRule="exact"/>
        <w:ind w:firstLine="640"/>
        <w:textAlignment w:val="auto"/>
        <w:rPr>
          <w:rFonts w:hint="default" w:ascii="Times New Roman" w:hAnsi="Times New Roman" w:eastAsia="仿宋" w:cs="Times New Roman"/>
          <w:color w:val="auto"/>
          <w:sz w:val="32"/>
          <w:szCs w:val="32"/>
          <w:highlight w:val="none"/>
        </w:rPr>
      </w:pPr>
      <w:r>
        <w:rPr>
          <w:rFonts w:hint="default" w:ascii="Times New Roman" w:hAnsi="Times New Roman" w:eastAsia="仿宋_GB2312" w:cs="Times New Roman"/>
          <w:color w:val="auto"/>
          <w:kern w:val="2"/>
          <w:sz w:val="32"/>
          <w:szCs w:val="32"/>
          <w:highlight w:val="none"/>
          <w:lang w:val="en-US" w:eastAsia="zh-CN" w:bidi="ar-SA"/>
        </w:rPr>
        <w:t>2025年度财政拨款“三公”经费支出决算为</w:t>
      </w:r>
      <w:r>
        <w:rPr>
          <w:rFonts w:hint="default" w:ascii="Times New Roman" w:hAnsi="Times New Roman" w:eastAsia="仿宋_GB2312" w:cs="Times New Roman"/>
          <w:sz w:val="32"/>
          <w:szCs w:val="32"/>
        </w:rPr>
        <w:t>1.62</w:t>
      </w:r>
      <w:r>
        <w:rPr>
          <w:rFonts w:hint="default" w:ascii="Times New Roman" w:hAnsi="Times New Roman" w:eastAsia="仿宋_GB2312" w:cs="Times New Roman"/>
          <w:color w:val="auto"/>
          <w:kern w:val="2"/>
          <w:sz w:val="32"/>
          <w:szCs w:val="32"/>
          <w:highlight w:val="none"/>
          <w:lang w:val="en-US" w:eastAsia="zh-CN" w:bidi="ar-SA"/>
        </w:rPr>
        <w:t>万元，完成预算</w:t>
      </w:r>
      <w:r>
        <w:rPr>
          <w:rFonts w:hint="default" w:ascii="Times New Roman" w:hAnsi="Times New Roman" w:eastAsia="仿宋_GB2312" w:cs="Times New Roman"/>
          <w:sz w:val="32"/>
          <w:szCs w:val="32"/>
        </w:rPr>
        <w:t>100</w:t>
      </w:r>
      <w:r>
        <w:rPr>
          <w:rFonts w:hint="default" w:ascii="Times New Roman" w:hAnsi="Times New Roman" w:eastAsia="仿宋_GB2312" w:cs="Times New Roman"/>
          <w:color w:val="auto"/>
          <w:kern w:val="2"/>
          <w:sz w:val="32"/>
          <w:szCs w:val="32"/>
          <w:highlight w:val="none"/>
          <w:lang w:val="en-US" w:eastAsia="zh-CN" w:bidi="ar-SA"/>
        </w:rPr>
        <w:t>%，较上年度减少0.62万元，下降27.68%。</w:t>
      </w:r>
      <w:r>
        <w:rPr>
          <w:rFonts w:hint="default" w:ascii="Times New Roman" w:hAnsi="Times New Roman" w:eastAsia="仿宋" w:cs="Times New Roman"/>
          <w:color w:val="auto"/>
          <w:sz w:val="32"/>
          <w:szCs w:val="32"/>
        </w:rPr>
        <w:t>决算数与预算数持平。</w:t>
      </w:r>
    </w:p>
    <w:p w14:paraId="6E485C04">
      <w:pPr>
        <w:keepNext w:val="0"/>
        <w:keepLines w:val="0"/>
        <w:pageBreakBefore w:val="0"/>
        <w:widowControl w:val="0"/>
        <w:kinsoku/>
        <w:wordWrap/>
        <w:overflowPunct/>
        <w:topLinePunct w:val="0"/>
        <w:autoSpaceDE/>
        <w:autoSpaceDN/>
        <w:bidi w:val="0"/>
        <w:adjustRightInd/>
        <w:snapToGrid/>
        <w:spacing w:line="360" w:lineRule="auto"/>
        <w:ind w:firstLine="643" w:firstLineChars="200"/>
        <w:textAlignment w:val="auto"/>
        <w:outlineLvl w:val="2"/>
        <w:rPr>
          <w:rFonts w:hint="default" w:ascii="Times New Roman" w:hAnsi="Times New Roman" w:eastAsia="楷体_GB2312" w:cs="Times New Roman"/>
          <w:b/>
          <w:color w:val="auto"/>
          <w:sz w:val="32"/>
          <w:szCs w:val="32"/>
          <w:highlight w:val="none"/>
        </w:rPr>
      </w:pPr>
      <w:bookmarkStart w:id="39" w:name="_Toc15377217"/>
      <w:r>
        <w:rPr>
          <w:rFonts w:hint="default" w:ascii="Times New Roman" w:hAnsi="Times New Roman" w:eastAsia="楷体_GB2312" w:cs="Times New Roman"/>
          <w:b/>
          <w:color w:val="auto"/>
          <w:sz w:val="32"/>
          <w:szCs w:val="32"/>
          <w:highlight w:val="none"/>
        </w:rPr>
        <w:t>（二）财政拨款“三公”经费支出决算具体情况说明</w:t>
      </w:r>
      <w:bookmarkEnd w:id="39"/>
    </w:p>
    <w:p w14:paraId="34A98C22">
      <w:pPr>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default" w:ascii="Times New Roman" w:hAnsi="Times New Roman" w:eastAsia="仿宋_GB2312" w:cs="Times New Roman"/>
          <w:color w:val="auto"/>
          <w:kern w:val="2"/>
          <w:sz w:val="32"/>
          <w:szCs w:val="32"/>
          <w:highlight w:val="none"/>
          <w:lang w:val="en-US" w:eastAsia="zh-CN" w:bidi="ar-SA"/>
        </w:rPr>
      </w:pPr>
      <w:r>
        <w:rPr>
          <w:rFonts w:hint="default" w:ascii="Times New Roman" w:hAnsi="Times New Roman" w:eastAsia="仿宋_GB2312" w:cs="Times New Roman"/>
          <w:color w:val="auto"/>
          <w:kern w:val="2"/>
          <w:sz w:val="32"/>
          <w:szCs w:val="32"/>
          <w:highlight w:val="none"/>
          <w:lang w:val="en-US" w:eastAsia="zh-CN" w:bidi="ar-SA"/>
        </w:rPr>
        <w:t>2025年度财政拨款“三公”经费支出决算中，因公出国（境）费支出决算</w:t>
      </w:r>
      <w:r>
        <w:rPr>
          <w:rFonts w:hint="default" w:ascii="Times New Roman" w:hAnsi="Times New Roman" w:eastAsia="仿宋_GB2312" w:cs="Times New Roman"/>
          <w:sz w:val="32"/>
          <w:szCs w:val="32"/>
        </w:rPr>
        <w:t>0</w:t>
      </w:r>
      <w:r>
        <w:rPr>
          <w:rFonts w:hint="default" w:ascii="Times New Roman" w:hAnsi="Times New Roman" w:eastAsia="仿宋_GB2312" w:cs="Times New Roman"/>
          <w:color w:val="auto"/>
          <w:kern w:val="2"/>
          <w:sz w:val="32"/>
          <w:szCs w:val="32"/>
          <w:highlight w:val="none"/>
          <w:lang w:val="en-US" w:eastAsia="zh-CN" w:bidi="ar-SA"/>
        </w:rPr>
        <w:t>万元，占0%；公务用车购置及运行维护费支出决算</w:t>
      </w:r>
      <w:r>
        <w:rPr>
          <w:rFonts w:hint="default" w:ascii="Times New Roman" w:hAnsi="Times New Roman" w:eastAsia="仿宋_GB2312" w:cs="Times New Roman"/>
          <w:sz w:val="32"/>
          <w:szCs w:val="32"/>
        </w:rPr>
        <w:t>1.12</w:t>
      </w:r>
      <w:r>
        <w:rPr>
          <w:rFonts w:hint="default" w:ascii="Times New Roman" w:hAnsi="Times New Roman" w:eastAsia="仿宋_GB2312" w:cs="Times New Roman"/>
          <w:color w:val="auto"/>
          <w:kern w:val="2"/>
          <w:sz w:val="32"/>
          <w:szCs w:val="32"/>
          <w:highlight w:val="none"/>
          <w:lang w:val="en-US" w:eastAsia="zh-CN" w:bidi="ar-SA"/>
        </w:rPr>
        <w:t>万元，占69.14%；公务接待费支出决算</w:t>
      </w:r>
      <w:r>
        <w:rPr>
          <w:rFonts w:hint="default" w:ascii="Times New Roman" w:hAnsi="Times New Roman" w:eastAsia="仿宋_GB2312" w:cs="Times New Roman"/>
          <w:sz w:val="32"/>
          <w:szCs w:val="32"/>
        </w:rPr>
        <w:t>0.5</w:t>
      </w:r>
      <w:r>
        <w:rPr>
          <w:rFonts w:hint="default" w:ascii="Times New Roman" w:hAnsi="Times New Roman" w:eastAsia="仿宋_GB2312" w:cs="Times New Roman"/>
          <w:color w:val="auto"/>
          <w:kern w:val="2"/>
          <w:sz w:val="32"/>
          <w:szCs w:val="32"/>
          <w:highlight w:val="none"/>
          <w:lang w:val="en-US" w:eastAsia="zh-CN" w:bidi="ar-SA"/>
        </w:rPr>
        <w:t>万元，占30.86%。具体情况如下：</w:t>
      </w:r>
    </w:p>
    <w:p w14:paraId="04F7594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rPr>
      </w:pPr>
      <w:r>
        <w:rPr>
          <w:rFonts w:hint="default" w:ascii="Times New Roman" w:hAnsi="Times New Roman" w:cs="Times New Roman"/>
        </w:rPr>
        <w:drawing>
          <wp:inline distT="0" distB="0" distL="114300" distR="114300">
            <wp:extent cx="4826000" cy="2743200"/>
            <wp:effectExtent l="4445" t="4445" r="8255" b="52705"/>
            <wp:docPr id="7" name="图表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79F89DB4">
      <w:pPr>
        <w:keepNext w:val="0"/>
        <w:keepLines w:val="0"/>
        <w:pageBreakBefore w:val="0"/>
        <w:widowControl w:val="0"/>
        <w:kinsoku/>
        <w:wordWrap/>
        <w:overflowPunct/>
        <w:topLinePunct w:val="0"/>
        <w:autoSpaceDE/>
        <w:autoSpaceDN/>
        <w:bidi w:val="0"/>
        <w:adjustRightInd/>
        <w:snapToGrid/>
        <w:spacing w:line="360" w:lineRule="auto"/>
        <w:ind w:firstLine="643" w:firstLineChars="200"/>
        <w:jc w:val="both"/>
        <w:textAlignment w:val="auto"/>
        <w:rPr>
          <w:rFonts w:hint="default" w:ascii="Times New Roman" w:hAnsi="Times New Roman" w:eastAsia="仿宋_GB2312" w:cs="Times New Roman"/>
          <w:color w:val="auto"/>
          <w:kern w:val="2"/>
          <w:sz w:val="32"/>
          <w:szCs w:val="32"/>
          <w:highlight w:val="none"/>
          <w:lang w:val="en-US" w:eastAsia="zh-CN" w:bidi="ar-SA"/>
        </w:rPr>
      </w:pPr>
      <w:r>
        <w:rPr>
          <w:rFonts w:hint="default" w:ascii="Times New Roman" w:hAnsi="Times New Roman" w:eastAsia="仿宋_GB2312" w:cs="Times New Roman"/>
          <w:b/>
          <w:bCs/>
          <w:color w:val="auto"/>
          <w:kern w:val="2"/>
          <w:sz w:val="32"/>
          <w:szCs w:val="32"/>
          <w:highlight w:val="none"/>
          <w:lang w:val="en-US" w:eastAsia="zh-CN" w:bidi="ar-SA"/>
        </w:rPr>
        <w:t>1.因公出国（境）经费支出</w:t>
      </w:r>
      <w:r>
        <w:rPr>
          <w:rFonts w:hint="default" w:ascii="Times New Roman" w:hAnsi="Times New Roman" w:eastAsia="仿宋_GB2312" w:cs="Times New Roman"/>
          <w:sz w:val="32"/>
          <w:szCs w:val="32"/>
        </w:rPr>
        <w:t>0</w:t>
      </w:r>
      <w:r>
        <w:rPr>
          <w:rFonts w:hint="default" w:ascii="Times New Roman" w:hAnsi="Times New Roman" w:eastAsia="仿宋_GB2312" w:cs="Times New Roman"/>
          <w:b/>
          <w:bCs/>
          <w:color w:val="auto"/>
          <w:kern w:val="2"/>
          <w:sz w:val="32"/>
          <w:szCs w:val="32"/>
          <w:highlight w:val="none"/>
          <w:lang w:val="en-US" w:eastAsia="zh-CN" w:bidi="ar-SA"/>
        </w:rPr>
        <w:t>万元，完成预算0%。</w:t>
      </w:r>
      <w:r>
        <w:rPr>
          <w:rFonts w:hint="default" w:ascii="Times New Roman" w:hAnsi="Times New Roman" w:eastAsia="仿宋_GB2312" w:cs="Times New Roman"/>
          <w:color w:val="auto"/>
          <w:kern w:val="2"/>
          <w:sz w:val="32"/>
          <w:szCs w:val="32"/>
          <w:highlight w:val="none"/>
          <w:lang w:val="en-US" w:eastAsia="zh-CN" w:bidi="ar-SA"/>
        </w:rPr>
        <w:t>全年安排因公出国（境）团组</w:t>
      </w:r>
      <w:r>
        <w:rPr>
          <w:rFonts w:hint="default" w:ascii="Times New Roman" w:hAnsi="Times New Roman" w:eastAsia="仿宋_GB2312" w:cs="Times New Roman"/>
          <w:sz w:val="32"/>
          <w:szCs w:val="32"/>
        </w:rPr>
        <w:t>0</w:t>
      </w:r>
      <w:r>
        <w:rPr>
          <w:rFonts w:hint="default" w:ascii="Times New Roman" w:hAnsi="Times New Roman" w:eastAsia="仿宋_GB2312" w:cs="Times New Roman"/>
          <w:color w:val="auto"/>
          <w:kern w:val="2"/>
          <w:sz w:val="32"/>
          <w:szCs w:val="32"/>
          <w:highlight w:val="none"/>
          <w:lang w:val="en-US" w:eastAsia="zh-CN" w:bidi="ar-SA"/>
        </w:rPr>
        <w:t>次，出国（境）</w:t>
      </w:r>
      <w:r>
        <w:rPr>
          <w:rFonts w:hint="default" w:ascii="Times New Roman" w:hAnsi="Times New Roman" w:eastAsia="仿宋_GB2312" w:cs="Times New Roman"/>
          <w:sz w:val="32"/>
          <w:szCs w:val="32"/>
        </w:rPr>
        <w:t>0</w:t>
      </w:r>
      <w:r>
        <w:rPr>
          <w:rFonts w:hint="default" w:ascii="Times New Roman" w:hAnsi="Times New Roman" w:eastAsia="仿宋_GB2312" w:cs="Times New Roman"/>
          <w:color w:val="auto"/>
          <w:kern w:val="2"/>
          <w:sz w:val="32"/>
          <w:szCs w:val="32"/>
          <w:highlight w:val="none"/>
          <w:lang w:val="en-US" w:eastAsia="zh-CN" w:bidi="ar-SA"/>
        </w:rPr>
        <w:t>人。因公出国（境）支出决算比上年度</w:t>
      </w:r>
      <w:r>
        <w:rPr>
          <w:rFonts w:hint="default" w:ascii="Times New Roman" w:hAnsi="Times New Roman" w:eastAsia="仿宋_GB2312" w:cs="Times New Roman"/>
          <w:color w:val="auto"/>
          <w:sz w:val="32"/>
          <w:szCs w:val="32"/>
          <w:highlight w:val="none"/>
        </w:rPr>
        <w:t>增加</w:t>
      </w:r>
      <w:r>
        <w:rPr>
          <w:rFonts w:hint="default" w:ascii="Times New Roman" w:hAnsi="Times New Roman" w:eastAsia="仿宋_GB2312" w:cs="Times New Roman"/>
          <w:color w:val="auto"/>
          <w:sz w:val="32"/>
          <w:szCs w:val="32"/>
          <w:highlight w:val="none"/>
          <w:lang w:val="en-US" w:eastAsia="zh-CN"/>
        </w:rPr>
        <w:t>0</w:t>
      </w:r>
      <w:r>
        <w:rPr>
          <w:rFonts w:hint="default" w:ascii="Times New Roman" w:hAnsi="Times New Roman" w:eastAsia="仿宋_GB2312" w:cs="Times New Roman"/>
          <w:color w:val="auto"/>
          <w:sz w:val="32"/>
          <w:szCs w:val="32"/>
          <w:highlight w:val="none"/>
        </w:rPr>
        <w:t>万元，增长</w:t>
      </w:r>
      <w:r>
        <w:rPr>
          <w:rFonts w:hint="default" w:ascii="Times New Roman" w:hAnsi="Times New Roman" w:eastAsia="仿宋_GB2312" w:cs="Times New Roman"/>
          <w:color w:val="auto"/>
          <w:sz w:val="32"/>
          <w:szCs w:val="32"/>
          <w:highlight w:val="none"/>
          <w:lang w:val="en-US" w:eastAsia="zh-CN"/>
        </w:rPr>
        <w:t>0</w:t>
      </w:r>
      <w:r>
        <w:rPr>
          <w:rFonts w:hint="default" w:ascii="Times New Roman" w:hAnsi="Times New Roman" w:eastAsia="仿宋_GB2312" w:cs="Times New Roman"/>
          <w:color w:val="auto"/>
          <w:sz w:val="32"/>
          <w:szCs w:val="32"/>
          <w:highlight w:val="none"/>
        </w:rPr>
        <w:t>%。</w:t>
      </w:r>
    </w:p>
    <w:p w14:paraId="67F8F318">
      <w:pPr>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default" w:ascii="Times New Roman" w:hAnsi="Times New Roman" w:eastAsia="仿宋_GB2312" w:cs="Times New Roman"/>
          <w:color w:val="auto"/>
          <w:kern w:val="2"/>
          <w:sz w:val="32"/>
          <w:szCs w:val="32"/>
          <w:highlight w:val="none"/>
          <w:lang w:val="en-US" w:eastAsia="zh-CN" w:bidi="ar-SA"/>
        </w:rPr>
      </w:pPr>
      <w:r>
        <w:rPr>
          <w:rFonts w:hint="default" w:ascii="Times New Roman" w:hAnsi="Times New Roman" w:eastAsia="仿宋_GB2312" w:cs="Times New Roman"/>
          <w:b/>
          <w:bCs/>
          <w:color w:val="auto"/>
          <w:kern w:val="2"/>
          <w:sz w:val="32"/>
          <w:szCs w:val="32"/>
          <w:highlight w:val="none"/>
          <w:lang w:val="en-US" w:eastAsia="zh-CN" w:bidi="ar-SA"/>
        </w:rPr>
        <w:t>2.公务用车购置及运行维护费支出1.12万元，完成预算100%。</w:t>
      </w:r>
      <w:r>
        <w:rPr>
          <w:rFonts w:hint="default" w:ascii="Times New Roman" w:hAnsi="Times New Roman" w:eastAsia="仿宋_GB2312" w:cs="Times New Roman"/>
          <w:color w:val="auto"/>
          <w:kern w:val="2"/>
          <w:sz w:val="32"/>
          <w:szCs w:val="32"/>
          <w:highlight w:val="none"/>
          <w:lang w:val="en-US" w:eastAsia="zh-CN" w:bidi="ar-SA"/>
        </w:rPr>
        <w:t>公务用车购置及运行维护费支出决算比上年度减少0.01万元，下降0.88%。主要原因是车辆维修减少。</w:t>
      </w:r>
    </w:p>
    <w:p w14:paraId="2ABD6087">
      <w:pPr>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default" w:ascii="Times New Roman" w:hAnsi="Times New Roman" w:eastAsia="仿宋_GB2312" w:cs="Times New Roman"/>
          <w:color w:val="auto"/>
          <w:kern w:val="2"/>
          <w:sz w:val="32"/>
          <w:szCs w:val="32"/>
          <w:highlight w:val="none"/>
          <w:lang w:val="en-US" w:eastAsia="zh-CN" w:bidi="ar-SA"/>
        </w:rPr>
      </w:pPr>
      <w:r>
        <w:rPr>
          <w:rFonts w:hint="default" w:ascii="Times New Roman" w:hAnsi="Times New Roman" w:eastAsia="仿宋_GB2312" w:cs="Times New Roman"/>
          <w:color w:val="auto"/>
          <w:kern w:val="2"/>
          <w:sz w:val="32"/>
          <w:szCs w:val="32"/>
          <w:highlight w:val="none"/>
          <w:lang w:val="en-US" w:eastAsia="zh-CN" w:bidi="ar-SA"/>
        </w:rPr>
        <w:t>其中：公务用车购置支出</w:t>
      </w:r>
      <w:r>
        <w:rPr>
          <w:rFonts w:hint="default" w:ascii="Times New Roman" w:hAnsi="Times New Roman" w:eastAsia="仿宋_GB2312" w:cs="Times New Roman"/>
          <w:sz w:val="32"/>
          <w:szCs w:val="32"/>
        </w:rPr>
        <w:t>0</w:t>
      </w:r>
      <w:r>
        <w:rPr>
          <w:rFonts w:hint="default" w:ascii="Times New Roman" w:hAnsi="Times New Roman" w:eastAsia="仿宋_GB2312" w:cs="Times New Roman"/>
          <w:color w:val="auto"/>
          <w:kern w:val="2"/>
          <w:sz w:val="32"/>
          <w:szCs w:val="32"/>
          <w:highlight w:val="none"/>
          <w:lang w:val="en-US" w:eastAsia="zh-CN" w:bidi="ar-SA"/>
        </w:rPr>
        <w:t>万元。全年按规定更新购置公务用车0辆，其中：轿车0辆、金额0万元，越野车0辆、金额0万元，载客汽车0辆、金额0万元。截至2025年12月31日，单位共有公务用车1辆，其中：轿车1辆、越野车0辆、载客汽车0辆。</w:t>
      </w:r>
    </w:p>
    <w:p w14:paraId="10EC6BC7">
      <w:pPr>
        <w:keepNext w:val="0"/>
        <w:keepLines w:val="0"/>
        <w:pageBreakBefore w:val="0"/>
        <w:widowControl w:val="0"/>
        <w:kinsoku/>
        <w:wordWrap/>
        <w:overflowPunct/>
        <w:topLinePunct w:val="0"/>
        <w:autoSpaceDE/>
        <w:autoSpaceDN/>
        <w:bidi w:val="0"/>
        <w:spacing w:line="600" w:lineRule="exact"/>
        <w:ind w:firstLine="640"/>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kern w:val="2"/>
          <w:sz w:val="32"/>
          <w:szCs w:val="32"/>
          <w:highlight w:val="none"/>
          <w:lang w:val="en-US" w:eastAsia="zh-CN" w:bidi="ar-SA"/>
        </w:rPr>
        <w:t>公务用车运行维护费支出</w:t>
      </w:r>
      <w:r>
        <w:rPr>
          <w:rFonts w:hint="default" w:ascii="Times New Roman" w:hAnsi="Times New Roman" w:eastAsia="仿宋_GB2312" w:cs="Times New Roman"/>
          <w:sz w:val="32"/>
          <w:szCs w:val="32"/>
        </w:rPr>
        <w:t>1.12</w:t>
      </w:r>
      <w:r>
        <w:rPr>
          <w:rFonts w:hint="default" w:ascii="Times New Roman" w:hAnsi="Times New Roman" w:eastAsia="仿宋_GB2312" w:cs="Times New Roman"/>
          <w:color w:val="auto"/>
          <w:kern w:val="2"/>
          <w:sz w:val="32"/>
          <w:szCs w:val="32"/>
          <w:highlight w:val="none"/>
          <w:lang w:val="en-US" w:eastAsia="zh-CN" w:bidi="ar-SA"/>
        </w:rPr>
        <w:t>万元。主要</w:t>
      </w:r>
      <w:r>
        <w:rPr>
          <w:rFonts w:hint="default" w:ascii="Times New Roman" w:hAnsi="Times New Roman" w:eastAsia="仿宋_GB2312" w:cs="Times New Roman"/>
          <w:color w:val="auto"/>
          <w:sz w:val="32"/>
          <w:szCs w:val="32"/>
        </w:rPr>
        <w:t>用于</w:t>
      </w:r>
      <w:r>
        <w:rPr>
          <w:rFonts w:hint="default" w:ascii="Times New Roman" w:hAnsi="Times New Roman" w:eastAsia="仿宋_GB2312" w:cs="Times New Roman"/>
          <w:color w:val="auto"/>
          <w:sz w:val="32"/>
          <w:szCs w:val="32"/>
          <w:lang w:eastAsia="zh-CN"/>
        </w:rPr>
        <w:t>工伤预防到</w:t>
      </w:r>
      <w:r>
        <w:rPr>
          <w:rFonts w:hint="default" w:ascii="Times New Roman" w:hAnsi="Times New Roman" w:eastAsia="仿宋_GB2312" w:cs="Times New Roman"/>
          <w:color w:val="auto"/>
          <w:sz w:val="32"/>
          <w:szCs w:val="32"/>
        </w:rPr>
        <w:t>厂矿、企业、医疗机构开展调查取证、现场勘验和常规急救等专业技术工作等所需的公务用车燃料费、维修费、过路过桥费、保险费等支出。</w:t>
      </w:r>
    </w:p>
    <w:p w14:paraId="77816D0A">
      <w:pPr>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default" w:ascii="Times New Roman" w:hAnsi="Times New Roman" w:eastAsia="仿宋_GB2312" w:cs="Times New Roman"/>
          <w:color w:val="auto"/>
          <w:kern w:val="2"/>
          <w:sz w:val="32"/>
          <w:szCs w:val="32"/>
          <w:highlight w:val="none"/>
          <w:lang w:val="en-US" w:eastAsia="zh-CN" w:bidi="ar-SA"/>
        </w:rPr>
      </w:pPr>
      <w:r>
        <w:rPr>
          <w:rFonts w:hint="default" w:ascii="Times New Roman" w:hAnsi="Times New Roman" w:eastAsia="仿宋_GB2312" w:cs="Times New Roman"/>
          <w:b/>
          <w:bCs/>
          <w:color w:val="auto"/>
          <w:kern w:val="2"/>
          <w:sz w:val="32"/>
          <w:szCs w:val="32"/>
          <w:highlight w:val="none"/>
          <w:lang w:val="en-US" w:eastAsia="zh-CN" w:bidi="ar-SA"/>
        </w:rPr>
        <w:t>3.公务接待费支出0.5万元，完成预算100%。</w:t>
      </w:r>
      <w:r>
        <w:rPr>
          <w:rFonts w:hint="default" w:ascii="Times New Roman" w:hAnsi="Times New Roman" w:eastAsia="仿宋_GB2312" w:cs="Times New Roman"/>
          <w:color w:val="auto"/>
          <w:kern w:val="2"/>
          <w:sz w:val="32"/>
          <w:szCs w:val="32"/>
          <w:highlight w:val="none"/>
          <w:lang w:val="en-US" w:eastAsia="zh-CN" w:bidi="ar-SA"/>
        </w:rPr>
        <w:t>公务接待费支出决算比上年度减少0.61万元，下降54.95%。</w:t>
      </w:r>
      <w:r>
        <w:rPr>
          <w:rFonts w:hint="default" w:ascii="Times New Roman" w:hAnsi="Times New Roman" w:eastAsia="仿宋_GB2312" w:cs="Times New Roman"/>
          <w:color w:val="000000"/>
          <w:sz w:val="32"/>
          <w:szCs w:val="32"/>
          <w:highlight w:val="none"/>
        </w:rPr>
        <w:t>主要原因是</w:t>
      </w:r>
      <w:r>
        <w:rPr>
          <w:rFonts w:hint="default" w:ascii="Times New Roman" w:hAnsi="Times New Roman" w:eastAsia="仿宋_GB2312" w:cs="Times New Roman"/>
          <w:color w:val="000000"/>
          <w:sz w:val="32"/>
          <w:szCs w:val="32"/>
          <w:highlight w:val="none"/>
          <w:lang w:eastAsia="zh-CN"/>
        </w:rPr>
        <w:t>接待批次和人数比</w:t>
      </w:r>
      <w:r>
        <w:rPr>
          <w:rFonts w:hint="default" w:ascii="Times New Roman" w:hAnsi="Times New Roman" w:eastAsia="仿宋_GB2312" w:cs="Times New Roman"/>
          <w:color w:val="000000"/>
          <w:sz w:val="32"/>
          <w:szCs w:val="32"/>
          <w:highlight w:val="none"/>
          <w:lang w:val="en-US" w:eastAsia="zh-CN"/>
        </w:rPr>
        <w:t>2024年度减少。</w:t>
      </w:r>
      <w:r>
        <w:rPr>
          <w:rFonts w:hint="default" w:ascii="Times New Roman" w:hAnsi="Times New Roman" w:eastAsia="仿宋_GB2312" w:cs="Times New Roman"/>
          <w:color w:val="auto"/>
          <w:kern w:val="2"/>
          <w:sz w:val="32"/>
          <w:szCs w:val="32"/>
          <w:highlight w:val="none"/>
          <w:lang w:val="en-US" w:eastAsia="zh-CN" w:bidi="ar-SA"/>
        </w:rPr>
        <w:t>其中：</w:t>
      </w:r>
    </w:p>
    <w:p w14:paraId="343F75C0">
      <w:pPr>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default" w:ascii="Times New Roman" w:hAnsi="Times New Roman" w:eastAsia="仿宋_GB2312" w:cs="Times New Roman"/>
          <w:color w:val="auto"/>
          <w:kern w:val="2"/>
          <w:sz w:val="32"/>
          <w:szCs w:val="32"/>
          <w:highlight w:val="none"/>
          <w:lang w:val="en-US" w:eastAsia="zh-CN" w:bidi="ar-SA"/>
        </w:rPr>
      </w:pPr>
      <w:r>
        <w:rPr>
          <w:rFonts w:hint="default" w:ascii="Times New Roman" w:hAnsi="Times New Roman" w:eastAsia="仿宋_GB2312" w:cs="Times New Roman"/>
          <w:color w:val="auto"/>
          <w:kern w:val="2"/>
          <w:sz w:val="32"/>
          <w:szCs w:val="32"/>
          <w:highlight w:val="none"/>
          <w:lang w:val="en-US" w:eastAsia="zh-CN" w:bidi="ar-SA"/>
        </w:rPr>
        <w:t>国内公务接待支出</w:t>
      </w:r>
      <w:r>
        <w:rPr>
          <w:rFonts w:hint="default" w:ascii="Times New Roman" w:hAnsi="Times New Roman" w:eastAsia="仿宋_GB2312" w:cs="Times New Roman"/>
          <w:sz w:val="32"/>
          <w:szCs w:val="32"/>
        </w:rPr>
        <w:t>0.5</w:t>
      </w:r>
      <w:r>
        <w:rPr>
          <w:rFonts w:hint="default" w:ascii="Times New Roman" w:hAnsi="Times New Roman" w:eastAsia="仿宋_GB2312" w:cs="Times New Roman"/>
          <w:color w:val="auto"/>
          <w:kern w:val="2"/>
          <w:sz w:val="32"/>
          <w:szCs w:val="32"/>
          <w:highlight w:val="none"/>
          <w:lang w:val="en-US" w:eastAsia="zh-CN" w:bidi="ar-SA"/>
        </w:rPr>
        <w:t>万元，主要用于</w:t>
      </w:r>
      <w:r>
        <w:rPr>
          <w:rFonts w:hint="default" w:ascii="Times New Roman" w:hAnsi="Times New Roman" w:eastAsia="仿宋_GB2312" w:cs="Times New Roman"/>
          <w:color w:val="000000"/>
          <w:sz w:val="32"/>
          <w:szCs w:val="32"/>
        </w:rPr>
        <w:t>接待</w:t>
      </w:r>
      <w:r>
        <w:rPr>
          <w:rFonts w:hint="default" w:ascii="Times New Roman" w:hAnsi="Times New Roman" w:eastAsia="仿宋_GB2312" w:cs="Times New Roman"/>
          <w:color w:val="000000"/>
          <w:sz w:val="32"/>
          <w:szCs w:val="32"/>
          <w:lang w:val="en-US" w:eastAsia="zh-CN"/>
        </w:rPr>
        <w:t>人力资源社会保障</w:t>
      </w:r>
      <w:r>
        <w:rPr>
          <w:rFonts w:hint="default" w:ascii="Times New Roman" w:hAnsi="Times New Roman" w:eastAsia="仿宋_GB2312" w:cs="Times New Roman"/>
          <w:color w:val="000000"/>
          <w:sz w:val="32"/>
          <w:szCs w:val="32"/>
        </w:rPr>
        <w:t>厅、省</w:t>
      </w:r>
      <w:r>
        <w:rPr>
          <w:rFonts w:hint="default" w:ascii="Times New Roman" w:hAnsi="Times New Roman" w:eastAsia="仿宋_GB2312" w:cs="Times New Roman"/>
          <w:color w:val="000000"/>
          <w:sz w:val="32"/>
          <w:szCs w:val="32"/>
          <w:lang w:val="en-US" w:eastAsia="zh-CN"/>
        </w:rPr>
        <w:t>社会保险管理</w:t>
      </w:r>
      <w:r>
        <w:rPr>
          <w:rFonts w:hint="default" w:ascii="Times New Roman" w:hAnsi="Times New Roman" w:eastAsia="仿宋_GB2312" w:cs="Times New Roman"/>
          <w:color w:val="000000"/>
          <w:sz w:val="32"/>
          <w:szCs w:val="32"/>
        </w:rPr>
        <w:t>局领导</w:t>
      </w:r>
      <w:r>
        <w:rPr>
          <w:rFonts w:hint="default" w:ascii="Times New Roman" w:hAnsi="Times New Roman" w:eastAsia="仿宋_GB2312" w:cs="Times New Roman"/>
          <w:color w:val="000000"/>
          <w:sz w:val="32"/>
          <w:szCs w:val="32"/>
          <w:lang w:eastAsia="zh-CN"/>
        </w:rPr>
        <w:t>和</w:t>
      </w:r>
      <w:r>
        <w:rPr>
          <w:rFonts w:hint="default" w:ascii="Times New Roman" w:hAnsi="Times New Roman" w:eastAsia="仿宋_GB2312" w:cs="Times New Roman"/>
          <w:color w:val="000000"/>
          <w:sz w:val="32"/>
          <w:szCs w:val="32"/>
        </w:rPr>
        <w:t>其他地市州单位</w:t>
      </w:r>
      <w:r>
        <w:rPr>
          <w:rFonts w:hint="default" w:ascii="Times New Roman" w:hAnsi="Times New Roman" w:eastAsia="仿宋_GB2312" w:cs="Times New Roman"/>
          <w:color w:val="000000"/>
          <w:sz w:val="32"/>
          <w:szCs w:val="32"/>
          <w:lang w:eastAsia="zh-CN"/>
        </w:rPr>
        <w:t>检查、</w:t>
      </w:r>
      <w:r>
        <w:rPr>
          <w:rFonts w:hint="default" w:ascii="Times New Roman" w:hAnsi="Times New Roman" w:eastAsia="仿宋_GB2312" w:cs="Times New Roman"/>
          <w:color w:val="000000"/>
          <w:sz w:val="32"/>
          <w:szCs w:val="32"/>
        </w:rPr>
        <w:t>调研用餐费。</w:t>
      </w:r>
      <w:r>
        <w:rPr>
          <w:rFonts w:hint="default" w:ascii="Times New Roman" w:hAnsi="Times New Roman" w:eastAsia="仿宋_GB2312" w:cs="Times New Roman"/>
          <w:color w:val="auto"/>
          <w:kern w:val="2"/>
          <w:sz w:val="32"/>
          <w:szCs w:val="32"/>
          <w:highlight w:val="none"/>
          <w:lang w:val="en-US" w:eastAsia="zh-CN" w:bidi="ar-SA"/>
        </w:rPr>
        <w:t>国内公务接待</w:t>
      </w:r>
      <w:r>
        <w:rPr>
          <w:rFonts w:hint="default" w:ascii="Times New Roman" w:hAnsi="Times New Roman" w:eastAsia="仿宋_GB2312" w:cs="Times New Roman"/>
          <w:sz w:val="32"/>
          <w:szCs w:val="32"/>
        </w:rPr>
        <w:t>4</w:t>
      </w:r>
      <w:r>
        <w:rPr>
          <w:rFonts w:hint="default" w:ascii="Times New Roman" w:hAnsi="Times New Roman" w:eastAsia="仿宋_GB2312" w:cs="Times New Roman"/>
          <w:color w:val="auto"/>
          <w:kern w:val="2"/>
          <w:sz w:val="32"/>
          <w:szCs w:val="32"/>
          <w:highlight w:val="none"/>
          <w:lang w:val="en-US" w:eastAsia="zh-CN" w:bidi="ar-SA"/>
        </w:rPr>
        <w:t>批次，</w:t>
      </w:r>
      <w:r>
        <w:rPr>
          <w:rFonts w:hint="eastAsia" w:ascii="Times New Roman" w:hAnsi="Times New Roman" w:eastAsia="仿宋_GB2312" w:cs="Times New Roman"/>
          <w:sz w:val="32"/>
          <w:szCs w:val="32"/>
          <w:lang w:val="en-US" w:eastAsia="zh-CN"/>
        </w:rPr>
        <w:t>17</w:t>
      </w:r>
      <w:r>
        <w:rPr>
          <w:rFonts w:hint="default" w:ascii="Times New Roman" w:hAnsi="Times New Roman" w:eastAsia="仿宋_GB2312" w:cs="Times New Roman"/>
          <w:color w:val="auto"/>
          <w:kern w:val="2"/>
          <w:sz w:val="32"/>
          <w:szCs w:val="32"/>
          <w:highlight w:val="none"/>
          <w:lang w:val="en-US" w:eastAsia="zh-CN" w:bidi="ar-SA"/>
        </w:rPr>
        <w:t>人次（不包括陪同人员），共计支出0.5万元，具体内容包括：</w:t>
      </w:r>
    </w:p>
    <w:p w14:paraId="2009CB9C">
      <w:pPr>
        <w:keepNext w:val="0"/>
        <w:keepLines w:val="0"/>
        <w:pageBreakBefore w:val="0"/>
        <w:widowControl w:val="0"/>
        <w:tabs>
          <w:tab w:val="left" w:pos="2031"/>
        </w:tabs>
        <w:kinsoku/>
        <w:wordWrap/>
        <w:overflowPunct/>
        <w:topLinePunct w:val="0"/>
        <w:autoSpaceDE/>
        <w:autoSpaceDN/>
        <w:bidi w:val="0"/>
        <w:spacing w:line="600" w:lineRule="exact"/>
        <w:ind w:firstLine="640"/>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（1）接待</w:t>
      </w:r>
      <w:r>
        <w:rPr>
          <w:rFonts w:hint="default" w:ascii="Times New Roman" w:hAnsi="Times New Roman" w:eastAsia="仿宋_GB2312" w:cs="Times New Roman"/>
          <w:color w:val="auto"/>
          <w:sz w:val="32"/>
          <w:szCs w:val="32"/>
          <w:lang w:val="en-US" w:eastAsia="zh-CN"/>
        </w:rPr>
        <w:t>人力资源社会保障</w:t>
      </w:r>
      <w:r>
        <w:rPr>
          <w:rFonts w:hint="default" w:ascii="Times New Roman" w:hAnsi="Times New Roman" w:eastAsia="仿宋_GB2312" w:cs="Times New Roman"/>
          <w:color w:val="auto"/>
          <w:sz w:val="32"/>
          <w:szCs w:val="32"/>
          <w:lang w:eastAsia="zh-CN"/>
        </w:rPr>
        <w:t>厅</w:t>
      </w:r>
      <w:r>
        <w:rPr>
          <w:rFonts w:hint="eastAsia" w:ascii="Times New Roman" w:hAnsi="Times New Roman" w:eastAsia="仿宋_GB2312" w:cs="Times New Roman"/>
          <w:color w:val="auto"/>
          <w:sz w:val="32"/>
          <w:szCs w:val="32"/>
          <w:lang w:val="en-US" w:eastAsia="zh-CN"/>
        </w:rPr>
        <w:t>3</w:t>
      </w:r>
      <w:r>
        <w:rPr>
          <w:rFonts w:hint="default" w:ascii="Times New Roman" w:hAnsi="Times New Roman" w:eastAsia="仿宋_GB2312" w:cs="Times New Roman"/>
          <w:color w:val="auto"/>
          <w:sz w:val="32"/>
          <w:szCs w:val="32"/>
        </w:rPr>
        <w:t>名同志到我中心</w:t>
      </w:r>
      <w:r>
        <w:rPr>
          <w:rFonts w:hint="eastAsia" w:ascii="Times New Roman" w:hAnsi="Times New Roman" w:eastAsia="仿宋_GB2312" w:cs="Times New Roman"/>
          <w:color w:val="auto"/>
          <w:sz w:val="32"/>
          <w:szCs w:val="32"/>
          <w:lang w:val="en-US" w:eastAsia="zh-CN"/>
        </w:rPr>
        <w:t>参加工伤保险就医智能监审信息系统终验</w:t>
      </w:r>
      <w:r>
        <w:rPr>
          <w:rFonts w:hint="default" w:ascii="Times New Roman" w:hAnsi="Times New Roman" w:eastAsia="仿宋_GB2312" w:cs="Times New Roman"/>
          <w:color w:val="auto"/>
          <w:sz w:val="32"/>
          <w:szCs w:val="32"/>
          <w:lang w:eastAsia="zh-CN"/>
        </w:rPr>
        <w:t>工作</w:t>
      </w:r>
      <w:r>
        <w:rPr>
          <w:rFonts w:hint="default" w:ascii="Times New Roman" w:hAnsi="Times New Roman" w:eastAsia="仿宋_GB2312" w:cs="Times New Roman"/>
          <w:color w:val="auto"/>
          <w:sz w:val="32"/>
          <w:szCs w:val="32"/>
        </w:rPr>
        <w:t>，公务接待支出</w:t>
      </w:r>
      <w:r>
        <w:rPr>
          <w:rFonts w:hint="eastAsia" w:ascii="Times New Roman" w:hAnsi="Times New Roman" w:eastAsia="仿宋_GB2312" w:cs="Times New Roman"/>
          <w:color w:val="auto"/>
          <w:sz w:val="32"/>
          <w:szCs w:val="32"/>
          <w:lang w:val="en-US" w:eastAsia="zh-CN"/>
        </w:rPr>
        <w:t>1050</w:t>
      </w:r>
      <w:r>
        <w:rPr>
          <w:rFonts w:hint="default" w:ascii="Times New Roman" w:hAnsi="Times New Roman" w:eastAsia="仿宋_GB2312" w:cs="Times New Roman"/>
          <w:color w:val="auto"/>
          <w:sz w:val="32"/>
          <w:szCs w:val="32"/>
        </w:rPr>
        <w:t>元。</w:t>
      </w:r>
    </w:p>
    <w:p w14:paraId="2230BD75">
      <w:pPr>
        <w:keepNext w:val="0"/>
        <w:keepLines w:val="0"/>
        <w:pageBreakBefore w:val="0"/>
        <w:widowControl w:val="0"/>
        <w:tabs>
          <w:tab w:val="left" w:pos="2031"/>
        </w:tabs>
        <w:kinsoku/>
        <w:wordWrap/>
        <w:overflowPunct/>
        <w:topLinePunct w:val="0"/>
        <w:autoSpaceDE/>
        <w:autoSpaceDN/>
        <w:bidi w:val="0"/>
        <w:spacing w:line="600" w:lineRule="exact"/>
        <w:ind w:firstLine="640"/>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（2）接待</w:t>
      </w:r>
      <w:r>
        <w:rPr>
          <w:rFonts w:hint="default" w:ascii="Times New Roman" w:hAnsi="Times New Roman" w:eastAsia="仿宋_GB2312" w:cs="Times New Roman"/>
          <w:color w:val="auto"/>
          <w:sz w:val="32"/>
          <w:szCs w:val="32"/>
          <w:lang w:eastAsia="zh-CN"/>
        </w:rPr>
        <w:t>省</w:t>
      </w:r>
      <w:r>
        <w:rPr>
          <w:rFonts w:hint="default" w:ascii="Times New Roman" w:hAnsi="Times New Roman" w:eastAsia="仿宋_GB2312" w:cs="Times New Roman"/>
          <w:color w:val="auto"/>
          <w:sz w:val="32"/>
          <w:szCs w:val="32"/>
          <w:lang w:val="en-US" w:eastAsia="zh-CN"/>
        </w:rPr>
        <w:t>社会保险管理</w:t>
      </w:r>
      <w:r>
        <w:rPr>
          <w:rFonts w:hint="default" w:ascii="Times New Roman" w:hAnsi="Times New Roman" w:eastAsia="仿宋_GB2312" w:cs="Times New Roman"/>
          <w:color w:val="auto"/>
          <w:sz w:val="32"/>
          <w:szCs w:val="32"/>
          <w:lang w:eastAsia="zh-CN"/>
        </w:rPr>
        <w:t>局</w:t>
      </w:r>
      <w:r>
        <w:rPr>
          <w:rFonts w:hint="eastAsia" w:eastAsia="仿宋_GB2312" w:cs="Times New Roman"/>
          <w:color w:val="auto"/>
          <w:sz w:val="32"/>
          <w:szCs w:val="32"/>
          <w:lang w:val="en-US" w:eastAsia="zh-CN"/>
        </w:rPr>
        <w:t>8</w:t>
      </w:r>
      <w:r>
        <w:rPr>
          <w:rFonts w:hint="default" w:ascii="Times New Roman" w:hAnsi="Times New Roman" w:eastAsia="仿宋_GB2312" w:cs="Times New Roman"/>
          <w:color w:val="auto"/>
          <w:sz w:val="32"/>
          <w:szCs w:val="32"/>
        </w:rPr>
        <w:t>名同志到我中心</w:t>
      </w:r>
      <w:r>
        <w:rPr>
          <w:rFonts w:hint="eastAsia" w:ascii="Times New Roman" w:hAnsi="Times New Roman" w:eastAsia="仿宋_GB2312" w:cs="Times New Roman"/>
          <w:color w:val="auto"/>
          <w:sz w:val="32"/>
          <w:szCs w:val="32"/>
          <w:lang w:val="en-US" w:eastAsia="zh-CN"/>
        </w:rPr>
        <w:t>调研社保待遇集中发放</w:t>
      </w:r>
      <w:r>
        <w:rPr>
          <w:rFonts w:hint="default" w:ascii="Times New Roman" w:hAnsi="Times New Roman" w:eastAsia="仿宋_GB2312" w:cs="Times New Roman"/>
          <w:color w:val="auto"/>
          <w:sz w:val="32"/>
          <w:szCs w:val="32"/>
        </w:rPr>
        <w:t>工作，公务接待支出</w:t>
      </w:r>
      <w:r>
        <w:rPr>
          <w:rFonts w:hint="eastAsia" w:ascii="Times New Roman" w:hAnsi="Times New Roman" w:eastAsia="仿宋_GB2312" w:cs="Times New Roman"/>
          <w:color w:val="auto"/>
          <w:sz w:val="32"/>
          <w:szCs w:val="32"/>
          <w:lang w:val="en-US" w:eastAsia="zh-CN"/>
        </w:rPr>
        <w:t>1880</w:t>
      </w:r>
      <w:r>
        <w:rPr>
          <w:rFonts w:hint="default" w:ascii="Times New Roman" w:hAnsi="Times New Roman" w:eastAsia="仿宋_GB2312" w:cs="Times New Roman"/>
          <w:color w:val="auto"/>
          <w:sz w:val="32"/>
          <w:szCs w:val="32"/>
        </w:rPr>
        <w:t>元。</w:t>
      </w:r>
    </w:p>
    <w:p w14:paraId="3D46FDF4">
      <w:pPr>
        <w:keepNext w:val="0"/>
        <w:keepLines w:val="0"/>
        <w:pageBreakBefore w:val="0"/>
        <w:widowControl w:val="0"/>
        <w:tabs>
          <w:tab w:val="left" w:pos="2031"/>
        </w:tabs>
        <w:kinsoku/>
        <w:wordWrap/>
        <w:overflowPunct/>
        <w:topLinePunct w:val="0"/>
        <w:autoSpaceDE/>
        <w:autoSpaceDN/>
        <w:bidi w:val="0"/>
        <w:spacing w:line="600" w:lineRule="exact"/>
        <w:ind w:firstLine="640"/>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（3）接待</w:t>
      </w:r>
      <w:r>
        <w:rPr>
          <w:rFonts w:hint="eastAsia" w:ascii="Times New Roman" w:hAnsi="Times New Roman" w:eastAsia="仿宋_GB2312" w:cs="Times New Roman"/>
          <w:color w:val="auto"/>
          <w:sz w:val="32"/>
          <w:szCs w:val="32"/>
          <w:lang w:val="en-US" w:eastAsia="zh-CN"/>
        </w:rPr>
        <w:t>凉山州</w:t>
      </w:r>
      <w:r>
        <w:rPr>
          <w:rFonts w:hint="default" w:ascii="Times New Roman" w:hAnsi="Times New Roman" w:eastAsia="仿宋_GB2312" w:cs="Times New Roman"/>
          <w:color w:val="auto"/>
          <w:sz w:val="32"/>
          <w:szCs w:val="32"/>
          <w:lang w:val="en-US" w:eastAsia="zh-CN"/>
        </w:rPr>
        <w:t>社会保险</w:t>
      </w:r>
      <w:r>
        <w:rPr>
          <w:rFonts w:hint="eastAsia" w:ascii="Times New Roman" w:hAnsi="Times New Roman" w:eastAsia="仿宋_GB2312" w:cs="Times New Roman"/>
          <w:color w:val="auto"/>
          <w:sz w:val="32"/>
          <w:szCs w:val="32"/>
          <w:lang w:val="en-US" w:eastAsia="zh-CN"/>
        </w:rPr>
        <w:t>事业</w:t>
      </w:r>
      <w:r>
        <w:rPr>
          <w:rFonts w:hint="default" w:ascii="Times New Roman" w:hAnsi="Times New Roman" w:eastAsia="仿宋_GB2312" w:cs="Times New Roman"/>
          <w:color w:val="auto"/>
          <w:sz w:val="32"/>
          <w:szCs w:val="32"/>
          <w:lang w:val="en-US" w:eastAsia="zh-CN"/>
        </w:rPr>
        <w:t>管理</w:t>
      </w:r>
      <w:r>
        <w:rPr>
          <w:rFonts w:hint="default" w:ascii="Times New Roman" w:hAnsi="Times New Roman" w:eastAsia="仿宋_GB2312" w:cs="Times New Roman"/>
          <w:color w:val="auto"/>
          <w:sz w:val="32"/>
          <w:szCs w:val="32"/>
          <w:lang w:eastAsia="zh-CN"/>
        </w:rPr>
        <w:t>局</w:t>
      </w:r>
      <w:r>
        <w:rPr>
          <w:rFonts w:hint="eastAsia" w:ascii="Times New Roman" w:hAnsi="Times New Roman" w:eastAsia="仿宋_GB2312" w:cs="Times New Roman"/>
          <w:color w:val="auto"/>
          <w:sz w:val="32"/>
          <w:szCs w:val="32"/>
          <w:lang w:val="en-US" w:eastAsia="zh-CN"/>
        </w:rPr>
        <w:t>3</w:t>
      </w:r>
      <w:r>
        <w:rPr>
          <w:rFonts w:hint="default" w:ascii="Times New Roman" w:hAnsi="Times New Roman" w:eastAsia="仿宋_GB2312" w:cs="Times New Roman"/>
          <w:color w:val="auto"/>
          <w:sz w:val="32"/>
          <w:szCs w:val="32"/>
        </w:rPr>
        <w:t>名同志到我中心</w:t>
      </w:r>
      <w:r>
        <w:rPr>
          <w:rFonts w:hint="default" w:ascii="Times New Roman" w:hAnsi="Times New Roman" w:eastAsia="仿宋_GB2312" w:cs="Times New Roman"/>
          <w:color w:val="auto"/>
          <w:sz w:val="32"/>
          <w:szCs w:val="32"/>
          <w:lang w:eastAsia="zh-CN"/>
        </w:rPr>
        <w:t>调研社保经办工作</w:t>
      </w:r>
      <w:r>
        <w:rPr>
          <w:rFonts w:hint="default" w:ascii="Times New Roman" w:hAnsi="Times New Roman" w:eastAsia="仿宋_GB2312" w:cs="Times New Roman"/>
          <w:color w:val="auto"/>
          <w:sz w:val="32"/>
          <w:szCs w:val="32"/>
        </w:rPr>
        <w:t>，公务接待支出</w:t>
      </w:r>
      <w:r>
        <w:rPr>
          <w:rFonts w:hint="eastAsia" w:ascii="Times New Roman" w:hAnsi="Times New Roman" w:eastAsia="仿宋_GB2312" w:cs="Times New Roman"/>
          <w:color w:val="auto"/>
          <w:sz w:val="32"/>
          <w:szCs w:val="32"/>
          <w:lang w:val="en-US" w:eastAsia="zh-CN"/>
        </w:rPr>
        <w:t>997.92</w:t>
      </w:r>
      <w:r>
        <w:rPr>
          <w:rFonts w:hint="default" w:ascii="Times New Roman" w:hAnsi="Times New Roman" w:eastAsia="仿宋_GB2312" w:cs="Times New Roman"/>
          <w:color w:val="auto"/>
          <w:sz w:val="32"/>
          <w:szCs w:val="32"/>
        </w:rPr>
        <w:t>元。</w:t>
      </w:r>
    </w:p>
    <w:p w14:paraId="682D94AD">
      <w:pPr>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default" w:ascii="Times New Roman" w:hAnsi="Times New Roman" w:eastAsia="仿宋_GB2312" w:cs="Times New Roman"/>
          <w:color w:val="auto"/>
          <w:kern w:val="2"/>
          <w:sz w:val="32"/>
          <w:szCs w:val="32"/>
          <w:highlight w:val="none"/>
          <w:lang w:val="en-US" w:eastAsia="zh-CN" w:bidi="ar-SA"/>
        </w:rPr>
      </w:pPr>
      <w:r>
        <w:rPr>
          <w:rFonts w:hint="default" w:ascii="Times New Roman" w:hAnsi="Times New Roman" w:eastAsia="仿宋_GB2312" w:cs="Times New Roman"/>
          <w:color w:val="auto"/>
          <w:sz w:val="32"/>
          <w:szCs w:val="32"/>
        </w:rPr>
        <w:t>（</w:t>
      </w:r>
      <w:r>
        <w:rPr>
          <w:rFonts w:hint="default" w:ascii="Times New Roman" w:hAnsi="Times New Roman" w:eastAsia="仿宋_GB2312" w:cs="Times New Roman"/>
          <w:color w:val="auto"/>
          <w:sz w:val="32"/>
          <w:szCs w:val="32"/>
          <w:lang w:val="en-US" w:eastAsia="zh-CN"/>
        </w:rPr>
        <w:t>4</w:t>
      </w:r>
      <w:r>
        <w:rPr>
          <w:rFonts w:hint="default" w:ascii="Times New Roman" w:hAnsi="Times New Roman" w:eastAsia="仿宋_GB2312" w:cs="Times New Roman"/>
          <w:color w:val="auto"/>
          <w:sz w:val="32"/>
          <w:szCs w:val="32"/>
        </w:rPr>
        <w:t>）接待</w:t>
      </w:r>
      <w:r>
        <w:rPr>
          <w:rFonts w:hint="default" w:ascii="Times New Roman" w:hAnsi="Times New Roman" w:eastAsia="仿宋_GB2312" w:cs="Times New Roman"/>
          <w:color w:val="auto"/>
          <w:sz w:val="32"/>
          <w:szCs w:val="32"/>
          <w:lang w:eastAsia="zh-CN"/>
        </w:rPr>
        <w:t>省</w:t>
      </w:r>
      <w:r>
        <w:rPr>
          <w:rFonts w:hint="default" w:ascii="Times New Roman" w:hAnsi="Times New Roman" w:eastAsia="仿宋_GB2312" w:cs="Times New Roman"/>
          <w:color w:val="auto"/>
          <w:sz w:val="32"/>
          <w:szCs w:val="32"/>
          <w:lang w:val="en-US" w:eastAsia="zh-CN"/>
        </w:rPr>
        <w:t>社会保险管理</w:t>
      </w:r>
      <w:r>
        <w:rPr>
          <w:rFonts w:hint="default" w:ascii="Times New Roman" w:hAnsi="Times New Roman" w:eastAsia="仿宋_GB2312" w:cs="Times New Roman"/>
          <w:color w:val="auto"/>
          <w:sz w:val="32"/>
          <w:szCs w:val="32"/>
          <w:lang w:eastAsia="zh-CN"/>
        </w:rPr>
        <w:t>局</w:t>
      </w:r>
      <w:r>
        <w:rPr>
          <w:rFonts w:hint="eastAsia" w:ascii="Times New Roman" w:hAnsi="Times New Roman" w:eastAsia="仿宋_GB2312" w:cs="Times New Roman"/>
          <w:color w:val="auto"/>
          <w:sz w:val="32"/>
          <w:szCs w:val="32"/>
          <w:lang w:val="en-US" w:eastAsia="zh-CN"/>
        </w:rPr>
        <w:t>3</w:t>
      </w:r>
      <w:r>
        <w:rPr>
          <w:rFonts w:hint="default" w:ascii="Times New Roman" w:hAnsi="Times New Roman" w:eastAsia="仿宋_GB2312" w:cs="Times New Roman"/>
          <w:color w:val="auto"/>
          <w:sz w:val="32"/>
          <w:szCs w:val="32"/>
        </w:rPr>
        <w:t>名同志到我中心</w:t>
      </w:r>
      <w:r>
        <w:rPr>
          <w:rFonts w:hint="eastAsia" w:ascii="Times New Roman" w:hAnsi="Times New Roman" w:eastAsia="仿宋_GB2312" w:cs="Times New Roman"/>
          <w:color w:val="auto"/>
          <w:sz w:val="32"/>
          <w:szCs w:val="32"/>
          <w:lang w:val="en-US" w:eastAsia="zh-CN"/>
        </w:rPr>
        <w:t>调研社保经办</w:t>
      </w:r>
      <w:r>
        <w:rPr>
          <w:rFonts w:hint="default" w:ascii="Times New Roman" w:hAnsi="Times New Roman" w:eastAsia="仿宋_GB2312" w:cs="Times New Roman"/>
          <w:color w:val="auto"/>
          <w:sz w:val="32"/>
          <w:szCs w:val="32"/>
          <w:lang w:eastAsia="zh-CN"/>
        </w:rPr>
        <w:t>工作</w:t>
      </w:r>
      <w:r>
        <w:rPr>
          <w:rFonts w:hint="default" w:ascii="Times New Roman" w:hAnsi="Times New Roman" w:eastAsia="仿宋_GB2312" w:cs="Times New Roman"/>
          <w:color w:val="auto"/>
          <w:sz w:val="32"/>
          <w:szCs w:val="32"/>
        </w:rPr>
        <w:t>，公务接待支出</w:t>
      </w:r>
      <w:r>
        <w:rPr>
          <w:rFonts w:hint="eastAsia" w:ascii="Times New Roman" w:hAnsi="Times New Roman" w:eastAsia="仿宋_GB2312" w:cs="Times New Roman"/>
          <w:color w:val="auto"/>
          <w:sz w:val="32"/>
          <w:szCs w:val="32"/>
          <w:lang w:val="en-US" w:eastAsia="zh-CN"/>
        </w:rPr>
        <w:t>1080</w:t>
      </w:r>
      <w:r>
        <w:rPr>
          <w:rFonts w:hint="default" w:ascii="Times New Roman" w:hAnsi="Times New Roman" w:eastAsia="仿宋_GB2312" w:cs="Times New Roman"/>
          <w:color w:val="auto"/>
          <w:sz w:val="32"/>
          <w:szCs w:val="32"/>
        </w:rPr>
        <w:t>元。</w:t>
      </w:r>
    </w:p>
    <w:p w14:paraId="44159F7D">
      <w:pPr>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default" w:ascii="Times New Roman" w:hAnsi="Times New Roman" w:eastAsia="仿宋_GB2312" w:cs="Times New Roman"/>
          <w:color w:val="auto"/>
          <w:kern w:val="2"/>
          <w:sz w:val="32"/>
          <w:szCs w:val="32"/>
          <w:highlight w:val="none"/>
          <w:lang w:val="en-US" w:eastAsia="zh-CN" w:bidi="ar-SA"/>
        </w:rPr>
      </w:pPr>
      <w:r>
        <w:rPr>
          <w:rFonts w:hint="default" w:ascii="Times New Roman" w:hAnsi="Times New Roman" w:eastAsia="仿宋_GB2312" w:cs="Times New Roman"/>
          <w:color w:val="auto"/>
          <w:kern w:val="2"/>
          <w:sz w:val="32"/>
          <w:szCs w:val="32"/>
          <w:highlight w:val="none"/>
          <w:lang w:val="en-US" w:eastAsia="zh-CN" w:bidi="ar-SA"/>
        </w:rPr>
        <w:t>外事接待支出</w:t>
      </w:r>
      <w:r>
        <w:rPr>
          <w:rFonts w:hint="default" w:ascii="Times New Roman" w:hAnsi="Times New Roman" w:eastAsia="仿宋_GB2312" w:cs="Times New Roman"/>
          <w:sz w:val="32"/>
          <w:szCs w:val="32"/>
        </w:rPr>
        <w:t>0</w:t>
      </w:r>
      <w:r>
        <w:rPr>
          <w:rFonts w:hint="default" w:ascii="Times New Roman" w:hAnsi="Times New Roman" w:eastAsia="仿宋_GB2312" w:cs="Times New Roman"/>
          <w:color w:val="auto"/>
          <w:kern w:val="2"/>
          <w:sz w:val="32"/>
          <w:szCs w:val="32"/>
          <w:highlight w:val="none"/>
          <w:lang w:val="en-US" w:eastAsia="zh-CN" w:bidi="ar-SA"/>
        </w:rPr>
        <w:t>万元，外事接待</w:t>
      </w:r>
      <w:r>
        <w:rPr>
          <w:rFonts w:hint="default" w:ascii="Times New Roman" w:hAnsi="Times New Roman" w:eastAsia="仿宋_GB2312" w:cs="Times New Roman"/>
          <w:sz w:val="32"/>
          <w:szCs w:val="32"/>
        </w:rPr>
        <w:t>0</w:t>
      </w:r>
      <w:r>
        <w:rPr>
          <w:rFonts w:hint="default" w:ascii="Times New Roman" w:hAnsi="Times New Roman" w:eastAsia="仿宋_GB2312" w:cs="Times New Roman"/>
          <w:color w:val="auto"/>
          <w:kern w:val="2"/>
          <w:sz w:val="32"/>
          <w:szCs w:val="32"/>
          <w:highlight w:val="none"/>
          <w:lang w:val="en-US" w:eastAsia="zh-CN" w:bidi="ar-SA"/>
        </w:rPr>
        <w:t>批次，</w:t>
      </w:r>
      <w:r>
        <w:rPr>
          <w:rFonts w:hint="default" w:ascii="Times New Roman" w:hAnsi="Times New Roman" w:eastAsia="仿宋_GB2312" w:cs="Times New Roman"/>
          <w:sz w:val="32"/>
          <w:szCs w:val="32"/>
        </w:rPr>
        <w:t>0</w:t>
      </w:r>
      <w:r>
        <w:rPr>
          <w:rFonts w:hint="default" w:ascii="Times New Roman" w:hAnsi="Times New Roman" w:eastAsia="仿宋_GB2312" w:cs="Times New Roman"/>
          <w:color w:val="auto"/>
          <w:kern w:val="2"/>
          <w:sz w:val="32"/>
          <w:szCs w:val="32"/>
          <w:highlight w:val="none"/>
          <w:lang w:val="en-US" w:eastAsia="zh-CN" w:bidi="ar-SA"/>
        </w:rPr>
        <w:t>人次（不包括陪同人员），共计支出0万元。</w:t>
      </w:r>
    </w:p>
    <w:p w14:paraId="01296598">
      <w:pPr>
        <w:keepNext w:val="0"/>
        <w:keepLines w:val="0"/>
        <w:pageBreakBefore w:val="0"/>
        <w:widowControl w:val="0"/>
        <w:kinsoku/>
        <w:wordWrap/>
        <w:overflowPunct/>
        <w:topLinePunct w:val="0"/>
        <w:autoSpaceDE/>
        <w:autoSpaceDN/>
        <w:bidi w:val="0"/>
        <w:adjustRightInd/>
        <w:snapToGrid/>
        <w:spacing w:line="360" w:lineRule="auto"/>
        <w:ind w:firstLine="640"/>
        <w:textAlignment w:val="auto"/>
        <w:outlineLvl w:val="1"/>
        <w:rPr>
          <w:rStyle w:val="32"/>
          <w:rFonts w:hint="default" w:ascii="Times New Roman" w:hAnsi="Times New Roman" w:eastAsia="黑体" w:cs="Times New Roman"/>
          <w:color w:val="auto"/>
          <w:highlight w:val="none"/>
        </w:rPr>
      </w:pPr>
      <w:bookmarkStart w:id="40" w:name="_Toc15396610"/>
      <w:bookmarkStart w:id="41" w:name="_Toc15377218"/>
      <w:r>
        <w:rPr>
          <w:rFonts w:hint="default" w:ascii="Times New Roman" w:hAnsi="Times New Roman" w:eastAsia="黑体" w:cs="Times New Roman"/>
          <w:color w:val="auto"/>
          <w:sz w:val="32"/>
          <w:szCs w:val="32"/>
          <w:highlight w:val="none"/>
        </w:rPr>
        <w:t>八、</w:t>
      </w:r>
      <w:r>
        <w:rPr>
          <w:rStyle w:val="32"/>
          <w:rFonts w:hint="default" w:ascii="Times New Roman" w:hAnsi="Times New Roman" w:eastAsia="黑体" w:cs="Times New Roman"/>
          <w:b w:val="0"/>
          <w:color w:val="auto"/>
          <w:highlight w:val="none"/>
        </w:rPr>
        <w:t>政府性基金预算支出决算情况说明</w:t>
      </w:r>
      <w:bookmarkEnd w:id="40"/>
      <w:bookmarkEnd w:id="41"/>
    </w:p>
    <w:p w14:paraId="5C7BC20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630" w:leftChars="0"/>
        <w:textAlignment w:val="auto"/>
        <w:outlineLvl w:val="1"/>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kern w:val="2"/>
          <w:sz w:val="32"/>
          <w:szCs w:val="32"/>
          <w:highlight w:val="none"/>
          <w:lang w:val="en-US" w:eastAsia="zh-CN" w:bidi="ar-SA"/>
        </w:rPr>
        <w:t>2025年度</w:t>
      </w:r>
      <w:r>
        <w:rPr>
          <w:rFonts w:hint="default" w:ascii="Times New Roman" w:hAnsi="Times New Roman" w:eastAsia="仿宋_GB2312" w:cs="Times New Roman"/>
          <w:color w:val="auto"/>
          <w:sz w:val="32"/>
          <w:szCs w:val="32"/>
          <w:highlight w:val="none"/>
        </w:rPr>
        <w:t>政府性基金预算</w:t>
      </w:r>
      <w:r>
        <w:rPr>
          <w:rFonts w:hint="default" w:ascii="Times New Roman" w:hAnsi="Times New Roman" w:eastAsia="仿宋_GB2312" w:cs="Times New Roman"/>
          <w:color w:val="auto"/>
          <w:sz w:val="32"/>
          <w:szCs w:val="32"/>
          <w:highlight w:val="none"/>
          <w:lang w:eastAsia="zh-CN"/>
        </w:rPr>
        <w:t>财政</w:t>
      </w:r>
      <w:r>
        <w:rPr>
          <w:rFonts w:hint="default" w:ascii="Times New Roman" w:hAnsi="Times New Roman" w:eastAsia="仿宋_GB2312" w:cs="Times New Roman"/>
          <w:color w:val="auto"/>
          <w:sz w:val="32"/>
          <w:szCs w:val="32"/>
          <w:highlight w:val="none"/>
        </w:rPr>
        <w:t>拨款支出</w:t>
      </w:r>
      <w:r>
        <w:rPr>
          <w:rFonts w:hint="default" w:ascii="Times New Roman" w:hAnsi="Times New Roman" w:eastAsia="仿宋_GB2312" w:cs="Times New Roman"/>
          <w:color w:val="auto"/>
          <w:sz w:val="32"/>
          <w:szCs w:val="32"/>
          <w:highlight w:val="none"/>
          <w:lang w:val="en-US" w:eastAsia="zh-CN"/>
        </w:rPr>
        <w:t>0</w:t>
      </w:r>
      <w:r>
        <w:rPr>
          <w:rFonts w:hint="default" w:ascii="Times New Roman" w:hAnsi="Times New Roman" w:eastAsia="仿宋_GB2312" w:cs="Times New Roman"/>
          <w:color w:val="auto"/>
          <w:sz w:val="32"/>
          <w:szCs w:val="32"/>
          <w:highlight w:val="none"/>
        </w:rPr>
        <w:t>万元。</w:t>
      </w:r>
      <w:bookmarkStart w:id="42" w:name="_Toc15396611"/>
      <w:bookmarkStart w:id="43" w:name="_Toc15377219"/>
    </w:p>
    <w:p w14:paraId="09E1EAA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630" w:leftChars="0"/>
        <w:textAlignment w:val="auto"/>
        <w:outlineLvl w:val="1"/>
        <w:rPr>
          <w:rStyle w:val="32"/>
          <w:rFonts w:hint="default" w:ascii="Times New Roman" w:hAnsi="Times New Roman" w:eastAsia="黑体" w:cs="Times New Roman"/>
          <w:b w:val="0"/>
          <w:color w:val="auto"/>
          <w:highlight w:val="none"/>
        </w:rPr>
      </w:pPr>
      <w:r>
        <w:rPr>
          <w:rStyle w:val="32"/>
          <w:rFonts w:hint="default" w:ascii="Times New Roman" w:hAnsi="Times New Roman" w:eastAsia="黑体" w:cs="Times New Roman"/>
          <w:b w:val="0"/>
          <w:color w:val="auto"/>
          <w:highlight w:val="none"/>
          <w:lang w:eastAsia="zh-CN"/>
        </w:rPr>
        <w:t>九、</w:t>
      </w:r>
      <w:r>
        <w:rPr>
          <w:rStyle w:val="32"/>
          <w:rFonts w:hint="default" w:ascii="Times New Roman" w:hAnsi="Times New Roman" w:eastAsia="黑体" w:cs="Times New Roman"/>
          <w:b w:val="0"/>
          <w:color w:val="auto"/>
          <w:highlight w:val="none"/>
        </w:rPr>
        <w:t>国有资本经营预算支出决算情况说明</w:t>
      </w:r>
      <w:bookmarkEnd w:id="42"/>
      <w:bookmarkEnd w:id="43"/>
    </w:p>
    <w:p w14:paraId="0593EABE">
      <w:pPr>
        <w:keepNext w:val="0"/>
        <w:keepLines w:val="0"/>
        <w:pageBreakBefore w:val="0"/>
        <w:widowControl w:val="0"/>
        <w:kinsoku/>
        <w:wordWrap/>
        <w:overflowPunct/>
        <w:topLinePunct w:val="0"/>
        <w:autoSpaceDE/>
        <w:autoSpaceDN/>
        <w:bidi w:val="0"/>
        <w:spacing w:line="600" w:lineRule="exact"/>
        <w:ind w:firstLine="640"/>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kern w:val="2"/>
          <w:sz w:val="32"/>
          <w:szCs w:val="32"/>
          <w:highlight w:val="none"/>
          <w:lang w:val="en-US" w:eastAsia="zh-CN" w:bidi="ar-SA"/>
        </w:rPr>
        <w:t>2025年度</w:t>
      </w:r>
      <w:bookmarkStart w:id="44" w:name="_Toc15396612"/>
      <w:bookmarkStart w:id="45" w:name="_Toc15377221"/>
      <w:r>
        <w:rPr>
          <w:rFonts w:hint="default" w:ascii="Times New Roman" w:hAnsi="Times New Roman" w:eastAsia="仿宋_GB2312" w:cs="Times New Roman"/>
          <w:color w:val="auto"/>
          <w:sz w:val="32"/>
          <w:szCs w:val="32"/>
          <w:highlight w:val="none"/>
        </w:rPr>
        <w:t>国有资本经营预算</w:t>
      </w:r>
      <w:r>
        <w:rPr>
          <w:rFonts w:hint="default" w:ascii="Times New Roman" w:hAnsi="Times New Roman" w:eastAsia="仿宋_GB2312" w:cs="Times New Roman"/>
          <w:color w:val="auto"/>
          <w:sz w:val="32"/>
          <w:szCs w:val="32"/>
          <w:highlight w:val="none"/>
          <w:lang w:eastAsia="zh-CN"/>
        </w:rPr>
        <w:t>财政</w:t>
      </w:r>
      <w:r>
        <w:rPr>
          <w:rFonts w:hint="default" w:ascii="Times New Roman" w:hAnsi="Times New Roman" w:eastAsia="仿宋_GB2312" w:cs="Times New Roman"/>
          <w:color w:val="auto"/>
          <w:sz w:val="32"/>
          <w:szCs w:val="32"/>
          <w:highlight w:val="none"/>
        </w:rPr>
        <w:t>拨款支出</w:t>
      </w:r>
      <w:r>
        <w:rPr>
          <w:rFonts w:hint="default" w:ascii="Times New Roman" w:hAnsi="Times New Roman" w:eastAsia="仿宋_GB2312" w:cs="Times New Roman"/>
          <w:color w:val="auto"/>
          <w:sz w:val="32"/>
          <w:szCs w:val="32"/>
          <w:highlight w:val="none"/>
          <w:lang w:val="en-US" w:eastAsia="zh-CN"/>
        </w:rPr>
        <w:t>0</w:t>
      </w:r>
      <w:r>
        <w:rPr>
          <w:rFonts w:hint="default" w:ascii="Times New Roman" w:hAnsi="Times New Roman" w:eastAsia="仿宋_GB2312" w:cs="Times New Roman"/>
          <w:color w:val="auto"/>
          <w:sz w:val="32"/>
          <w:szCs w:val="32"/>
          <w:highlight w:val="none"/>
        </w:rPr>
        <w:t>万元。</w:t>
      </w:r>
    </w:p>
    <w:p w14:paraId="04A31E6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630" w:leftChars="0"/>
        <w:textAlignment w:val="auto"/>
        <w:outlineLvl w:val="1"/>
        <w:rPr>
          <w:rStyle w:val="32"/>
          <w:rFonts w:hint="default" w:ascii="Times New Roman" w:hAnsi="Times New Roman" w:eastAsia="黑体" w:cs="Times New Roman"/>
          <w:b w:val="0"/>
          <w:color w:val="auto"/>
          <w:highlight w:val="none"/>
        </w:rPr>
      </w:pPr>
      <w:r>
        <w:rPr>
          <w:rStyle w:val="32"/>
          <w:rFonts w:hint="default" w:ascii="Times New Roman" w:hAnsi="Times New Roman" w:eastAsia="黑体" w:cs="Times New Roman"/>
          <w:b w:val="0"/>
          <w:color w:val="auto"/>
          <w:highlight w:val="none"/>
          <w:lang w:eastAsia="zh-CN"/>
        </w:rPr>
        <w:t>十、</w:t>
      </w:r>
      <w:r>
        <w:rPr>
          <w:rStyle w:val="32"/>
          <w:rFonts w:hint="default" w:ascii="Times New Roman" w:hAnsi="Times New Roman" w:eastAsia="黑体" w:cs="Times New Roman"/>
          <w:b w:val="0"/>
          <w:color w:val="auto"/>
          <w:highlight w:val="none"/>
        </w:rPr>
        <w:t>其他重要事项的情况说明</w:t>
      </w:r>
      <w:bookmarkEnd w:id="44"/>
      <w:bookmarkEnd w:id="45"/>
    </w:p>
    <w:p w14:paraId="09B4B64C">
      <w:pPr>
        <w:keepNext w:val="0"/>
        <w:keepLines w:val="0"/>
        <w:pageBreakBefore w:val="0"/>
        <w:widowControl w:val="0"/>
        <w:kinsoku/>
        <w:wordWrap/>
        <w:overflowPunct/>
        <w:topLinePunct w:val="0"/>
        <w:autoSpaceDE/>
        <w:autoSpaceDN/>
        <w:bidi w:val="0"/>
        <w:adjustRightInd/>
        <w:snapToGrid/>
        <w:spacing w:line="360" w:lineRule="auto"/>
        <w:ind w:firstLine="643" w:firstLineChars="200"/>
        <w:textAlignment w:val="auto"/>
        <w:outlineLvl w:val="2"/>
        <w:rPr>
          <w:rFonts w:hint="default" w:ascii="Times New Roman" w:hAnsi="Times New Roman" w:eastAsia="楷体_GB2312" w:cs="Times New Roman"/>
          <w:b/>
          <w:color w:val="auto"/>
          <w:sz w:val="32"/>
          <w:szCs w:val="32"/>
          <w:highlight w:val="none"/>
        </w:rPr>
      </w:pPr>
      <w:bookmarkStart w:id="46" w:name="_Toc15377222"/>
      <w:r>
        <w:rPr>
          <w:rFonts w:hint="default" w:ascii="Times New Roman" w:hAnsi="Times New Roman" w:eastAsia="楷体_GB2312" w:cs="Times New Roman"/>
          <w:b/>
          <w:color w:val="auto"/>
          <w:sz w:val="32"/>
          <w:szCs w:val="32"/>
          <w:highlight w:val="none"/>
        </w:rPr>
        <w:t>（一）机关运行经费支出情况</w:t>
      </w:r>
      <w:bookmarkEnd w:id="46"/>
    </w:p>
    <w:p w14:paraId="54A32B1D">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outlineLvl w:val="2"/>
        <w:rPr>
          <w:rFonts w:hint="default" w:ascii="Times New Roman" w:hAnsi="Times New Roman" w:eastAsia="仿宋_GB2312" w:cs="Times New Roman"/>
          <w:color w:val="auto"/>
          <w:kern w:val="2"/>
          <w:sz w:val="32"/>
          <w:szCs w:val="32"/>
          <w:highlight w:val="none"/>
          <w:lang w:val="en-US" w:eastAsia="zh-CN" w:bidi="ar-SA"/>
        </w:rPr>
      </w:pPr>
      <w:r>
        <w:rPr>
          <w:rFonts w:hint="default" w:ascii="Times New Roman" w:hAnsi="Times New Roman" w:eastAsia="仿宋_GB2312" w:cs="Times New Roman"/>
          <w:color w:val="auto"/>
          <w:kern w:val="2"/>
          <w:sz w:val="32"/>
          <w:szCs w:val="32"/>
          <w:highlight w:val="none"/>
          <w:lang w:val="en-US" w:eastAsia="zh-CN" w:bidi="ar-SA"/>
        </w:rPr>
        <w:t>2025年度，</w:t>
      </w:r>
      <w:r>
        <w:rPr>
          <w:rFonts w:hint="default" w:ascii="Times New Roman" w:hAnsi="Times New Roman" w:eastAsia="仿宋_GB2312" w:cs="Times New Roman"/>
          <w:sz w:val="32"/>
          <w:szCs w:val="32"/>
        </w:rPr>
        <w:t>攀枝花市社会保险事务中心</w:t>
      </w:r>
      <w:r>
        <w:rPr>
          <w:rFonts w:hint="default" w:ascii="Times New Roman" w:hAnsi="Times New Roman" w:eastAsia="仿宋_GB2312" w:cs="Times New Roman"/>
          <w:color w:val="auto"/>
          <w:kern w:val="2"/>
          <w:sz w:val="32"/>
          <w:szCs w:val="32"/>
          <w:highlight w:val="none"/>
          <w:lang w:val="en-US" w:eastAsia="zh-CN" w:bidi="ar-SA"/>
        </w:rPr>
        <w:t>机关运行经费支出</w:t>
      </w:r>
      <w:r>
        <w:rPr>
          <w:rFonts w:hint="default" w:ascii="Times New Roman" w:hAnsi="Times New Roman" w:eastAsia="仿宋_GB2312" w:cs="Times New Roman"/>
          <w:sz w:val="32"/>
          <w:szCs w:val="32"/>
        </w:rPr>
        <w:t>129.85</w:t>
      </w:r>
      <w:r>
        <w:rPr>
          <w:rFonts w:hint="default" w:ascii="Times New Roman" w:hAnsi="Times New Roman" w:eastAsia="仿宋_GB2312" w:cs="Times New Roman"/>
          <w:color w:val="auto"/>
          <w:kern w:val="2"/>
          <w:sz w:val="32"/>
          <w:szCs w:val="32"/>
          <w:highlight w:val="none"/>
          <w:lang w:val="en-US" w:eastAsia="zh-CN" w:bidi="ar-SA"/>
        </w:rPr>
        <w:t>万元，比上年度减少10.65万元，下降7.58%。主要原因是</w:t>
      </w:r>
      <w:bookmarkStart w:id="47" w:name="_Toc15377223"/>
      <w:r>
        <w:rPr>
          <w:rFonts w:hint="default" w:ascii="Times New Roman" w:hAnsi="Times New Roman" w:eastAsia="仿宋_GB2312" w:cs="Times New Roman"/>
          <w:color w:val="auto"/>
          <w:kern w:val="2"/>
          <w:sz w:val="32"/>
          <w:szCs w:val="32"/>
          <w:highlight w:val="none"/>
          <w:lang w:val="en-US" w:eastAsia="zh-CN" w:bidi="ar-SA"/>
        </w:rPr>
        <w:t>2024年我中心按市人力资源社会保障局要求派遣2名同志到财政部、人力资源社会保障部挂职锻炼</w:t>
      </w:r>
      <w:r>
        <w:rPr>
          <w:rFonts w:hint="eastAsia" w:eastAsia="仿宋_GB2312" w:cs="Times New Roman"/>
          <w:color w:val="auto"/>
          <w:kern w:val="2"/>
          <w:sz w:val="32"/>
          <w:szCs w:val="32"/>
          <w:highlight w:val="none"/>
          <w:lang w:val="en-US" w:eastAsia="zh-CN" w:bidi="ar-SA"/>
        </w:rPr>
        <w:t>，支出了相应</w:t>
      </w:r>
      <w:r>
        <w:rPr>
          <w:rFonts w:hint="default" w:ascii="Times New Roman" w:hAnsi="Times New Roman" w:eastAsia="仿宋_GB2312" w:cs="Times New Roman"/>
          <w:color w:val="auto"/>
          <w:kern w:val="2"/>
          <w:sz w:val="32"/>
          <w:szCs w:val="32"/>
          <w:highlight w:val="none"/>
          <w:lang w:val="en-US" w:eastAsia="zh-CN" w:bidi="ar-SA"/>
        </w:rPr>
        <w:t>房租费和差旅费。</w:t>
      </w:r>
    </w:p>
    <w:p w14:paraId="467DB687">
      <w:pPr>
        <w:keepNext w:val="0"/>
        <w:keepLines w:val="0"/>
        <w:pageBreakBefore w:val="0"/>
        <w:widowControl w:val="0"/>
        <w:kinsoku/>
        <w:wordWrap/>
        <w:overflowPunct/>
        <w:topLinePunct w:val="0"/>
        <w:autoSpaceDE/>
        <w:autoSpaceDN/>
        <w:bidi w:val="0"/>
        <w:adjustRightInd/>
        <w:snapToGrid/>
        <w:spacing w:line="360" w:lineRule="auto"/>
        <w:ind w:firstLine="643" w:firstLineChars="200"/>
        <w:textAlignment w:val="auto"/>
        <w:outlineLvl w:val="2"/>
        <w:rPr>
          <w:rFonts w:hint="default" w:ascii="Times New Roman" w:hAnsi="Times New Roman" w:eastAsia="楷体_GB2312" w:cs="Times New Roman"/>
          <w:b/>
          <w:color w:val="auto"/>
          <w:sz w:val="32"/>
          <w:szCs w:val="32"/>
          <w:highlight w:val="none"/>
        </w:rPr>
      </w:pPr>
      <w:r>
        <w:rPr>
          <w:rFonts w:hint="default" w:ascii="Times New Roman" w:hAnsi="Times New Roman" w:eastAsia="楷体_GB2312" w:cs="Times New Roman"/>
          <w:b/>
          <w:color w:val="auto"/>
          <w:sz w:val="32"/>
          <w:szCs w:val="32"/>
          <w:highlight w:val="none"/>
        </w:rPr>
        <w:t>（二）政府采购支出情况</w:t>
      </w:r>
      <w:bookmarkEnd w:id="47"/>
    </w:p>
    <w:p w14:paraId="636B40BB">
      <w:pPr>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default" w:ascii="Times New Roman" w:hAnsi="Times New Roman" w:eastAsia="仿宋_GB2312" w:cs="Times New Roman"/>
          <w:color w:val="auto"/>
          <w:kern w:val="2"/>
          <w:sz w:val="32"/>
          <w:szCs w:val="32"/>
          <w:highlight w:val="none"/>
          <w:lang w:val="en-US" w:eastAsia="zh-CN" w:bidi="ar-SA"/>
        </w:rPr>
      </w:pPr>
      <w:r>
        <w:rPr>
          <w:rFonts w:hint="default" w:ascii="Times New Roman" w:hAnsi="Times New Roman" w:eastAsia="仿宋_GB2312" w:cs="Times New Roman"/>
          <w:color w:val="auto"/>
          <w:kern w:val="2"/>
          <w:sz w:val="32"/>
          <w:szCs w:val="32"/>
          <w:highlight w:val="none"/>
          <w:lang w:val="en-US" w:eastAsia="zh-CN" w:bidi="ar-SA"/>
        </w:rPr>
        <w:t>2025年度，</w:t>
      </w:r>
      <w:r>
        <w:rPr>
          <w:rFonts w:hint="default" w:ascii="Times New Roman" w:hAnsi="Times New Roman" w:eastAsia="仿宋_GB2312" w:cs="Times New Roman"/>
          <w:sz w:val="32"/>
          <w:szCs w:val="32"/>
        </w:rPr>
        <w:t>攀枝花市社会保险事务中心</w:t>
      </w:r>
      <w:r>
        <w:rPr>
          <w:rFonts w:hint="default" w:ascii="Times New Roman" w:hAnsi="Times New Roman" w:eastAsia="仿宋_GB2312" w:cs="Times New Roman"/>
          <w:color w:val="auto"/>
          <w:kern w:val="2"/>
          <w:sz w:val="32"/>
          <w:szCs w:val="32"/>
          <w:highlight w:val="none"/>
          <w:lang w:val="en-US" w:eastAsia="zh-CN" w:bidi="ar-SA"/>
        </w:rPr>
        <w:t>政府采购支出总额</w:t>
      </w:r>
      <w:r>
        <w:rPr>
          <w:rFonts w:hint="default" w:ascii="Times New Roman" w:hAnsi="Times New Roman" w:eastAsia="仿宋_GB2312" w:cs="Times New Roman"/>
          <w:sz w:val="32"/>
          <w:szCs w:val="32"/>
        </w:rPr>
        <w:t>220.58</w:t>
      </w:r>
      <w:r>
        <w:rPr>
          <w:rFonts w:hint="default" w:ascii="Times New Roman" w:hAnsi="Times New Roman" w:eastAsia="仿宋_GB2312" w:cs="Times New Roman"/>
          <w:color w:val="auto"/>
          <w:kern w:val="2"/>
          <w:sz w:val="32"/>
          <w:szCs w:val="32"/>
          <w:highlight w:val="none"/>
          <w:lang w:val="en-US" w:eastAsia="zh-CN" w:bidi="ar-SA"/>
        </w:rPr>
        <w:t>万元，其中：政府采购货物支出</w:t>
      </w:r>
      <w:r>
        <w:rPr>
          <w:rFonts w:hint="default" w:ascii="Times New Roman" w:hAnsi="Times New Roman" w:eastAsia="仿宋_GB2312" w:cs="Times New Roman"/>
          <w:sz w:val="32"/>
          <w:szCs w:val="32"/>
        </w:rPr>
        <w:t>0</w:t>
      </w:r>
      <w:r>
        <w:rPr>
          <w:rFonts w:hint="default" w:ascii="Times New Roman" w:hAnsi="Times New Roman" w:eastAsia="仿宋_GB2312" w:cs="Times New Roman"/>
          <w:color w:val="auto"/>
          <w:kern w:val="2"/>
          <w:sz w:val="32"/>
          <w:szCs w:val="32"/>
          <w:highlight w:val="none"/>
          <w:lang w:val="en-US" w:eastAsia="zh-CN" w:bidi="ar-SA"/>
        </w:rPr>
        <w:t>万元、政府采购工程支出</w:t>
      </w:r>
      <w:r>
        <w:rPr>
          <w:rFonts w:hint="default" w:ascii="Times New Roman" w:hAnsi="Times New Roman" w:eastAsia="仿宋_GB2312" w:cs="Times New Roman"/>
          <w:sz w:val="32"/>
          <w:szCs w:val="32"/>
        </w:rPr>
        <w:t>0</w:t>
      </w:r>
      <w:r>
        <w:rPr>
          <w:rFonts w:hint="default" w:ascii="Times New Roman" w:hAnsi="Times New Roman" w:eastAsia="仿宋_GB2312" w:cs="Times New Roman"/>
          <w:color w:val="auto"/>
          <w:kern w:val="2"/>
          <w:sz w:val="32"/>
          <w:szCs w:val="32"/>
          <w:highlight w:val="none"/>
          <w:lang w:val="en-US" w:eastAsia="zh-CN" w:bidi="ar-SA"/>
        </w:rPr>
        <w:t>万元、政府采购服务支出</w:t>
      </w:r>
      <w:r>
        <w:rPr>
          <w:rFonts w:hint="default" w:ascii="Times New Roman" w:hAnsi="Times New Roman" w:eastAsia="仿宋_GB2312" w:cs="Times New Roman"/>
          <w:sz w:val="32"/>
          <w:szCs w:val="32"/>
        </w:rPr>
        <w:t>220.58</w:t>
      </w:r>
      <w:r>
        <w:rPr>
          <w:rFonts w:hint="default" w:ascii="Times New Roman" w:hAnsi="Times New Roman" w:eastAsia="仿宋_GB2312" w:cs="Times New Roman"/>
          <w:color w:val="auto"/>
          <w:kern w:val="2"/>
          <w:sz w:val="32"/>
          <w:szCs w:val="32"/>
          <w:highlight w:val="none"/>
          <w:lang w:val="en-US" w:eastAsia="zh-CN" w:bidi="ar-SA"/>
        </w:rPr>
        <w:t>万元。主要用于</w:t>
      </w:r>
      <w:r>
        <w:rPr>
          <w:rFonts w:hint="default" w:ascii="Times New Roman" w:hAnsi="Times New Roman" w:eastAsia="仿宋_GB2312" w:cs="Times New Roman"/>
          <w:color w:val="000000"/>
          <w:sz w:val="32"/>
          <w:szCs w:val="32"/>
          <w:lang w:val="en-US" w:eastAsia="zh-CN"/>
        </w:rPr>
        <w:t>车辆加油服务框架协议采购0.5万元、车辆保险服务框架协议采购0.38万元和车辆维修服务框架协议采购0.2万元，用于2025年度工伤预防宣传及培训219.5万元</w:t>
      </w:r>
      <w:r>
        <w:rPr>
          <w:rFonts w:hint="default" w:ascii="Times New Roman" w:hAnsi="Times New Roman" w:eastAsia="仿宋_GB2312" w:cs="Times New Roman"/>
          <w:color w:val="auto"/>
          <w:kern w:val="2"/>
          <w:sz w:val="32"/>
          <w:szCs w:val="32"/>
          <w:highlight w:val="none"/>
          <w:lang w:val="en-US" w:eastAsia="zh-CN" w:bidi="ar-SA"/>
        </w:rPr>
        <w:t>。授予中小企业合同金额</w:t>
      </w:r>
      <w:r>
        <w:rPr>
          <w:rFonts w:hint="default" w:ascii="Times New Roman" w:hAnsi="Times New Roman" w:eastAsia="仿宋_GB2312" w:cs="Times New Roman"/>
          <w:sz w:val="32"/>
          <w:szCs w:val="32"/>
        </w:rPr>
        <w:t>220</w:t>
      </w:r>
      <w:r>
        <w:rPr>
          <w:rFonts w:hint="default" w:ascii="Times New Roman" w:hAnsi="Times New Roman" w:eastAsia="仿宋_GB2312" w:cs="Times New Roman"/>
          <w:color w:val="auto"/>
          <w:kern w:val="2"/>
          <w:sz w:val="32"/>
          <w:szCs w:val="32"/>
          <w:highlight w:val="none"/>
          <w:lang w:val="en-US" w:eastAsia="zh-CN" w:bidi="ar-SA"/>
        </w:rPr>
        <w:t>万元，占政府采购支出总额的</w:t>
      </w:r>
      <w:r>
        <w:rPr>
          <w:rFonts w:hint="default" w:ascii="Times New Roman" w:hAnsi="Times New Roman" w:eastAsia="仿宋_GB2312" w:cs="Times New Roman"/>
          <w:sz w:val="32"/>
          <w:szCs w:val="32"/>
        </w:rPr>
        <w:t>99.73</w:t>
      </w:r>
      <w:r>
        <w:rPr>
          <w:rFonts w:hint="default" w:ascii="Times New Roman" w:hAnsi="Times New Roman" w:eastAsia="仿宋_GB2312" w:cs="Times New Roman"/>
          <w:color w:val="auto"/>
          <w:kern w:val="2"/>
          <w:sz w:val="32"/>
          <w:szCs w:val="32"/>
          <w:highlight w:val="none"/>
          <w:lang w:val="en-US" w:eastAsia="zh-CN" w:bidi="ar-SA"/>
        </w:rPr>
        <w:t>%，其中：授予小微企业合同金额</w:t>
      </w:r>
      <w:r>
        <w:rPr>
          <w:rFonts w:hint="default" w:ascii="Times New Roman" w:hAnsi="Times New Roman" w:eastAsia="仿宋_GB2312" w:cs="Times New Roman"/>
          <w:sz w:val="32"/>
          <w:szCs w:val="32"/>
        </w:rPr>
        <w:t>219.5</w:t>
      </w:r>
      <w:r>
        <w:rPr>
          <w:rFonts w:hint="default" w:ascii="Times New Roman" w:hAnsi="Times New Roman" w:eastAsia="仿宋_GB2312" w:cs="Times New Roman"/>
          <w:color w:val="auto"/>
          <w:kern w:val="2"/>
          <w:sz w:val="32"/>
          <w:szCs w:val="32"/>
          <w:highlight w:val="none"/>
          <w:lang w:val="en-US" w:eastAsia="zh-CN" w:bidi="ar-SA"/>
        </w:rPr>
        <w:t>万元，占政府采购支出总额的</w:t>
      </w:r>
      <w:r>
        <w:rPr>
          <w:rFonts w:hint="default" w:ascii="Times New Roman" w:hAnsi="Times New Roman" w:eastAsia="仿宋_GB2312" w:cs="Times New Roman"/>
          <w:sz w:val="32"/>
          <w:szCs w:val="32"/>
        </w:rPr>
        <w:t>99.51</w:t>
      </w:r>
      <w:r>
        <w:rPr>
          <w:rFonts w:hint="default" w:ascii="Times New Roman" w:hAnsi="Times New Roman" w:eastAsia="仿宋_GB2312" w:cs="Times New Roman"/>
          <w:color w:val="auto"/>
          <w:kern w:val="2"/>
          <w:sz w:val="32"/>
          <w:szCs w:val="32"/>
          <w:highlight w:val="none"/>
          <w:lang w:val="en-US" w:eastAsia="zh-CN" w:bidi="ar-SA"/>
        </w:rPr>
        <w:t>%。</w:t>
      </w:r>
    </w:p>
    <w:p w14:paraId="1DC40A80">
      <w:pPr>
        <w:keepNext w:val="0"/>
        <w:keepLines w:val="0"/>
        <w:pageBreakBefore w:val="0"/>
        <w:widowControl w:val="0"/>
        <w:kinsoku/>
        <w:wordWrap/>
        <w:overflowPunct/>
        <w:topLinePunct w:val="0"/>
        <w:autoSpaceDE/>
        <w:autoSpaceDN/>
        <w:bidi w:val="0"/>
        <w:adjustRightInd/>
        <w:snapToGrid/>
        <w:spacing w:line="360" w:lineRule="auto"/>
        <w:ind w:firstLine="643" w:firstLineChars="200"/>
        <w:textAlignment w:val="auto"/>
        <w:outlineLvl w:val="2"/>
        <w:rPr>
          <w:rFonts w:hint="default" w:ascii="Times New Roman" w:hAnsi="Times New Roman" w:eastAsia="楷体_GB2312" w:cs="Times New Roman"/>
          <w:b/>
          <w:color w:val="auto"/>
          <w:sz w:val="32"/>
          <w:szCs w:val="32"/>
          <w:highlight w:val="none"/>
        </w:rPr>
      </w:pPr>
      <w:bookmarkStart w:id="48" w:name="_Toc15377224"/>
      <w:r>
        <w:rPr>
          <w:rFonts w:hint="default" w:ascii="Times New Roman" w:hAnsi="Times New Roman" w:eastAsia="楷体_GB2312" w:cs="Times New Roman"/>
          <w:b/>
          <w:color w:val="auto"/>
          <w:sz w:val="32"/>
          <w:szCs w:val="32"/>
          <w:highlight w:val="none"/>
        </w:rPr>
        <w:t>（三）国有资产占有使用情况</w:t>
      </w:r>
      <w:bookmarkEnd w:id="48"/>
    </w:p>
    <w:p w14:paraId="42FC758C">
      <w:pPr>
        <w:keepNext w:val="0"/>
        <w:keepLines w:val="0"/>
        <w:pageBreakBefore w:val="0"/>
        <w:widowControl w:val="0"/>
        <w:kinsoku/>
        <w:wordWrap/>
        <w:overflowPunct/>
        <w:topLinePunct w:val="0"/>
        <w:autoSpaceDE/>
        <w:autoSpaceDN/>
        <w:bidi w:val="0"/>
        <w:adjustRightInd/>
        <w:snapToGrid/>
        <w:spacing w:line="360" w:lineRule="auto"/>
        <w:ind w:firstLine="640"/>
        <w:textAlignment w:val="auto"/>
        <w:rPr>
          <w:rFonts w:hint="default" w:ascii="Times New Roman" w:hAnsi="Times New Roman" w:eastAsia="仿宋_GB2312" w:cs="Times New Roman"/>
          <w:color w:val="auto"/>
          <w:kern w:val="2"/>
          <w:sz w:val="32"/>
          <w:szCs w:val="32"/>
          <w:highlight w:val="none"/>
          <w:lang w:val="en-US" w:eastAsia="zh-CN" w:bidi="ar-SA"/>
        </w:rPr>
      </w:pPr>
      <w:r>
        <w:rPr>
          <w:rFonts w:hint="default" w:ascii="Times New Roman" w:hAnsi="Times New Roman" w:eastAsia="仿宋_GB2312" w:cs="Times New Roman"/>
          <w:color w:val="auto"/>
          <w:kern w:val="2"/>
          <w:sz w:val="32"/>
          <w:szCs w:val="32"/>
          <w:highlight w:val="none"/>
          <w:lang w:val="en-US" w:eastAsia="zh-CN" w:bidi="ar-SA"/>
        </w:rPr>
        <w:t>截至2025年12月31日，</w:t>
      </w:r>
      <w:r>
        <w:rPr>
          <w:rFonts w:hint="default" w:ascii="Times New Roman" w:hAnsi="Times New Roman" w:eastAsia="仿宋_GB2312" w:cs="Times New Roman"/>
          <w:sz w:val="32"/>
          <w:szCs w:val="32"/>
        </w:rPr>
        <w:t>攀枝花市社会保险事务中心</w:t>
      </w:r>
      <w:r>
        <w:rPr>
          <w:rFonts w:hint="default" w:ascii="Times New Roman" w:hAnsi="Times New Roman" w:eastAsia="仿宋_GB2312" w:cs="Times New Roman"/>
          <w:color w:val="auto"/>
          <w:kern w:val="2"/>
          <w:sz w:val="32"/>
          <w:szCs w:val="32"/>
          <w:highlight w:val="none"/>
          <w:lang w:val="en-US" w:eastAsia="zh-CN" w:bidi="ar-SA"/>
        </w:rPr>
        <w:t>共有车辆</w:t>
      </w:r>
      <w:r>
        <w:rPr>
          <w:rFonts w:hint="default" w:ascii="Times New Roman" w:hAnsi="Times New Roman" w:eastAsia="仿宋_GB2312" w:cs="Times New Roman"/>
          <w:sz w:val="32"/>
          <w:szCs w:val="32"/>
        </w:rPr>
        <w:t>1</w:t>
      </w:r>
      <w:r>
        <w:rPr>
          <w:rFonts w:hint="default" w:ascii="Times New Roman" w:hAnsi="Times New Roman" w:eastAsia="仿宋_GB2312" w:cs="Times New Roman"/>
          <w:color w:val="auto"/>
          <w:kern w:val="2"/>
          <w:sz w:val="32"/>
          <w:szCs w:val="32"/>
          <w:highlight w:val="none"/>
          <w:lang w:val="en-US" w:eastAsia="zh-CN" w:bidi="ar-SA"/>
        </w:rPr>
        <w:t>辆，其中：副部（省）级及以上领导用车</w:t>
      </w:r>
      <w:r>
        <w:rPr>
          <w:rFonts w:hint="default" w:ascii="Times New Roman" w:hAnsi="Times New Roman" w:eastAsia="仿宋_GB2312" w:cs="Times New Roman"/>
          <w:sz w:val="32"/>
          <w:szCs w:val="32"/>
        </w:rPr>
        <w:t>0</w:t>
      </w:r>
      <w:r>
        <w:rPr>
          <w:rFonts w:hint="default" w:ascii="Times New Roman" w:hAnsi="Times New Roman" w:eastAsia="仿宋_GB2312" w:cs="Times New Roman"/>
          <w:color w:val="auto"/>
          <w:kern w:val="2"/>
          <w:sz w:val="32"/>
          <w:szCs w:val="32"/>
          <w:highlight w:val="none"/>
          <w:lang w:val="en-US" w:eastAsia="zh-CN" w:bidi="ar-SA"/>
        </w:rPr>
        <w:t>辆、主要负责人用车</w:t>
      </w:r>
      <w:r>
        <w:rPr>
          <w:rFonts w:hint="default" w:ascii="Times New Roman" w:hAnsi="Times New Roman" w:eastAsia="仿宋_GB2312" w:cs="Times New Roman"/>
          <w:sz w:val="32"/>
          <w:szCs w:val="32"/>
        </w:rPr>
        <w:t>0</w:t>
      </w:r>
      <w:r>
        <w:rPr>
          <w:rFonts w:hint="default" w:ascii="Times New Roman" w:hAnsi="Times New Roman" w:eastAsia="仿宋_GB2312" w:cs="Times New Roman"/>
          <w:color w:val="auto"/>
          <w:kern w:val="2"/>
          <w:sz w:val="32"/>
          <w:szCs w:val="32"/>
          <w:highlight w:val="none"/>
          <w:lang w:val="en-US" w:eastAsia="zh-CN" w:bidi="ar-SA"/>
        </w:rPr>
        <w:t>辆、机要通信用车</w:t>
      </w:r>
      <w:r>
        <w:rPr>
          <w:rFonts w:hint="default" w:ascii="Times New Roman" w:hAnsi="Times New Roman" w:eastAsia="仿宋_GB2312" w:cs="Times New Roman"/>
          <w:sz w:val="32"/>
          <w:szCs w:val="32"/>
        </w:rPr>
        <w:t>0</w:t>
      </w:r>
      <w:r>
        <w:rPr>
          <w:rFonts w:hint="default" w:ascii="Times New Roman" w:hAnsi="Times New Roman" w:eastAsia="仿宋_GB2312" w:cs="Times New Roman"/>
          <w:color w:val="auto"/>
          <w:kern w:val="2"/>
          <w:sz w:val="32"/>
          <w:szCs w:val="32"/>
          <w:highlight w:val="none"/>
          <w:lang w:val="en-US" w:eastAsia="zh-CN" w:bidi="ar-SA"/>
        </w:rPr>
        <w:t>辆、应急保障用车</w:t>
      </w:r>
      <w:r>
        <w:rPr>
          <w:rFonts w:hint="default" w:ascii="Times New Roman" w:hAnsi="Times New Roman" w:eastAsia="仿宋_GB2312" w:cs="Times New Roman"/>
          <w:sz w:val="32"/>
          <w:szCs w:val="32"/>
        </w:rPr>
        <w:t>0</w:t>
      </w:r>
      <w:r>
        <w:rPr>
          <w:rFonts w:hint="default" w:ascii="Times New Roman" w:hAnsi="Times New Roman" w:eastAsia="仿宋_GB2312" w:cs="Times New Roman"/>
          <w:color w:val="auto"/>
          <w:kern w:val="2"/>
          <w:sz w:val="32"/>
          <w:szCs w:val="32"/>
          <w:highlight w:val="none"/>
          <w:lang w:val="en-US" w:eastAsia="zh-CN" w:bidi="ar-SA"/>
        </w:rPr>
        <w:t>辆、执法执勤用车</w:t>
      </w:r>
      <w:r>
        <w:rPr>
          <w:rFonts w:hint="default" w:ascii="Times New Roman" w:hAnsi="Times New Roman" w:eastAsia="仿宋_GB2312" w:cs="Times New Roman"/>
          <w:sz w:val="32"/>
          <w:szCs w:val="32"/>
        </w:rPr>
        <w:t>0</w:t>
      </w:r>
      <w:r>
        <w:rPr>
          <w:rFonts w:hint="default" w:ascii="Times New Roman" w:hAnsi="Times New Roman" w:eastAsia="仿宋_GB2312" w:cs="Times New Roman"/>
          <w:color w:val="auto"/>
          <w:kern w:val="2"/>
          <w:sz w:val="32"/>
          <w:szCs w:val="32"/>
          <w:highlight w:val="none"/>
          <w:lang w:val="en-US" w:eastAsia="zh-CN" w:bidi="ar-SA"/>
        </w:rPr>
        <w:t>辆、特种专业技术用车</w:t>
      </w:r>
      <w:r>
        <w:rPr>
          <w:rFonts w:hint="default" w:ascii="Times New Roman" w:hAnsi="Times New Roman" w:eastAsia="仿宋_GB2312" w:cs="Times New Roman"/>
          <w:sz w:val="32"/>
          <w:szCs w:val="32"/>
        </w:rPr>
        <w:t>1</w:t>
      </w:r>
      <w:r>
        <w:rPr>
          <w:rFonts w:hint="default" w:ascii="Times New Roman" w:hAnsi="Times New Roman" w:eastAsia="仿宋_GB2312" w:cs="Times New Roman"/>
          <w:color w:val="auto"/>
          <w:kern w:val="2"/>
          <w:sz w:val="32"/>
          <w:szCs w:val="32"/>
          <w:highlight w:val="none"/>
          <w:lang w:val="en-US" w:eastAsia="zh-CN" w:bidi="ar-SA"/>
        </w:rPr>
        <w:t>辆、离退休干部服务用车</w:t>
      </w:r>
      <w:r>
        <w:rPr>
          <w:rFonts w:hint="default" w:ascii="Times New Roman" w:hAnsi="Times New Roman" w:eastAsia="仿宋_GB2312" w:cs="Times New Roman"/>
          <w:sz w:val="32"/>
          <w:szCs w:val="32"/>
        </w:rPr>
        <w:t>0</w:t>
      </w:r>
      <w:r>
        <w:rPr>
          <w:rFonts w:hint="default" w:ascii="Times New Roman" w:hAnsi="Times New Roman" w:eastAsia="仿宋_GB2312" w:cs="Times New Roman"/>
          <w:color w:val="auto"/>
          <w:kern w:val="2"/>
          <w:sz w:val="32"/>
          <w:szCs w:val="32"/>
          <w:highlight w:val="none"/>
          <w:lang w:val="en-US" w:eastAsia="zh-CN" w:bidi="ar-SA"/>
        </w:rPr>
        <w:t>辆、其他用车</w:t>
      </w:r>
      <w:r>
        <w:rPr>
          <w:rFonts w:hint="default" w:ascii="Times New Roman" w:hAnsi="Times New Roman" w:eastAsia="仿宋_GB2312" w:cs="Times New Roman"/>
          <w:sz w:val="32"/>
          <w:szCs w:val="32"/>
        </w:rPr>
        <w:t>0</w:t>
      </w:r>
      <w:r>
        <w:rPr>
          <w:rFonts w:hint="default" w:ascii="Times New Roman" w:hAnsi="Times New Roman" w:eastAsia="仿宋_GB2312" w:cs="Times New Roman"/>
          <w:color w:val="auto"/>
          <w:kern w:val="2"/>
          <w:sz w:val="32"/>
          <w:szCs w:val="32"/>
          <w:highlight w:val="none"/>
          <w:lang w:val="en-US" w:eastAsia="zh-CN" w:bidi="ar-SA"/>
        </w:rPr>
        <w:t>辆，其他用车主要是用于</w:t>
      </w:r>
      <w:r>
        <w:rPr>
          <w:rFonts w:hint="default" w:ascii="Times New Roman" w:hAnsi="Times New Roman" w:eastAsia="仿宋_GB2312" w:cs="Times New Roman"/>
          <w:color w:val="auto"/>
          <w:sz w:val="32"/>
          <w:szCs w:val="32"/>
          <w:lang w:eastAsia="zh-CN"/>
        </w:rPr>
        <w:t>工伤预防到</w:t>
      </w:r>
      <w:r>
        <w:rPr>
          <w:rFonts w:hint="default" w:ascii="Times New Roman" w:hAnsi="Times New Roman" w:eastAsia="仿宋_GB2312" w:cs="Times New Roman"/>
          <w:color w:val="auto"/>
          <w:sz w:val="32"/>
          <w:szCs w:val="32"/>
        </w:rPr>
        <w:t>厂矿、企业、医疗机构开展调查取证、现场勘验和常规急救等专业技术工作等。</w:t>
      </w:r>
      <w:r>
        <w:rPr>
          <w:rFonts w:hint="default" w:ascii="Times New Roman" w:hAnsi="Times New Roman" w:eastAsia="仿宋_GB2312" w:cs="Times New Roman"/>
          <w:color w:val="auto"/>
          <w:kern w:val="2"/>
          <w:sz w:val="32"/>
          <w:szCs w:val="32"/>
          <w:highlight w:val="none"/>
          <w:lang w:val="en-US" w:eastAsia="zh-CN" w:bidi="ar-SA"/>
        </w:rPr>
        <w:t>单价100万元（含）以上设备（不含车辆）</w:t>
      </w:r>
      <w:r>
        <w:rPr>
          <w:rFonts w:hint="default" w:ascii="Times New Roman" w:hAnsi="Times New Roman" w:eastAsia="仿宋_GB2312" w:cs="Times New Roman"/>
          <w:sz w:val="32"/>
          <w:szCs w:val="32"/>
        </w:rPr>
        <w:t>0</w:t>
      </w:r>
      <w:r>
        <w:rPr>
          <w:rFonts w:hint="default" w:ascii="Times New Roman" w:hAnsi="Times New Roman" w:eastAsia="仿宋_GB2312" w:cs="Times New Roman"/>
          <w:color w:val="auto"/>
          <w:kern w:val="2"/>
          <w:sz w:val="32"/>
          <w:szCs w:val="32"/>
          <w:highlight w:val="none"/>
          <w:lang w:val="en-US" w:eastAsia="zh-CN" w:bidi="ar-SA"/>
        </w:rPr>
        <w:t>台（套）。</w:t>
      </w:r>
    </w:p>
    <w:p w14:paraId="38A6AAFE">
      <w:pPr>
        <w:keepNext w:val="0"/>
        <w:keepLines w:val="0"/>
        <w:pageBreakBefore w:val="0"/>
        <w:widowControl w:val="0"/>
        <w:kinsoku/>
        <w:wordWrap/>
        <w:overflowPunct/>
        <w:topLinePunct w:val="0"/>
        <w:autoSpaceDE/>
        <w:autoSpaceDN/>
        <w:bidi w:val="0"/>
        <w:adjustRightInd/>
        <w:snapToGrid/>
        <w:spacing w:line="360" w:lineRule="auto"/>
        <w:ind w:firstLine="643" w:firstLineChars="200"/>
        <w:textAlignment w:val="auto"/>
        <w:outlineLvl w:val="2"/>
        <w:rPr>
          <w:rFonts w:hint="default" w:ascii="Times New Roman" w:hAnsi="Times New Roman" w:eastAsia="楷体_GB2312" w:cs="Times New Roman"/>
          <w:b/>
          <w:color w:val="auto"/>
          <w:sz w:val="32"/>
          <w:szCs w:val="32"/>
          <w:highlight w:val="none"/>
        </w:rPr>
      </w:pPr>
      <w:r>
        <w:rPr>
          <w:rFonts w:hint="default" w:ascii="Times New Roman" w:hAnsi="Times New Roman" w:eastAsia="楷体_GB2312" w:cs="Times New Roman"/>
          <w:b/>
          <w:color w:val="auto"/>
          <w:sz w:val="32"/>
          <w:szCs w:val="32"/>
          <w:highlight w:val="none"/>
        </w:rPr>
        <w:t>（四）预算绩效管理情况</w:t>
      </w:r>
    </w:p>
    <w:p w14:paraId="619E488F">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default" w:ascii="Times New Roman" w:hAnsi="Times New Roman" w:eastAsia="仿宋_GB2312" w:cs="Times New Roman"/>
          <w:color w:val="auto"/>
          <w:kern w:val="2"/>
          <w:sz w:val="32"/>
          <w:szCs w:val="32"/>
          <w:highlight w:val="none"/>
          <w:lang w:val="en-US" w:eastAsia="zh-CN" w:bidi="ar-SA"/>
        </w:rPr>
      </w:pPr>
      <w:r>
        <w:rPr>
          <w:rFonts w:hint="default" w:ascii="Times New Roman" w:hAnsi="Times New Roman" w:eastAsia="仿宋_GB2312" w:cs="Times New Roman"/>
          <w:color w:val="auto"/>
          <w:kern w:val="2"/>
          <w:sz w:val="32"/>
          <w:szCs w:val="32"/>
          <w:highlight w:val="none"/>
          <w:lang w:val="en-US" w:eastAsia="zh-CN" w:bidi="ar-SA"/>
        </w:rPr>
        <w:t>根据预算绩效管理要求，</w:t>
      </w:r>
      <w:r>
        <w:rPr>
          <w:rFonts w:hint="default" w:ascii="Times New Roman" w:hAnsi="Times New Roman" w:eastAsia="仿宋_GB2312" w:cs="Times New Roman"/>
          <w:sz w:val="32"/>
          <w:szCs w:val="32"/>
        </w:rPr>
        <w:t>四川省攀枝花市社会保险事务中心</w:t>
      </w:r>
      <w:r>
        <w:rPr>
          <w:rFonts w:hint="default" w:ascii="Times New Roman" w:hAnsi="Times New Roman" w:eastAsia="仿宋_GB2312" w:cs="Times New Roman"/>
          <w:color w:val="auto"/>
          <w:kern w:val="2"/>
          <w:sz w:val="32"/>
          <w:szCs w:val="32"/>
          <w:highlight w:val="none"/>
          <w:lang w:val="en-US" w:eastAsia="zh-CN" w:bidi="ar-SA"/>
        </w:rPr>
        <w:t>在2025年度预算编制阶段，组织对“入驻政务中心单位租金、物业费及水电费”项目开展了预算事前绩效评估，对1个项目编制了绩效目标，选取1个项目开展绩效监控。</w:t>
      </w:r>
    </w:p>
    <w:p w14:paraId="7DDC5DF7">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textAlignment w:val="auto"/>
        <w:outlineLvl w:val="9"/>
        <w:rPr>
          <w:rFonts w:hint="default" w:ascii="Times New Roman" w:hAnsi="Times New Roman" w:eastAsia="仿宋_GB2312" w:cs="Times New Roman"/>
          <w:color w:val="auto"/>
          <w:kern w:val="2"/>
          <w:sz w:val="32"/>
          <w:szCs w:val="32"/>
          <w:highlight w:val="none"/>
          <w:lang w:val="en-US" w:eastAsia="zh-CN" w:bidi="ar-SA"/>
        </w:rPr>
      </w:pPr>
      <w:r>
        <w:rPr>
          <w:rFonts w:hint="default" w:ascii="Times New Roman" w:hAnsi="Times New Roman" w:eastAsia="仿宋_GB2312" w:cs="Times New Roman"/>
          <w:color w:val="auto"/>
          <w:kern w:val="2"/>
          <w:sz w:val="32"/>
          <w:szCs w:val="32"/>
          <w:highlight w:val="none"/>
          <w:lang w:val="en-US" w:eastAsia="zh-CN" w:bidi="ar-SA"/>
        </w:rPr>
        <w:t>组织对2025年度一般公共预算、政府性基金预算、国有资本经营预算、社会保险基金预算以及资本资产、债券资金等全面开展绩效自评，形成</w:t>
      </w:r>
      <w:r>
        <w:rPr>
          <w:rFonts w:hint="default" w:ascii="Times New Roman" w:hAnsi="Times New Roman" w:eastAsia="仿宋_GB2312" w:cs="Times New Roman"/>
          <w:sz w:val="32"/>
          <w:szCs w:val="32"/>
        </w:rPr>
        <w:t>四川省攀枝花市社会保险事务中心</w:t>
      </w:r>
      <w:r>
        <w:rPr>
          <w:rFonts w:hint="default" w:ascii="Times New Roman" w:hAnsi="Times New Roman" w:eastAsia="仿宋_GB2312" w:cs="Times New Roman"/>
          <w:color w:val="auto"/>
          <w:kern w:val="2"/>
          <w:sz w:val="32"/>
          <w:szCs w:val="32"/>
          <w:highlight w:val="none"/>
          <w:lang w:val="en-US" w:eastAsia="zh-CN" w:bidi="ar-SA"/>
        </w:rPr>
        <w:t>部门整体绩效自评报告、“入驻政务中心单位租金、物业费及水电费”等专项预算项目绩效自评报告，其中，</w:t>
      </w:r>
      <w:r>
        <w:rPr>
          <w:rFonts w:hint="default" w:ascii="Times New Roman" w:hAnsi="Times New Roman" w:eastAsia="仿宋_GB2312" w:cs="Times New Roman"/>
          <w:sz w:val="32"/>
          <w:szCs w:val="32"/>
        </w:rPr>
        <w:t>四川省攀枝花市社会保险事务中心</w:t>
      </w:r>
      <w:r>
        <w:rPr>
          <w:rFonts w:hint="default" w:ascii="Times New Roman" w:hAnsi="Times New Roman" w:eastAsia="仿宋_GB2312" w:cs="Times New Roman"/>
          <w:color w:val="auto"/>
          <w:kern w:val="2"/>
          <w:sz w:val="32"/>
          <w:szCs w:val="32"/>
          <w:highlight w:val="none"/>
          <w:lang w:val="en-US" w:eastAsia="zh-CN" w:bidi="ar-SA"/>
        </w:rPr>
        <w:t>部门整体绩效自评得分为93.1分，绩效自评综述：</w:t>
      </w:r>
      <w:r>
        <w:rPr>
          <w:rFonts w:hint="default" w:ascii="Times New Roman" w:hAnsi="Times New Roman" w:eastAsia="仿宋_GB2312" w:cs="Times New Roman"/>
          <w:sz w:val="32"/>
          <w:szCs w:val="32"/>
        </w:rPr>
        <w:t>四川省攀枝花市社会保险事务中心着力推进社保改革任务落地落实、公共服务提质增效、运行管理提档升级、严防风险确保基金安全，推动全市社保经办事业高质量、可持续发展。扎实开展社保经办工作，不断提升人民群众获得感、幸</w:t>
      </w:r>
      <w:r>
        <w:rPr>
          <w:rFonts w:hint="default" w:ascii="Times New Roman" w:hAnsi="Times New Roman" w:eastAsia="仿宋_GB2312" w:cs="Times New Roman"/>
          <w:color w:val="auto"/>
          <w:kern w:val="2"/>
          <w:sz w:val="32"/>
          <w:szCs w:val="32"/>
          <w:highlight w:val="none"/>
          <w:lang w:val="en-US" w:eastAsia="zh-CN" w:bidi="ar-SA"/>
        </w:rPr>
        <w:t>福感和安全感，各项工作成效显著。继续确保各项社会保险待遇的按时足额发放和支付，维护参保人员合法权益，调整增加各类退休人员基本养老金，积极完善工伤保险信息系统功能，做好工伤保险预防工作，全面完成年初预算绩效目标及省级下达的目标任务。“入驻政务中心单位租金、物业费及水电费”专项预算项目绩效自评得分为100分，绩效自评综述：保障了单位正常运转，能更好</w:t>
      </w:r>
      <w:r>
        <w:rPr>
          <w:rFonts w:hint="eastAsia" w:eastAsia="仿宋_GB2312" w:cs="Times New Roman"/>
          <w:color w:val="auto"/>
          <w:kern w:val="2"/>
          <w:sz w:val="32"/>
          <w:szCs w:val="32"/>
          <w:highlight w:val="none"/>
          <w:lang w:val="en-US" w:eastAsia="zh-CN" w:bidi="ar-SA"/>
        </w:rPr>
        <w:t>地</w:t>
      </w:r>
      <w:r>
        <w:rPr>
          <w:rFonts w:hint="default" w:ascii="Times New Roman" w:hAnsi="Times New Roman" w:eastAsia="仿宋_GB2312" w:cs="Times New Roman"/>
          <w:color w:val="auto"/>
          <w:kern w:val="2"/>
          <w:sz w:val="32"/>
          <w:szCs w:val="32"/>
          <w:highlight w:val="none"/>
          <w:lang w:val="en-US" w:eastAsia="zh-CN" w:bidi="ar-SA"/>
        </w:rPr>
        <w:t>为参保人员提供社保服务。</w:t>
      </w:r>
      <w:r>
        <w:rPr>
          <w:rFonts w:hint="default" w:ascii="Times New Roman" w:hAnsi="Times New Roman" w:eastAsia="仿宋_GB2312" w:cs="Times New Roman"/>
          <w:color w:val="auto"/>
          <w:sz w:val="32"/>
          <w:szCs w:val="32"/>
        </w:rPr>
        <w:t>“省管森工企业离退休人员社会化管理经费”</w:t>
      </w:r>
      <w:r>
        <w:rPr>
          <w:rFonts w:hint="default" w:ascii="Times New Roman" w:hAnsi="Times New Roman" w:eastAsia="仿宋_GB2312" w:cs="Times New Roman"/>
          <w:color w:val="auto"/>
          <w:kern w:val="2"/>
          <w:sz w:val="32"/>
          <w:szCs w:val="32"/>
          <w:highlight w:val="none"/>
          <w:lang w:val="en-US" w:eastAsia="zh-CN" w:bidi="ar-SA"/>
        </w:rPr>
        <w:t>专项预算项目绩效自评得分为100分，绩效自评综述：</w:t>
      </w:r>
      <w:r>
        <w:rPr>
          <w:rFonts w:hint="default" w:ascii="Times New Roman" w:hAnsi="Times New Roman" w:eastAsia="仿宋_GB2312" w:cs="Times New Roman"/>
          <w:color w:val="auto"/>
          <w:kern w:val="0"/>
          <w:sz w:val="32"/>
          <w:szCs w:val="32"/>
        </w:rPr>
        <w:t>确保代管的省管森工企业离退休人员基本养老金按时足额发放，提升省管森工企业离退休人员社会化管理服务水平。</w:t>
      </w:r>
      <w:r>
        <w:rPr>
          <w:rFonts w:hint="default" w:ascii="Times New Roman" w:hAnsi="Times New Roman" w:eastAsia="仿宋_GB2312" w:cs="Times New Roman"/>
          <w:color w:val="auto"/>
          <w:kern w:val="2"/>
          <w:sz w:val="32"/>
          <w:szCs w:val="32"/>
          <w:highlight w:val="none"/>
          <w:lang w:val="en-US" w:eastAsia="zh-CN" w:bidi="ar-SA"/>
        </w:rPr>
        <w:t>绩效自评报告详见附件。</w:t>
      </w:r>
    </w:p>
    <w:p w14:paraId="67B5CF75">
      <w:pPr>
        <w:spacing w:line="600" w:lineRule="exact"/>
        <w:ind w:firstLine="640"/>
        <w:rPr>
          <w:rFonts w:hint="default" w:ascii="Times New Roman" w:hAnsi="Times New Roman" w:eastAsia="仿宋_GB2312" w:cs="Times New Roman"/>
          <w:color w:val="auto"/>
          <w:kern w:val="2"/>
          <w:sz w:val="32"/>
          <w:szCs w:val="32"/>
          <w:highlight w:val="none"/>
          <w:lang w:val="en-US" w:eastAsia="zh-CN" w:bidi="ar-SA"/>
        </w:rPr>
      </w:pPr>
    </w:p>
    <w:p w14:paraId="6451F323">
      <w:pPr>
        <w:numPr>
          <w:ilvl w:val="0"/>
          <w:numId w:val="0"/>
        </w:numPr>
        <w:spacing w:line="600" w:lineRule="exact"/>
        <w:jc w:val="center"/>
        <w:outlineLvl w:val="0"/>
        <w:rPr>
          <w:rFonts w:hint="default" w:ascii="Times New Roman" w:hAnsi="Times New Roman" w:eastAsia="黑体" w:cs="Times New Roman"/>
          <w:color w:val="auto"/>
          <w:sz w:val="44"/>
          <w:szCs w:val="44"/>
          <w:highlight w:val="none"/>
        </w:rPr>
      </w:pPr>
      <w:bookmarkStart w:id="49" w:name="_Toc15377225"/>
      <w:bookmarkStart w:id="50" w:name="_Toc15396613"/>
    </w:p>
    <w:p w14:paraId="240268AC">
      <w:pPr>
        <w:numPr>
          <w:ilvl w:val="0"/>
          <w:numId w:val="0"/>
        </w:numPr>
        <w:spacing w:line="600" w:lineRule="exact"/>
        <w:jc w:val="center"/>
        <w:outlineLvl w:val="0"/>
        <w:rPr>
          <w:rFonts w:hint="default" w:ascii="Times New Roman" w:hAnsi="Times New Roman" w:eastAsia="黑体" w:cs="Times New Roman"/>
          <w:color w:val="auto"/>
          <w:sz w:val="44"/>
          <w:szCs w:val="44"/>
          <w:highlight w:val="none"/>
        </w:rPr>
      </w:pPr>
    </w:p>
    <w:p w14:paraId="100A45D9">
      <w:pPr>
        <w:numPr>
          <w:ilvl w:val="0"/>
          <w:numId w:val="0"/>
        </w:numPr>
        <w:spacing w:line="600" w:lineRule="exact"/>
        <w:jc w:val="center"/>
        <w:outlineLvl w:val="0"/>
        <w:rPr>
          <w:rFonts w:hint="default" w:ascii="Times New Roman" w:hAnsi="Times New Roman" w:eastAsia="黑体" w:cs="Times New Roman"/>
          <w:color w:val="auto"/>
          <w:sz w:val="44"/>
          <w:szCs w:val="44"/>
          <w:highlight w:val="none"/>
        </w:rPr>
      </w:pPr>
    </w:p>
    <w:p w14:paraId="52024F88">
      <w:pPr>
        <w:numPr>
          <w:ilvl w:val="0"/>
          <w:numId w:val="0"/>
        </w:numPr>
        <w:spacing w:line="600" w:lineRule="exact"/>
        <w:jc w:val="center"/>
        <w:outlineLvl w:val="0"/>
        <w:rPr>
          <w:rFonts w:hint="default" w:ascii="Times New Roman" w:hAnsi="Times New Roman" w:eastAsia="黑体" w:cs="Times New Roman"/>
          <w:color w:val="auto"/>
          <w:sz w:val="44"/>
          <w:szCs w:val="44"/>
          <w:highlight w:val="none"/>
        </w:rPr>
      </w:pPr>
    </w:p>
    <w:p w14:paraId="709E272A">
      <w:pPr>
        <w:numPr>
          <w:ilvl w:val="0"/>
          <w:numId w:val="0"/>
        </w:numPr>
        <w:spacing w:line="600" w:lineRule="exact"/>
        <w:jc w:val="center"/>
        <w:outlineLvl w:val="0"/>
        <w:rPr>
          <w:rFonts w:hint="default" w:ascii="Times New Roman" w:hAnsi="Times New Roman" w:eastAsia="黑体" w:cs="Times New Roman"/>
          <w:color w:val="auto"/>
          <w:sz w:val="44"/>
          <w:szCs w:val="44"/>
          <w:highlight w:val="none"/>
        </w:rPr>
      </w:pPr>
    </w:p>
    <w:p w14:paraId="37FA109B">
      <w:pPr>
        <w:numPr>
          <w:ilvl w:val="0"/>
          <w:numId w:val="0"/>
        </w:numPr>
        <w:spacing w:line="600" w:lineRule="exact"/>
        <w:jc w:val="center"/>
        <w:outlineLvl w:val="0"/>
        <w:rPr>
          <w:rFonts w:hint="default" w:ascii="Times New Roman" w:hAnsi="Times New Roman" w:eastAsia="黑体" w:cs="Times New Roman"/>
          <w:color w:val="auto"/>
          <w:sz w:val="44"/>
          <w:szCs w:val="44"/>
          <w:highlight w:val="none"/>
        </w:rPr>
      </w:pPr>
    </w:p>
    <w:p w14:paraId="70C1A1F5">
      <w:pPr>
        <w:numPr>
          <w:ilvl w:val="0"/>
          <w:numId w:val="0"/>
        </w:numPr>
        <w:spacing w:line="600" w:lineRule="exact"/>
        <w:jc w:val="center"/>
        <w:outlineLvl w:val="0"/>
        <w:rPr>
          <w:rFonts w:hint="default" w:ascii="Times New Roman" w:hAnsi="Times New Roman" w:eastAsia="黑体" w:cs="Times New Roman"/>
          <w:color w:val="auto"/>
          <w:sz w:val="44"/>
          <w:szCs w:val="44"/>
          <w:highlight w:val="none"/>
        </w:rPr>
      </w:pPr>
    </w:p>
    <w:p w14:paraId="60860A5C">
      <w:pPr>
        <w:numPr>
          <w:ilvl w:val="0"/>
          <w:numId w:val="0"/>
        </w:numPr>
        <w:spacing w:line="600" w:lineRule="exact"/>
        <w:jc w:val="center"/>
        <w:outlineLvl w:val="0"/>
        <w:rPr>
          <w:rFonts w:hint="default" w:ascii="Times New Roman" w:hAnsi="Times New Roman" w:eastAsia="黑体" w:cs="Times New Roman"/>
          <w:color w:val="auto"/>
          <w:sz w:val="44"/>
          <w:szCs w:val="44"/>
          <w:highlight w:val="none"/>
        </w:rPr>
      </w:pPr>
    </w:p>
    <w:p w14:paraId="2B39C25D">
      <w:pPr>
        <w:numPr>
          <w:ilvl w:val="0"/>
          <w:numId w:val="0"/>
        </w:numPr>
        <w:spacing w:line="600" w:lineRule="exact"/>
        <w:jc w:val="center"/>
        <w:outlineLvl w:val="0"/>
        <w:rPr>
          <w:rFonts w:hint="default" w:ascii="Times New Roman" w:hAnsi="Times New Roman" w:eastAsia="黑体" w:cs="Times New Roman"/>
          <w:color w:val="auto"/>
          <w:sz w:val="44"/>
          <w:szCs w:val="44"/>
          <w:highlight w:val="none"/>
        </w:rPr>
      </w:pPr>
    </w:p>
    <w:p w14:paraId="3DDDAF79">
      <w:pPr>
        <w:numPr>
          <w:ilvl w:val="0"/>
          <w:numId w:val="0"/>
        </w:numPr>
        <w:spacing w:line="600" w:lineRule="exact"/>
        <w:jc w:val="center"/>
        <w:outlineLvl w:val="0"/>
        <w:rPr>
          <w:rFonts w:hint="default" w:ascii="Times New Roman" w:hAnsi="Times New Roman" w:eastAsia="黑体" w:cs="Times New Roman"/>
          <w:color w:val="auto"/>
          <w:sz w:val="44"/>
          <w:szCs w:val="44"/>
          <w:highlight w:val="none"/>
        </w:rPr>
      </w:pPr>
    </w:p>
    <w:p w14:paraId="49F4AB35">
      <w:pPr>
        <w:numPr>
          <w:ilvl w:val="0"/>
          <w:numId w:val="0"/>
        </w:numPr>
        <w:spacing w:line="600" w:lineRule="exact"/>
        <w:jc w:val="center"/>
        <w:outlineLvl w:val="0"/>
        <w:rPr>
          <w:rFonts w:hint="default" w:ascii="Times New Roman" w:hAnsi="Times New Roman" w:eastAsia="黑体" w:cs="Times New Roman"/>
          <w:color w:val="auto"/>
          <w:sz w:val="44"/>
          <w:szCs w:val="44"/>
          <w:highlight w:val="none"/>
        </w:rPr>
      </w:pPr>
    </w:p>
    <w:p w14:paraId="0C3C8481">
      <w:pPr>
        <w:numPr>
          <w:ilvl w:val="0"/>
          <w:numId w:val="0"/>
        </w:numPr>
        <w:spacing w:line="600" w:lineRule="exact"/>
        <w:jc w:val="center"/>
        <w:outlineLvl w:val="0"/>
        <w:rPr>
          <w:rFonts w:hint="default" w:ascii="Times New Roman" w:hAnsi="Times New Roman" w:eastAsia="黑体" w:cs="Times New Roman"/>
          <w:color w:val="auto"/>
          <w:sz w:val="44"/>
          <w:szCs w:val="44"/>
          <w:highlight w:val="none"/>
        </w:rPr>
      </w:pPr>
    </w:p>
    <w:p w14:paraId="3CA2D28D">
      <w:pPr>
        <w:numPr>
          <w:ilvl w:val="0"/>
          <w:numId w:val="0"/>
        </w:numPr>
        <w:spacing w:line="600" w:lineRule="exact"/>
        <w:jc w:val="center"/>
        <w:outlineLvl w:val="0"/>
        <w:rPr>
          <w:rFonts w:hint="default" w:ascii="Times New Roman" w:hAnsi="Times New Roman" w:eastAsia="黑体" w:cs="Times New Roman"/>
          <w:color w:val="auto"/>
          <w:sz w:val="44"/>
          <w:szCs w:val="44"/>
          <w:highlight w:val="none"/>
        </w:rPr>
      </w:pPr>
    </w:p>
    <w:p w14:paraId="1BB03723">
      <w:pPr>
        <w:numPr>
          <w:ilvl w:val="0"/>
          <w:numId w:val="0"/>
        </w:numPr>
        <w:spacing w:line="600" w:lineRule="exact"/>
        <w:jc w:val="center"/>
        <w:outlineLvl w:val="0"/>
        <w:rPr>
          <w:rFonts w:hint="default" w:ascii="Times New Roman" w:hAnsi="Times New Roman" w:eastAsia="黑体" w:cs="Times New Roman"/>
          <w:color w:val="auto"/>
          <w:sz w:val="44"/>
          <w:szCs w:val="44"/>
          <w:highlight w:val="none"/>
        </w:rPr>
      </w:pPr>
    </w:p>
    <w:p w14:paraId="5485034B">
      <w:pPr>
        <w:numPr>
          <w:ilvl w:val="0"/>
          <w:numId w:val="0"/>
        </w:numPr>
        <w:spacing w:line="600" w:lineRule="exact"/>
        <w:jc w:val="center"/>
        <w:outlineLvl w:val="0"/>
        <w:rPr>
          <w:rFonts w:hint="default" w:ascii="Times New Roman" w:hAnsi="Times New Roman" w:eastAsia="黑体" w:cs="Times New Roman"/>
          <w:color w:val="auto"/>
          <w:sz w:val="44"/>
          <w:szCs w:val="44"/>
          <w:highlight w:val="none"/>
        </w:rPr>
      </w:pPr>
      <w:r>
        <w:rPr>
          <w:rFonts w:hint="default" w:ascii="Times New Roman" w:hAnsi="Times New Roman" w:eastAsia="黑体" w:cs="Times New Roman"/>
          <w:color w:val="auto"/>
          <w:sz w:val="44"/>
          <w:szCs w:val="44"/>
          <w:highlight w:val="none"/>
        </w:rPr>
        <w:t>第</w:t>
      </w:r>
      <w:r>
        <w:rPr>
          <w:rFonts w:hint="default" w:ascii="Times New Roman" w:hAnsi="Times New Roman" w:eastAsia="黑体" w:cs="Times New Roman"/>
          <w:color w:val="auto"/>
          <w:sz w:val="44"/>
          <w:szCs w:val="44"/>
          <w:highlight w:val="none"/>
          <w:lang w:eastAsia="zh-CN"/>
        </w:rPr>
        <w:t>三</w:t>
      </w:r>
      <w:r>
        <w:rPr>
          <w:rFonts w:hint="default" w:ascii="Times New Roman" w:hAnsi="Times New Roman" w:eastAsia="黑体" w:cs="Times New Roman"/>
          <w:color w:val="auto"/>
          <w:sz w:val="44"/>
          <w:szCs w:val="44"/>
          <w:highlight w:val="none"/>
        </w:rPr>
        <w:t>部分</w:t>
      </w:r>
      <w:r>
        <w:rPr>
          <w:rFonts w:hint="default" w:ascii="Times New Roman" w:hAnsi="Times New Roman" w:eastAsia="黑体" w:cs="Times New Roman"/>
          <w:color w:val="auto"/>
          <w:sz w:val="44"/>
          <w:szCs w:val="44"/>
          <w:highlight w:val="none"/>
          <w:lang w:val="en-US" w:eastAsia="zh-CN"/>
        </w:rPr>
        <w:t xml:space="preserve">  </w:t>
      </w:r>
      <w:r>
        <w:rPr>
          <w:rFonts w:hint="default" w:ascii="Times New Roman" w:hAnsi="Times New Roman" w:eastAsia="黑体" w:cs="Times New Roman"/>
          <w:color w:val="auto"/>
          <w:sz w:val="44"/>
          <w:szCs w:val="44"/>
          <w:highlight w:val="none"/>
        </w:rPr>
        <w:t>名词解释</w:t>
      </w:r>
      <w:bookmarkEnd w:id="49"/>
      <w:bookmarkEnd w:id="50"/>
    </w:p>
    <w:p w14:paraId="3F7677B3">
      <w:pPr>
        <w:spacing w:line="600" w:lineRule="exact"/>
        <w:jc w:val="left"/>
        <w:rPr>
          <w:rFonts w:hint="default" w:ascii="Times New Roman" w:hAnsi="Times New Roman" w:cs="Times New Roman"/>
          <w:b/>
          <w:color w:val="auto"/>
          <w:sz w:val="44"/>
          <w:szCs w:val="44"/>
          <w:highlight w:val="none"/>
        </w:rPr>
      </w:pPr>
    </w:p>
    <w:p w14:paraId="1D6262F5">
      <w:pPr>
        <w:pStyle w:val="29"/>
        <w:pageBreakBefore w:val="0"/>
        <w:kinsoku/>
        <w:wordWrap/>
        <w:overflowPunct/>
        <w:topLinePunct w:val="0"/>
        <w:bidi w:val="0"/>
        <w:spacing w:line="600" w:lineRule="exact"/>
        <w:ind w:firstLine="640" w:firstLineChars="200"/>
        <w:jc w:val="both"/>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1.财政拨款收入：指单位从同级财政部门取得的财政预算资金。</w:t>
      </w:r>
    </w:p>
    <w:p w14:paraId="084C66D4">
      <w:pPr>
        <w:pStyle w:val="29"/>
        <w:pageBreakBefore w:val="0"/>
        <w:kinsoku/>
        <w:wordWrap/>
        <w:overflowPunct/>
        <w:topLinePunct w:val="0"/>
        <w:bidi w:val="0"/>
        <w:spacing w:line="600" w:lineRule="exact"/>
        <w:ind w:firstLine="640" w:firstLineChars="200"/>
        <w:jc w:val="both"/>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2.事业收入：指事业单位开展专业业务活动及辅助活动取得的收入。</w:t>
      </w:r>
    </w:p>
    <w:p w14:paraId="37508845">
      <w:pPr>
        <w:pStyle w:val="29"/>
        <w:pageBreakBefore w:val="0"/>
        <w:kinsoku/>
        <w:wordWrap/>
        <w:overflowPunct/>
        <w:topLinePunct w:val="0"/>
        <w:bidi w:val="0"/>
        <w:spacing w:line="600" w:lineRule="exact"/>
        <w:ind w:firstLine="640" w:firstLineChars="200"/>
        <w:jc w:val="both"/>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3.经营收入：指事业单位在专业业务活动及其辅助活动之外开展非独立核算经营活动取得的收入。</w:t>
      </w:r>
    </w:p>
    <w:p w14:paraId="545FC21F">
      <w:pPr>
        <w:pStyle w:val="29"/>
        <w:spacing w:line="600" w:lineRule="exact"/>
        <w:ind w:firstLine="640" w:firstLineChars="200"/>
        <w:jc w:val="both"/>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 xml:space="preserve">4.其他收入：指单位取得的除上述收入以外的各项收入。主要是自有资金账户利息收入（收入类型）等。 </w:t>
      </w:r>
    </w:p>
    <w:p w14:paraId="649F885C">
      <w:pPr>
        <w:pStyle w:val="29"/>
        <w:pageBreakBefore w:val="0"/>
        <w:kinsoku/>
        <w:wordWrap/>
        <w:overflowPunct/>
        <w:topLinePunct w:val="0"/>
        <w:bidi w:val="0"/>
        <w:spacing w:line="600" w:lineRule="exact"/>
        <w:ind w:firstLine="640" w:firstLineChars="200"/>
        <w:jc w:val="both"/>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 xml:space="preserve">5.使用非财政拨款结余：指事业单位使用以前年度积累的非财政拨款结余弥补当年收支差额的金额。 </w:t>
      </w:r>
    </w:p>
    <w:p w14:paraId="27CBB0C3">
      <w:pPr>
        <w:pStyle w:val="29"/>
        <w:pageBreakBefore w:val="0"/>
        <w:kinsoku/>
        <w:wordWrap/>
        <w:overflowPunct/>
        <w:topLinePunct w:val="0"/>
        <w:bidi w:val="0"/>
        <w:spacing w:line="600" w:lineRule="exact"/>
        <w:ind w:firstLine="640" w:firstLineChars="200"/>
        <w:jc w:val="both"/>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 xml:space="preserve">6.年初结转和结余：指以前年度尚未完成、结转到本年按有关规定继续使用的资金。 </w:t>
      </w:r>
    </w:p>
    <w:p w14:paraId="65FF1CBA">
      <w:pPr>
        <w:pStyle w:val="29"/>
        <w:pageBreakBefore w:val="0"/>
        <w:kinsoku/>
        <w:wordWrap/>
        <w:overflowPunct/>
        <w:topLinePunct w:val="0"/>
        <w:bidi w:val="0"/>
        <w:spacing w:line="600" w:lineRule="exact"/>
        <w:ind w:firstLine="640" w:firstLineChars="200"/>
        <w:jc w:val="both"/>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7.结余分配：指事业单位按照会计制度规定缴纳的所得税、提取的专用结余以及转入非财政拨款结余的金额等。</w:t>
      </w:r>
    </w:p>
    <w:p w14:paraId="6CA7E9FB">
      <w:pPr>
        <w:pStyle w:val="29"/>
        <w:pageBreakBefore w:val="0"/>
        <w:kinsoku/>
        <w:wordWrap/>
        <w:overflowPunct/>
        <w:topLinePunct w:val="0"/>
        <w:bidi w:val="0"/>
        <w:spacing w:line="600" w:lineRule="exact"/>
        <w:ind w:firstLine="640" w:firstLineChars="200"/>
        <w:jc w:val="both"/>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8</w:t>
      </w:r>
      <w:r>
        <w:rPr>
          <w:rFonts w:hint="default" w:ascii="Times New Roman" w:hAnsi="Times New Roman" w:eastAsia="仿宋_GB2312" w:cs="Times New Roman"/>
          <w:color w:val="auto"/>
          <w:sz w:val="32"/>
          <w:szCs w:val="32"/>
          <w:lang w:eastAsia="zh-CN"/>
        </w:rPr>
        <w:t>.</w:t>
      </w:r>
      <w:r>
        <w:rPr>
          <w:rFonts w:hint="default" w:ascii="Times New Roman" w:hAnsi="Times New Roman" w:eastAsia="仿宋_GB2312" w:cs="Times New Roman"/>
          <w:color w:val="auto"/>
          <w:sz w:val="32"/>
          <w:szCs w:val="32"/>
        </w:rPr>
        <w:t>年末结转和结余：指单位按有关规定结转到下年或以后年度继续使用的资金。</w:t>
      </w:r>
    </w:p>
    <w:p w14:paraId="1BDAB751">
      <w:pPr>
        <w:spacing w:line="600" w:lineRule="exact"/>
        <w:ind w:firstLine="640" w:firstLineChars="200"/>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9.社会保障和就业支出（类）人力资源和社会保障管理事务（款）行政运行（项）：指行政单位的基本支出。</w:t>
      </w:r>
    </w:p>
    <w:p w14:paraId="0F92FFA9">
      <w:pPr>
        <w:spacing w:line="600" w:lineRule="exact"/>
        <w:ind w:firstLine="640" w:firstLineChars="200"/>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10.住房保障支出（类）住房改革支出（款）住房公积金（项）：指行政事业单位按人力资源和社会保障部、财政部规定的基本工资和津贴补贴以及规定比例为职工缴纳的住房公积金。</w:t>
      </w:r>
    </w:p>
    <w:p w14:paraId="1E62E6F2">
      <w:pPr>
        <w:spacing w:line="600" w:lineRule="exact"/>
        <w:ind w:firstLine="640" w:firstLineChars="200"/>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11.社会保障和就业（类）人力资源和社会保障管理事务（款）社会保险经办机构（项）：指社会保险经办机构开展业务工作的支出。</w:t>
      </w:r>
    </w:p>
    <w:p w14:paraId="1FE370A3">
      <w:pPr>
        <w:spacing w:line="600" w:lineRule="exact"/>
        <w:ind w:firstLine="640" w:firstLineChars="200"/>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1</w:t>
      </w:r>
      <w:r>
        <w:rPr>
          <w:rFonts w:hint="default" w:ascii="Times New Roman" w:hAnsi="Times New Roman" w:eastAsia="仿宋_GB2312" w:cs="Times New Roman"/>
          <w:color w:val="auto"/>
          <w:sz w:val="32"/>
          <w:szCs w:val="32"/>
          <w:lang w:val="en-US" w:eastAsia="zh-CN"/>
        </w:rPr>
        <w:t>2</w:t>
      </w:r>
      <w:r>
        <w:rPr>
          <w:rFonts w:hint="default" w:ascii="Times New Roman" w:hAnsi="Times New Roman" w:eastAsia="仿宋_GB2312" w:cs="Times New Roman"/>
          <w:color w:val="auto"/>
          <w:sz w:val="32"/>
          <w:szCs w:val="32"/>
        </w:rPr>
        <w:t>.社会保障和就业支出（类）行政事业单位</w:t>
      </w:r>
      <w:r>
        <w:rPr>
          <w:rFonts w:hint="default" w:ascii="Times New Roman" w:hAnsi="Times New Roman" w:eastAsia="仿宋_GB2312" w:cs="Times New Roman"/>
          <w:color w:val="auto"/>
          <w:sz w:val="32"/>
          <w:szCs w:val="32"/>
          <w:lang w:eastAsia="zh-CN"/>
        </w:rPr>
        <w:t>养老支出</w:t>
      </w:r>
      <w:r>
        <w:rPr>
          <w:rFonts w:hint="default" w:ascii="Times New Roman" w:hAnsi="Times New Roman" w:eastAsia="仿宋_GB2312" w:cs="Times New Roman"/>
          <w:color w:val="auto"/>
          <w:sz w:val="32"/>
          <w:szCs w:val="32"/>
        </w:rPr>
        <w:t>（款）行政单位离退休（项）：指行政单位</w:t>
      </w:r>
      <w:r>
        <w:rPr>
          <w:rFonts w:hint="default" w:ascii="Times New Roman" w:hAnsi="Times New Roman" w:eastAsia="仿宋_GB2312" w:cs="Times New Roman"/>
          <w:color w:val="auto"/>
          <w:sz w:val="32"/>
          <w:szCs w:val="32"/>
          <w:lang w:eastAsia="zh-CN"/>
        </w:rPr>
        <w:t>（包括实行公务员管理的事业单位）</w:t>
      </w:r>
      <w:r>
        <w:rPr>
          <w:rFonts w:hint="default" w:ascii="Times New Roman" w:hAnsi="Times New Roman" w:eastAsia="仿宋_GB2312" w:cs="Times New Roman"/>
          <w:color w:val="auto"/>
          <w:sz w:val="32"/>
          <w:szCs w:val="32"/>
        </w:rPr>
        <w:t>开支的离退休</w:t>
      </w:r>
      <w:r>
        <w:rPr>
          <w:rFonts w:hint="default" w:ascii="Times New Roman" w:hAnsi="Times New Roman" w:eastAsia="仿宋_GB2312" w:cs="Times New Roman"/>
          <w:color w:val="auto"/>
          <w:sz w:val="32"/>
          <w:szCs w:val="32"/>
          <w:lang w:eastAsia="zh-CN"/>
        </w:rPr>
        <w:t>经费</w:t>
      </w:r>
      <w:r>
        <w:rPr>
          <w:rFonts w:hint="default" w:ascii="Times New Roman" w:hAnsi="Times New Roman" w:eastAsia="仿宋_GB2312" w:cs="Times New Roman"/>
          <w:color w:val="auto"/>
          <w:sz w:val="32"/>
          <w:szCs w:val="32"/>
        </w:rPr>
        <w:t>。</w:t>
      </w:r>
    </w:p>
    <w:p w14:paraId="5F6392E7">
      <w:pPr>
        <w:pageBreakBefore w:val="0"/>
        <w:kinsoku/>
        <w:wordWrap/>
        <w:overflowPunct/>
        <w:topLinePunct w:val="0"/>
        <w:bidi w:val="0"/>
        <w:spacing w:line="600" w:lineRule="exact"/>
        <w:ind w:firstLine="640" w:firstLineChars="200"/>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1</w:t>
      </w:r>
      <w:r>
        <w:rPr>
          <w:rFonts w:hint="default" w:ascii="Times New Roman" w:hAnsi="Times New Roman" w:eastAsia="仿宋_GB2312" w:cs="Times New Roman"/>
          <w:color w:val="auto"/>
          <w:sz w:val="32"/>
          <w:szCs w:val="32"/>
          <w:lang w:val="en-US" w:eastAsia="zh-CN"/>
        </w:rPr>
        <w:t>3</w:t>
      </w:r>
      <w:r>
        <w:rPr>
          <w:rFonts w:hint="default" w:ascii="Times New Roman" w:hAnsi="Times New Roman" w:eastAsia="仿宋_GB2312" w:cs="Times New Roman"/>
          <w:color w:val="auto"/>
          <w:sz w:val="32"/>
          <w:szCs w:val="32"/>
        </w:rPr>
        <w:t>.社会保障和就业支出（类）行政事业单位</w:t>
      </w:r>
      <w:r>
        <w:rPr>
          <w:rFonts w:hint="default" w:ascii="Times New Roman" w:hAnsi="Times New Roman" w:eastAsia="仿宋_GB2312" w:cs="Times New Roman"/>
          <w:color w:val="auto"/>
          <w:sz w:val="32"/>
          <w:szCs w:val="32"/>
          <w:lang w:eastAsia="zh-CN"/>
        </w:rPr>
        <w:t>养老支出</w:t>
      </w:r>
      <w:r>
        <w:rPr>
          <w:rFonts w:hint="default" w:ascii="Times New Roman" w:hAnsi="Times New Roman" w:eastAsia="仿宋_GB2312" w:cs="Times New Roman"/>
          <w:color w:val="auto"/>
          <w:sz w:val="32"/>
          <w:szCs w:val="32"/>
        </w:rPr>
        <w:t>（款）机关事业单位基本养老保险缴费支出（项）：指机关事业单位实施养老保险制度由单位缴纳的基本养老保险费支出。</w:t>
      </w:r>
    </w:p>
    <w:p w14:paraId="0B2C2EE1">
      <w:pPr>
        <w:pageBreakBefore w:val="0"/>
        <w:kinsoku/>
        <w:wordWrap/>
        <w:overflowPunct/>
        <w:topLinePunct w:val="0"/>
        <w:bidi w:val="0"/>
        <w:spacing w:line="600" w:lineRule="exact"/>
        <w:ind w:firstLine="640" w:firstLineChars="200"/>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lang w:val="en-US" w:eastAsia="zh-CN"/>
        </w:rPr>
        <w:t>14.</w:t>
      </w:r>
      <w:r>
        <w:rPr>
          <w:rFonts w:hint="default" w:ascii="Times New Roman" w:hAnsi="Times New Roman" w:eastAsia="仿宋_GB2312" w:cs="Times New Roman"/>
          <w:color w:val="auto"/>
          <w:sz w:val="32"/>
          <w:szCs w:val="32"/>
        </w:rPr>
        <w:t>社会保障和就业支出（类）行政事业单位</w:t>
      </w:r>
      <w:r>
        <w:rPr>
          <w:rFonts w:hint="default" w:ascii="Times New Roman" w:hAnsi="Times New Roman" w:eastAsia="仿宋_GB2312" w:cs="Times New Roman"/>
          <w:color w:val="auto"/>
          <w:sz w:val="32"/>
          <w:szCs w:val="32"/>
          <w:lang w:eastAsia="zh-CN"/>
        </w:rPr>
        <w:t>养老支出</w:t>
      </w:r>
      <w:r>
        <w:rPr>
          <w:rFonts w:hint="default" w:ascii="Times New Roman" w:hAnsi="Times New Roman" w:eastAsia="仿宋_GB2312" w:cs="Times New Roman"/>
          <w:color w:val="auto"/>
          <w:sz w:val="32"/>
          <w:szCs w:val="32"/>
        </w:rPr>
        <w:t>（款）机关事业单位</w:t>
      </w:r>
      <w:r>
        <w:rPr>
          <w:rFonts w:hint="default" w:ascii="Times New Roman" w:hAnsi="Times New Roman" w:eastAsia="仿宋_GB2312" w:cs="Times New Roman"/>
          <w:color w:val="auto"/>
          <w:sz w:val="32"/>
          <w:szCs w:val="32"/>
          <w:lang w:eastAsia="zh-CN"/>
        </w:rPr>
        <w:t>职业年金缴费</w:t>
      </w:r>
      <w:r>
        <w:rPr>
          <w:rFonts w:hint="default" w:ascii="Times New Roman" w:hAnsi="Times New Roman" w:eastAsia="仿宋_GB2312" w:cs="Times New Roman"/>
          <w:color w:val="auto"/>
          <w:sz w:val="32"/>
          <w:szCs w:val="32"/>
        </w:rPr>
        <w:t>支出（项）：指机关事业单位实施养老保险制度由单位</w:t>
      </w:r>
      <w:r>
        <w:rPr>
          <w:rFonts w:hint="default" w:ascii="Times New Roman" w:hAnsi="Times New Roman" w:eastAsia="仿宋_GB2312" w:cs="Times New Roman"/>
          <w:color w:val="auto"/>
          <w:sz w:val="32"/>
          <w:szCs w:val="32"/>
          <w:lang w:eastAsia="zh-CN"/>
        </w:rPr>
        <w:t>实际</w:t>
      </w:r>
      <w:r>
        <w:rPr>
          <w:rFonts w:hint="default" w:ascii="Times New Roman" w:hAnsi="Times New Roman" w:eastAsia="仿宋_GB2312" w:cs="Times New Roman"/>
          <w:color w:val="auto"/>
          <w:sz w:val="32"/>
          <w:szCs w:val="32"/>
        </w:rPr>
        <w:t>缴纳的</w:t>
      </w:r>
      <w:r>
        <w:rPr>
          <w:rFonts w:hint="default" w:ascii="Times New Roman" w:hAnsi="Times New Roman" w:eastAsia="仿宋_GB2312" w:cs="Times New Roman"/>
          <w:color w:val="auto"/>
          <w:sz w:val="32"/>
          <w:szCs w:val="32"/>
          <w:lang w:eastAsia="zh-CN"/>
        </w:rPr>
        <w:t>职业年金</w:t>
      </w:r>
      <w:r>
        <w:rPr>
          <w:rFonts w:hint="default" w:ascii="Times New Roman" w:hAnsi="Times New Roman" w:eastAsia="仿宋_GB2312" w:cs="Times New Roman"/>
          <w:color w:val="auto"/>
          <w:sz w:val="32"/>
          <w:szCs w:val="32"/>
        </w:rPr>
        <w:t>支出。</w:t>
      </w:r>
    </w:p>
    <w:p w14:paraId="155DEF49">
      <w:pPr>
        <w:spacing w:line="600" w:lineRule="exact"/>
        <w:ind w:firstLine="640" w:firstLineChars="200"/>
        <w:rPr>
          <w:rFonts w:hint="default" w:ascii="Times New Roman" w:hAnsi="Times New Roman" w:eastAsia="仿宋_GB2312" w:cs="Times New Roman"/>
          <w:sz w:val="32"/>
          <w:szCs w:val="32"/>
          <w:highlight w:val="none"/>
          <w:lang w:val="en-US" w:eastAsia="zh-CN"/>
        </w:rPr>
      </w:pPr>
      <w:r>
        <w:rPr>
          <w:rFonts w:hint="default" w:ascii="Times New Roman" w:hAnsi="Times New Roman" w:eastAsia="仿宋_GB2312" w:cs="Times New Roman"/>
          <w:sz w:val="32"/>
          <w:szCs w:val="32"/>
          <w:highlight w:val="none"/>
          <w:lang w:val="en-US" w:eastAsia="zh-CN"/>
        </w:rPr>
        <w:t>15.卫生健康支出（类）行政事业单位医疗（款）行政单位医疗（项）</w:t>
      </w:r>
      <w:r>
        <w:rPr>
          <w:rFonts w:hint="default" w:ascii="Times New Roman" w:hAnsi="Times New Roman" w:eastAsia="仿宋_GB2312" w:cs="Times New Roman"/>
          <w:sz w:val="32"/>
          <w:szCs w:val="32"/>
          <w:highlight w:val="none"/>
          <w:lang w:eastAsia="zh-CN"/>
        </w:rPr>
        <w:t>指：反映财政部门安排的行政单位（包括实行公务员管理的事业单位）基本医疗保险缴费经费，未参加医疗保险的行政单位的公费医疗经费，按国家规定享受离休人员、红军老战士待遇人员的医疗经费。</w:t>
      </w:r>
    </w:p>
    <w:p w14:paraId="2393877F">
      <w:pPr>
        <w:spacing w:line="600" w:lineRule="exact"/>
        <w:ind w:firstLine="640" w:firstLineChars="200"/>
        <w:rPr>
          <w:rFonts w:hint="default" w:ascii="Times New Roman" w:hAnsi="Times New Roman" w:eastAsia="仿宋_GB2312" w:cs="Times New Roman"/>
          <w:sz w:val="32"/>
          <w:szCs w:val="32"/>
          <w:highlight w:val="none"/>
          <w:lang w:val="en-US" w:eastAsia="zh-CN"/>
        </w:rPr>
      </w:pPr>
      <w:r>
        <w:rPr>
          <w:rFonts w:hint="default" w:ascii="Times New Roman" w:hAnsi="Times New Roman" w:eastAsia="仿宋_GB2312" w:cs="Times New Roman"/>
          <w:sz w:val="32"/>
          <w:szCs w:val="32"/>
          <w:highlight w:val="none"/>
          <w:lang w:val="en-US" w:eastAsia="zh-CN"/>
        </w:rPr>
        <w:t>16.卫生健康支出（类）行政事业单位医疗（款）公务员医疗补助（项）</w:t>
      </w:r>
      <w:r>
        <w:rPr>
          <w:rFonts w:hint="default" w:ascii="Times New Roman" w:hAnsi="Times New Roman" w:eastAsia="仿宋_GB2312" w:cs="Times New Roman"/>
          <w:sz w:val="32"/>
          <w:szCs w:val="32"/>
          <w:highlight w:val="none"/>
          <w:lang w:eastAsia="zh-CN"/>
        </w:rPr>
        <w:t>指：反映财政部门安排的公务员医疗补助经费。</w:t>
      </w:r>
    </w:p>
    <w:p w14:paraId="6A80B839">
      <w:pPr>
        <w:spacing w:line="600" w:lineRule="exact"/>
        <w:ind w:firstLine="640" w:firstLineChars="200"/>
        <w:rPr>
          <w:rFonts w:hint="default" w:ascii="Times New Roman" w:hAnsi="Times New Roman" w:eastAsia="仿宋_GB2312" w:cs="Times New Roman"/>
          <w:sz w:val="32"/>
          <w:szCs w:val="32"/>
          <w:highlight w:val="none"/>
          <w:lang w:val="en-US" w:eastAsia="zh-CN"/>
        </w:rPr>
      </w:pPr>
      <w:r>
        <w:rPr>
          <w:rFonts w:hint="default" w:ascii="Times New Roman" w:hAnsi="Times New Roman" w:eastAsia="仿宋_GB2312" w:cs="Times New Roman"/>
          <w:sz w:val="32"/>
          <w:szCs w:val="32"/>
          <w:highlight w:val="none"/>
          <w:lang w:val="en-US" w:eastAsia="zh-CN"/>
        </w:rPr>
        <w:t>17.卫生健康支出（类）行政事业单位医疗（款）其他行政事业单位医疗支出（项）</w:t>
      </w:r>
      <w:r>
        <w:rPr>
          <w:rFonts w:hint="default" w:ascii="Times New Roman" w:hAnsi="Times New Roman" w:eastAsia="仿宋_GB2312" w:cs="Times New Roman"/>
          <w:sz w:val="32"/>
          <w:szCs w:val="32"/>
          <w:highlight w:val="none"/>
          <w:lang w:eastAsia="zh-CN"/>
        </w:rPr>
        <w:t>指：反映其他用于行政事业单位医疗方面的支出。</w:t>
      </w:r>
    </w:p>
    <w:p w14:paraId="10DFBAB2">
      <w:pPr>
        <w:spacing w:line="600" w:lineRule="exact"/>
        <w:ind w:firstLine="640" w:firstLineChars="200"/>
        <w:rPr>
          <w:rFonts w:hint="default" w:ascii="Times New Roman" w:hAnsi="Times New Roman" w:eastAsia="仿宋_GB2312" w:cs="Times New Roman"/>
          <w:sz w:val="32"/>
          <w:szCs w:val="32"/>
          <w:highlight w:val="none"/>
          <w:lang w:val="en-US" w:eastAsia="zh-CN"/>
        </w:rPr>
      </w:pPr>
      <w:r>
        <w:rPr>
          <w:rFonts w:hint="default" w:ascii="Times New Roman" w:hAnsi="Times New Roman" w:eastAsia="仿宋_GB2312" w:cs="Times New Roman"/>
          <w:sz w:val="32"/>
          <w:szCs w:val="32"/>
          <w:highlight w:val="none"/>
          <w:lang w:val="en-US" w:eastAsia="zh-CN"/>
        </w:rPr>
        <w:t>18.一般公共服务支出（类）组织事务（款）其他组织事务支出（项）指：其他用于中国共产党组织部门的事务支出。</w:t>
      </w:r>
    </w:p>
    <w:p w14:paraId="3B24871D">
      <w:pPr>
        <w:spacing w:line="600" w:lineRule="exact"/>
        <w:ind w:firstLine="640" w:firstLineChars="200"/>
        <w:rPr>
          <w:rFonts w:hint="default" w:ascii="Times New Roman" w:hAnsi="Times New Roman" w:eastAsia="仿宋_GB2312" w:cs="Times New Roman"/>
          <w:color w:val="auto"/>
          <w:sz w:val="32"/>
          <w:szCs w:val="32"/>
        </w:rPr>
      </w:pPr>
      <w:r>
        <w:rPr>
          <w:rFonts w:hint="default" w:ascii="Times New Roman" w:hAnsi="Times New Roman" w:eastAsia="仿宋_GB2312" w:cs="Times New Roman"/>
          <w:sz w:val="32"/>
          <w:szCs w:val="32"/>
          <w:highlight w:val="none"/>
          <w:lang w:val="en-US" w:eastAsia="zh-CN"/>
        </w:rPr>
        <w:t>19.</w:t>
      </w:r>
      <w:r>
        <w:rPr>
          <w:rFonts w:hint="default" w:ascii="Times New Roman" w:hAnsi="Times New Roman" w:eastAsia="仿宋_GB2312" w:cs="Times New Roman"/>
          <w:color w:val="auto"/>
          <w:sz w:val="32"/>
          <w:szCs w:val="32"/>
        </w:rPr>
        <w:t>基本支出：指为保障机构正常运转、完成日常工作任务而发生的人员支出和公用支出。</w:t>
      </w:r>
    </w:p>
    <w:p w14:paraId="38BDCAA6">
      <w:pPr>
        <w:pageBreakBefore w:val="0"/>
        <w:kinsoku/>
        <w:wordWrap/>
        <w:overflowPunct/>
        <w:topLinePunct w:val="0"/>
        <w:bidi w:val="0"/>
        <w:spacing w:line="600" w:lineRule="exact"/>
        <w:ind w:firstLine="640" w:firstLineChars="200"/>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lang w:val="en-US" w:eastAsia="zh-CN"/>
        </w:rPr>
        <w:t>20</w:t>
      </w:r>
      <w:r>
        <w:rPr>
          <w:rFonts w:hint="default" w:ascii="Times New Roman" w:hAnsi="Times New Roman" w:eastAsia="仿宋_GB2312" w:cs="Times New Roman"/>
          <w:color w:val="auto"/>
          <w:sz w:val="32"/>
          <w:szCs w:val="32"/>
        </w:rPr>
        <w:t xml:space="preserve">.项目支出：指在基本支出之外为完成特定行政任务和事业发展目标所发生的支出。 </w:t>
      </w:r>
    </w:p>
    <w:p w14:paraId="0E3F7E73">
      <w:pPr>
        <w:pageBreakBefore w:val="0"/>
        <w:kinsoku/>
        <w:wordWrap/>
        <w:overflowPunct/>
        <w:topLinePunct w:val="0"/>
        <w:bidi w:val="0"/>
        <w:spacing w:line="600" w:lineRule="exact"/>
        <w:ind w:firstLine="640" w:firstLineChars="200"/>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lang w:val="en-US" w:eastAsia="zh-CN"/>
        </w:rPr>
        <w:t>21</w:t>
      </w:r>
      <w:r>
        <w:rPr>
          <w:rFonts w:hint="default" w:ascii="Times New Roman" w:hAnsi="Times New Roman" w:eastAsia="仿宋_GB2312" w:cs="Times New Roman"/>
          <w:color w:val="auto"/>
          <w:sz w:val="32"/>
          <w:szCs w:val="32"/>
        </w:rPr>
        <w:t>.“三公”经费：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14:paraId="15542003">
      <w:pPr>
        <w:pStyle w:val="29"/>
        <w:pageBreakBefore w:val="0"/>
        <w:kinsoku/>
        <w:wordWrap/>
        <w:overflowPunct/>
        <w:topLinePunct w:val="0"/>
        <w:bidi w:val="0"/>
        <w:spacing w:line="600" w:lineRule="exact"/>
        <w:ind w:firstLine="640" w:firstLineChars="200"/>
        <w:jc w:val="both"/>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lang w:val="en-US" w:eastAsia="zh-CN"/>
        </w:rPr>
        <w:t>23</w:t>
      </w:r>
      <w:r>
        <w:rPr>
          <w:rFonts w:hint="default" w:ascii="Times New Roman" w:hAnsi="Times New Roman" w:eastAsia="仿宋_GB2312" w:cs="Times New Roman"/>
          <w:color w:val="auto"/>
          <w:sz w:val="32"/>
          <w:szCs w:val="32"/>
        </w:rPr>
        <w:t>.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14:paraId="43835E42">
      <w:pPr>
        <w:spacing w:line="600" w:lineRule="exact"/>
        <w:jc w:val="center"/>
        <w:rPr>
          <w:rFonts w:hint="default" w:ascii="Times New Roman" w:hAnsi="Times New Roman" w:eastAsia="黑体" w:cs="Times New Roman"/>
          <w:color w:val="auto"/>
          <w:sz w:val="44"/>
          <w:szCs w:val="44"/>
          <w:highlight w:val="none"/>
        </w:rPr>
      </w:pPr>
      <w:bookmarkStart w:id="51" w:name="_Toc15396614"/>
      <w:bookmarkStart w:id="52" w:name="_Toc15377226"/>
    </w:p>
    <w:p w14:paraId="146C9907">
      <w:pPr>
        <w:spacing w:line="600" w:lineRule="exact"/>
        <w:jc w:val="center"/>
        <w:rPr>
          <w:rFonts w:hint="default" w:ascii="Times New Roman" w:hAnsi="Times New Roman" w:eastAsia="黑体" w:cs="Times New Roman"/>
          <w:color w:val="auto"/>
          <w:sz w:val="44"/>
          <w:szCs w:val="44"/>
          <w:highlight w:val="none"/>
        </w:rPr>
      </w:pPr>
    </w:p>
    <w:p w14:paraId="6F330080">
      <w:pPr>
        <w:spacing w:line="600" w:lineRule="exact"/>
        <w:jc w:val="center"/>
        <w:rPr>
          <w:rStyle w:val="31"/>
          <w:rFonts w:hint="default" w:ascii="Times New Roman" w:hAnsi="Times New Roman" w:eastAsia="黑体" w:cs="Times New Roman"/>
          <w:b w:val="0"/>
          <w:color w:val="auto"/>
          <w:highlight w:val="none"/>
          <w:lang w:eastAsia="zh-CN"/>
        </w:rPr>
      </w:pPr>
      <w:r>
        <w:rPr>
          <w:rFonts w:hint="default" w:ascii="Times New Roman" w:hAnsi="Times New Roman" w:eastAsia="黑体" w:cs="Times New Roman"/>
          <w:color w:val="auto"/>
          <w:sz w:val="44"/>
          <w:szCs w:val="44"/>
          <w:highlight w:val="none"/>
        </w:rPr>
        <w:t>第四部分</w:t>
      </w:r>
      <w:r>
        <w:rPr>
          <w:rFonts w:hint="default" w:ascii="Times New Roman" w:hAnsi="Times New Roman" w:eastAsia="黑体" w:cs="Times New Roman"/>
          <w:color w:val="auto"/>
          <w:sz w:val="44"/>
          <w:szCs w:val="44"/>
          <w:highlight w:val="none"/>
          <w:lang w:val="en-US" w:eastAsia="zh-CN"/>
        </w:rPr>
        <w:t xml:space="preserve"> </w:t>
      </w:r>
      <w:r>
        <w:rPr>
          <w:rFonts w:hint="default" w:ascii="Times New Roman" w:hAnsi="Times New Roman" w:eastAsia="黑体" w:cs="Times New Roman"/>
          <w:color w:val="auto"/>
          <w:sz w:val="44"/>
          <w:szCs w:val="44"/>
          <w:highlight w:val="none"/>
        </w:rPr>
        <w:t xml:space="preserve"> 附件</w:t>
      </w:r>
      <w:bookmarkEnd w:id="51"/>
    </w:p>
    <w:p w14:paraId="4BB6139A">
      <w:pPr>
        <w:keepNext w:val="0"/>
        <w:keepLines w:val="0"/>
        <w:pageBreakBefore w:val="0"/>
        <w:kinsoku/>
        <w:wordWrap/>
        <w:overflowPunct/>
        <w:topLinePunct w:val="0"/>
        <w:autoSpaceDE/>
        <w:autoSpaceDN/>
        <w:bidi w:val="0"/>
        <w:spacing w:line="572" w:lineRule="exact"/>
        <w:jc w:val="left"/>
        <w:textAlignment w:val="auto"/>
        <w:outlineLvl w:val="0"/>
        <w:rPr>
          <w:rFonts w:hint="default" w:ascii="Times New Roman" w:hAnsi="Times New Roman" w:eastAsia="黑体" w:cs="Times New Roman"/>
          <w:color w:val="FF0000"/>
          <w:sz w:val="32"/>
          <w:szCs w:val="32"/>
          <w:highlight w:val="none"/>
        </w:rPr>
      </w:pPr>
    </w:p>
    <w:p w14:paraId="4064B4C9">
      <w:pPr>
        <w:keepNext w:val="0"/>
        <w:keepLines w:val="0"/>
        <w:pageBreakBefore w:val="0"/>
        <w:kinsoku/>
        <w:wordWrap/>
        <w:overflowPunct/>
        <w:topLinePunct w:val="0"/>
        <w:autoSpaceDE/>
        <w:autoSpaceDN/>
        <w:bidi w:val="0"/>
        <w:spacing w:line="572" w:lineRule="exact"/>
        <w:jc w:val="left"/>
        <w:textAlignment w:val="auto"/>
        <w:outlineLvl w:val="0"/>
        <w:rPr>
          <w:rFonts w:hint="eastAsia" w:ascii="方正黑体_GBK" w:hAnsi="方正黑体_GBK" w:eastAsia="方正黑体_GBK" w:cs="方正黑体_GBK"/>
          <w:color w:val="auto"/>
          <w:sz w:val="44"/>
          <w:szCs w:val="44"/>
          <w:highlight w:val="none"/>
          <w:lang w:val="en-US" w:eastAsia="zh-CN"/>
        </w:rPr>
      </w:pPr>
      <w:r>
        <w:rPr>
          <w:rFonts w:hint="eastAsia" w:ascii="方正黑体_GBK" w:hAnsi="方正黑体_GBK" w:eastAsia="方正黑体_GBK" w:cs="方正黑体_GBK"/>
          <w:color w:val="auto"/>
          <w:sz w:val="32"/>
          <w:szCs w:val="32"/>
          <w:highlight w:val="none"/>
        </w:rPr>
        <w:t>附件</w:t>
      </w:r>
      <w:r>
        <w:rPr>
          <w:rFonts w:hint="eastAsia" w:ascii="方正黑体_GBK" w:hAnsi="方正黑体_GBK" w:eastAsia="方正黑体_GBK" w:cs="方正黑体_GBK"/>
          <w:color w:val="auto"/>
          <w:sz w:val="32"/>
          <w:szCs w:val="32"/>
          <w:highlight w:val="none"/>
          <w:lang w:val="en-US" w:eastAsia="zh-CN"/>
        </w:rPr>
        <w:t>1</w:t>
      </w:r>
    </w:p>
    <w:p w14:paraId="391F63E1">
      <w:pPr>
        <w:widowControl/>
        <w:tabs>
          <w:tab w:val="left" w:pos="1464"/>
          <w:tab w:val="center" w:pos="4482"/>
        </w:tabs>
        <w:spacing w:line="578" w:lineRule="exact"/>
        <w:contextualSpacing/>
        <w:jc w:val="left"/>
        <w:rPr>
          <w:rFonts w:hint="default" w:ascii="Times New Roman" w:hAnsi="Times New Roman" w:eastAsia="方正小标宋简体" w:cs="Times New Roman"/>
          <w:bCs/>
          <w:sz w:val="44"/>
          <w:szCs w:val="44"/>
          <w:shd w:val="clear" w:color="auto" w:fill="FFFFFF"/>
        </w:rPr>
      </w:pPr>
      <w:r>
        <w:rPr>
          <w:rFonts w:hint="default" w:ascii="Times New Roman" w:hAnsi="Times New Roman" w:eastAsia="方正小标宋简体" w:cs="Times New Roman"/>
          <w:bCs/>
          <w:sz w:val="44"/>
          <w:szCs w:val="44"/>
          <w:shd w:val="clear" w:color="auto" w:fill="FFFFFF"/>
          <w:lang w:eastAsia="zh-CN"/>
        </w:rPr>
        <w:tab/>
      </w:r>
      <w:r>
        <w:rPr>
          <w:rFonts w:hint="default" w:ascii="Times New Roman" w:hAnsi="Times New Roman" w:eastAsia="方正小标宋简体" w:cs="Times New Roman"/>
          <w:bCs/>
          <w:sz w:val="44"/>
          <w:szCs w:val="44"/>
          <w:shd w:val="clear" w:color="auto" w:fill="FFFFFF"/>
        </w:rPr>
        <w:t>攀枝花市社会保险事务中心</w:t>
      </w:r>
    </w:p>
    <w:p w14:paraId="43376797">
      <w:pPr>
        <w:widowControl/>
        <w:spacing w:line="578" w:lineRule="exact"/>
        <w:contextualSpacing/>
        <w:jc w:val="center"/>
        <w:rPr>
          <w:rFonts w:hint="default" w:ascii="Times New Roman" w:hAnsi="Times New Roman" w:eastAsia="方正小标宋简体" w:cs="Times New Roman"/>
          <w:bCs/>
          <w:sz w:val="44"/>
          <w:szCs w:val="44"/>
          <w:shd w:val="clear" w:color="auto" w:fill="FFFFFF"/>
        </w:rPr>
      </w:pPr>
      <w:r>
        <w:rPr>
          <w:rFonts w:hint="default" w:ascii="Times New Roman" w:hAnsi="Times New Roman" w:eastAsia="方正小标宋简体" w:cs="Times New Roman"/>
          <w:bCs/>
          <w:sz w:val="44"/>
          <w:szCs w:val="44"/>
          <w:shd w:val="clear" w:color="auto" w:fill="FFFFFF"/>
          <w:lang w:val="en-US" w:eastAsia="zh-CN"/>
        </w:rPr>
        <w:t>2025年</w:t>
      </w:r>
      <w:r>
        <w:rPr>
          <w:rFonts w:hint="default" w:ascii="Times New Roman" w:hAnsi="Times New Roman" w:eastAsia="方正小标宋简体" w:cs="Times New Roman"/>
          <w:bCs/>
          <w:sz w:val="44"/>
          <w:szCs w:val="44"/>
          <w:shd w:val="clear" w:color="auto" w:fill="FFFFFF"/>
        </w:rPr>
        <w:t>部门预算绩效自评报告</w:t>
      </w:r>
    </w:p>
    <w:p w14:paraId="5BF6B595">
      <w:pPr>
        <w:widowControl/>
        <w:spacing w:line="578" w:lineRule="exact"/>
        <w:contextualSpacing/>
        <w:jc w:val="center"/>
        <w:rPr>
          <w:rFonts w:hint="default" w:ascii="Times New Roman" w:hAnsi="Times New Roman" w:eastAsia="方正小标宋简体" w:cs="Times New Roman"/>
          <w:bCs/>
          <w:sz w:val="44"/>
          <w:szCs w:val="44"/>
          <w:shd w:val="clear" w:color="auto" w:fill="FFFFFF"/>
        </w:rPr>
      </w:pPr>
    </w:p>
    <w:p w14:paraId="2387B044">
      <w:pPr>
        <w:keepNext w:val="0"/>
        <w:keepLines w:val="0"/>
        <w:pageBreakBefore w:val="0"/>
        <w:widowControl/>
        <w:kinsoku/>
        <w:wordWrap/>
        <w:overflowPunct/>
        <w:topLinePunct w:val="0"/>
        <w:autoSpaceDE/>
        <w:autoSpaceDN/>
        <w:bidi w:val="0"/>
        <w:adjustRightInd w:val="0"/>
        <w:snapToGrid w:val="0"/>
        <w:spacing w:line="600" w:lineRule="exact"/>
        <w:ind w:firstLine="640" w:firstLineChars="200"/>
        <w:contextualSpacing/>
        <w:jc w:val="left"/>
        <w:textAlignment w:val="auto"/>
        <w:rPr>
          <w:rFonts w:hint="default" w:ascii="Times New Roman" w:hAnsi="Times New Roman" w:eastAsia="仿宋_GB2312" w:cs="Times New Roman"/>
          <w:color w:val="auto"/>
          <w:kern w:val="0"/>
          <w:sz w:val="32"/>
          <w:szCs w:val="32"/>
          <w:lang w:val="en-US" w:eastAsia="zh-CN" w:bidi="ar-SA"/>
        </w:rPr>
      </w:pPr>
      <w:r>
        <w:rPr>
          <w:rFonts w:hint="default" w:ascii="Times New Roman" w:hAnsi="Times New Roman" w:eastAsia="仿宋_GB2312" w:cs="Times New Roman"/>
          <w:color w:val="auto"/>
          <w:kern w:val="0"/>
          <w:sz w:val="32"/>
          <w:szCs w:val="32"/>
          <w:lang w:val="zh-CN" w:eastAsia="zh-CN" w:bidi="ar-SA"/>
        </w:rPr>
        <w:t>按照《攀枝花市财政局关于开展市本级预算绩效自评工作的通知》（攀财绩〔202</w:t>
      </w:r>
      <w:r>
        <w:rPr>
          <w:rFonts w:hint="default" w:ascii="Times New Roman" w:hAnsi="Times New Roman" w:eastAsia="仿宋_GB2312" w:cs="Times New Roman"/>
          <w:color w:val="auto"/>
          <w:kern w:val="0"/>
          <w:sz w:val="32"/>
          <w:szCs w:val="32"/>
          <w:lang w:val="en-US" w:eastAsia="zh-CN" w:bidi="ar-SA"/>
        </w:rPr>
        <w:t>6</w:t>
      </w:r>
      <w:r>
        <w:rPr>
          <w:rFonts w:hint="default" w:ascii="Times New Roman" w:hAnsi="Times New Roman" w:eastAsia="仿宋_GB2312" w:cs="Times New Roman"/>
          <w:color w:val="auto"/>
          <w:kern w:val="0"/>
          <w:sz w:val="32"/>
          <w:szCs w:val="32"/>
          <w:lang w:val="zh-CN" w:eastAsia="zh-CN" w:bidi="ar-SA"/>
        </w:rPr>
        <w:t>〕</w:t>
      </w:r>
      <w:r>
        <w:rPr>
          <w:rFonts w:hint="default" w:ascii="Times New Roman" w:hAnsi="Times New Roman" w:eastAsia="仿宋_GB2312" w:cs="Times New Roman"/>
          <w:color w:val="auto"/>
          <w:kern w:val="0"/>
          <w:sz w:val="32"/>
          <w:szCs w:val="32"/>
          <w:lang w:val="en-US" w:eastAsia="zh-CN" w:bidi="ar-SA"/>
        </w:rPr>
        <w:t>2</w:t>
      </w:r>
      <w:r>
        <w:rPr>
          <w:rFonts w:hint="default" w:ascii="Times New Roman" w:hAnsi="Times New Roman" w:eastAsia="仿宋_GB2312" w:cs="Times New Roman"/>
          <w:color w:val="auto"/>
          <w:kern w:val="0"/>
          <w:sz w:val="32"/>
          <w:szCs w:val="32"/>
          <w:lang w:val="zh-CN" w:eastAsia="zh-CN" w:bidi="ar-SA"/>
        </w:rPr>
        <w:t>号）要求，</w:t>
      </w:r>
      <w:r>
        <w:rPr>
          <w:rFonts w:hint="default" w:ascii="Times New Roman" w:hAnsi="Times New Roman" w:eastAsia="仿宋_GB2312" w:cs="Times New Roman"/>
          <w:color w:val="auto"/>
          <w:kern w:val="0"/>
          <w:sz w:val="32"/>
          <w:szCs w:val="32"/>
          <w:lang w:val="en-US" w:eastAsia="zh-CN" w:bidi="ar-SA"/>
        </w:rPr>
        <w:t>着力提升财政资源配置效率和资金</w:t>
      </w:r>
      <w:r>
        <w:rPr>
          <w:rFonts w:hint="default" w:ascii="Times New Roman" w:hAnsi="Times New Roman" w:eastAsia="仿宋_GB2312" w:cs="Times New Roman"/>
          <w:color w:val="auto"/>
          <w:kern w:val="0"/>
          <w:sz w:val="32"/>
          <w:szCs w:val="32"/>
          <w:lang w:val="zh-CN" w:eastAsia="zh-CN" w:bidi="ar-SA"/>
        </w:rPr>
        <w:t>使用效益，</w:t>
      </w:r>
      <w:r>
        <w:rPr>
          <w:rFonts w:hint="default" w:ascii="Times New Roman" w:hAnsi="Times New Roman" w:eastAsia="仿宋_GB2312" w:cs="Times New Roman"/>
          <w:color w:val="auto"/>
          <w:kern w:val="0"/>
          <w:sz w:val="32"/>
          <w:szCs w:val="32"/>
          <w:lang w:val="en-US" w:eastAsia="zh-CN" w:bidi="ar-SA"/>
        </w:rPr>
        <w:t>市社会保险事务中心</w:t>
      </w:r>
      <w:r>
        <w:rPr>
          <w:rFonts w:hint="default" w:ascii="Times New Roman" w:hAnsi="Times New Roman" w:eastAsia="仿宋_GB2312" w:cs="Times New Roman"/>
          <w:color w:val="auto"/>
          <w:kern w:val="0"/>
          <w:sz w:val="32"/>
          <w:szCs w:val="32"/>
          <w:lang w:val="zh-CN" w:eastAsia="zh-CN" w:bidi="ar-SA"/>
        </w:rPr>
        <w:t>中心认真组织开展了202</w:t>
      </w:r>
      <w:r>
        <w:rPr>
          <w:rFonts w:hint="default" w:ascii="Times New Roman" w:hAnsi="Times New Roman" w:eastAsia="仿宋_GB2312" w:cs="Times New Roman"/>
          <w:color w:val="auto"/>
          <w:kern w:val="0"/>
          <w:sz w:val="32"/>
          <w:szCs w:val="32"/>
          <w:lang w:val="en-US" w:eastAsia="zh-CN" w:bidi="ar-SA"/>
        </w:rPr>
        <w:t>5</w:t>
      </w:r>
      <w:r>
        <w:rPr>
          <w:rFonts w:hint="default" w:ascii="Times New Roman" w:hAnsi="Times New Roman" w:eastAsia="仿宋_GB2312" w:cs="Times New Roman"/>
          <w:color w:val="auto"/>
          <w:kern w:val="0"/>
          <w:sz w:val="32"/>
          <w:szCs w:val="32"/>
          <w:lang w:val="zh-CN" w:eastAsia="zh-CN" w:bidi="ar-SA"/>
        </w:rPr>
        <w:t>年部门预算整体绩效自评工作，</w:t>
      </w:r>
      <w:r>
        <w:rPr>
          <w:rFonts w:hint="default" w:ascii="Times New Roman" w:hAnsi="Times New Roman" w:eastAsia="仿宋_GB2312" w:cs="Times New Roman"/>
          <w:color w:val="auto"/>
          <w:kern w:val="0"/>
          <w:sz w:val="32"/>
          <w:szCs w:val="32"/>
          <w:lang w:val="en-US" w:eastAsia="zh-CN" w:bidi="ar-SA"/>
        </w:rPr>
        <w:t>现将相关情况</w:t>
      </w:r>
      <w:r>
        <w:rPr>
          <w:rFonts w:hint="default" w:ascii="Times New Roman" w:hAnsi="Times New Roman" w:eastAsia="仿宋_GB2312" w:cs="Times New Roman"/>
          <w:color w:val="auto"/>
          <w:kern w:val="0"/>
          <w:sz w:val="32"/>
          <w:szCs w:val="32"/>
          <w:lang w:val="zh-CN" w:eastAsia="zh-CN" w:bidi="ar-SA"/>
        </w:rPr>
        <w:t>报告如下。</w:t>
      </w:r>
    </w:p>
    <w:p w14:paraId="22A24057">
      <w:pPr>
        <w:keepNext w:val="0"/>
        <w:keepLines w:val="0"/>
        <w:pageBreakBefore w:val="0"/>
        <w:widowControl/>
        <w:kinsoku/>
        <w:wordWrap/>
        <w:overflowPunct/>
        <w:topLinePunct w:val="0"/>
        <w:autoSpaceDE/>
        <w:autoSpaceDN/>
        <w:bidi w:val="0"/>
        <w:adjustRightInd w:val="0"/>
        <w:snapToGrid w:val="0"/>
        <w:spacing w:line="600" w:lineRule="exact"/>
        <w:ind w:firstLine="640" w:firstLineChars="200"/>
        <w:contextualSpacing/>
        <w:jc w:val="left"/>
        <w:textAlignment w:val="auto"/>
        <w:rPr>
          <w:rFonts w:hint="default" w:ascii="Times New Roman" w:hAnsi="Times New Roman" w:eastAsia="黑体" w:cs="Times New Roman"/>
          <w:color w:val="000000"/>
          <w:kern w:val="0"/>
          <w:sz w:val="32"/>
          <w:szCs w:val="32"/>
          <w:shd w:val="clear" w:color="auto" w:fill="FFFFFF"/>
          <w:lang w:val="zh-CN" w:eastAsia="zh-CN"/>
        </w:rPr>
      </w:pPr>
      <w:r>
        <w:rPr>
          <w:rFonts w:hint="default" w:ascii="Times New Roman" w:hAnsi="Times New Roman" w:eastAsia="黑体" w:cs="Times New Roman"/>
          <w:color w:val="000000"/>
          <w:kern w:val="0"/>
          <w:sz w:val="32"/>
          <w:szCs w:val="32"/>
          <w:shd w:val="clear" w:color="auto" w:fill="FFFFFF"/>
          <w:lang w:val="zh-CN" w:eastAsia="zh-CN"/>
        </w:rPr>
        <w:t>一、部门（单位）基本情况</w:t>
      </w:r>
    </w:p>
    <w:p w14:paraId="2F53B1BC">
      <w:pPr>
        <w:keepNext w:val="0"/>
        <w:keepLines w:val="0"/>
        <w:pageBreakBefore w:val="0"/>
        <w:widowControl/>
        <w:kinsoku/>
        <w:wordWrap/>
        <w:overflowPunct/>
        <w:topLinePunct w:val="0"/>
        <w:autoSpaceDE/>
        <w:autoSpaceDN/>
        <w:bidi w:val="0"/>
        <w:adjustRightInd w:val="0"/>
        <w:snapToGrid w:val="0"/>
        <w:spacing w:line="600" w:lineRule="exact"/>
        <w:ind w:firstLine="643" w:firstLineChars="200"/>
        <w:contextualSpacing/>
        <w:jc w:val="left"/>
        <w:textAlignment w:val="auto"/>
        <w:rPr>
          <w:rFonts w:hint="default" w:ascii="Times New Roman" w:hAnsi="Times New Roman" w:eastAsia="楷体_GB2312" w:cs="Times New Roman"/>
          <w:b/>
          <w:bCs/>
          <w:color w:val="000000"/>
          <w:kern w:val="0"/>
          <w:sz w:val="32"/>
          <w:szCs w:val="32"/>
          <w:shd w:val="clear" w:color="auto" w:fill="FFFFFF"/>
          <w:lang w:val="zh-CN"/>
        </w:rPr>
      </w:pPr>
      <w:r>
        <w:rPr>
          <w:rFonts w:hint="default" w:ascii="Times New Roman" w:hAnsi="Times New Roman" w:eastAsia="楷体_GB2312" w:cs="Times New Roman"/>
          <w:b/>
          <w:bCs/>
          <w:color w:val="000000"/>
          <w:kern w:val="0"/>
          <w:sz w:val="32"/>
          <w:szCs w:val="32"/>
          <w:shd w:val="clear" w:color="auto" w:fill="FFFFFF"/>
          <w:lang w:val="zh-CN"/>
        </w:rPr>
        <w:t>（一）机构组成</w:t>
      </w:r>
    </w:p>
    <w:p w14:paraId="12D51EA2">
      <w:pPr>
        <w:keepNext w:val="0"/>
        <w:keepLines w:val="0"/>
        <w:pageBreakBefore w:val="0"/>
        <w:widowControl/>
        <w:kinsoku/>
        <w:wordWrap/>
        <w:overflowPunct/>
        <w:topLinePunct w:val="0"/>
        <w:autoSpaceDE/>
        <w:autoSpaceDN/>
        <w:bidi w:val="0"/>
        <w:adjustRightInd w:val="0"/>
        <w:snapToGrid w:val="0"/>
        <w:spacing w:line="600" w:lineRule="exact"/>
        <w:ind w:firstLine="640" w:firstLineChars="200"/>
        <w:contextualSpacing/>
        <w:jc w:val="both"/>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color w:val="auto"/>
          <w:kern w:val="0"/>
          <w:sz w:val="32"/>
          <w:szCs w:val="32"/>
          <w:lang w:val="zh-CN" w:eastAsia="zh-CN" w:bidi="ar-SA"/>
        </w:rPr>
        <w:t>攀枝花市社会保险事务中心是攀枝花市人力资源和社会保障局下属参照公务员法管理的事业单位，内设十科一室。</w:t>
      </w:r>
    </w:p>
    <w:p w14:paraId="0B6F75F6">
      <w:pPr>
        <w:keepNext w:val="0"/>
        <w:keepLines w:val="0"/>
        <w:pageBreakBefore w:val="0"/>
        <w:widowControl/>
        <w:kinsoku/>
        <w:wordWrap/>
        <w:overflowPunct/>
        <w:topLinePunct w:val="0"/>
        <w:autoSpaceDE/>
        <w:autoSpaceDN/>
        <w:bidi w:val="0"/>
        <w:adjustRightInd w:val="0"/>
        <w:snapToGrid w:val="0"/>
        <w:spacing w:line="600" w:lineRule="exact"/>
        <w:ind w:firstLine="643" w:firstLineChars="200"/>
        <w:contextualSpacing/>
        <w:jc w:val="left"/>
        <w:textAlignment w:val="auto"/>
        <w:rPr>
          <w:rFonts w:hint="default" w:ascii="Times New Roman" w:hAnsi="Times New Roman" w:eastAsia="楷体_GB2312" w:cs="Times New Roman"/>
          <w:b/>
          <w:bCs/>
          <w:color w:val="000000"/>
          <w:kern w:val="0"/>
          <w:sz w:val="32"/>
          <w:szCs w:val="32"/>
          <w:shd w:val="clear" w:color="auto" w:fill="FFFFFF"/>
          <w:lang w:val="zh-CN"/>
        </w:rPr>
      </w:pPr>
      <w:r>
        <w:rPr>
          <w:rFonts w:hint="default" w:ascii="Times New Roman" w:hAnsi="Times New Roman" w:eastAsia="楷体_GB2312" w:cs="Times New Roman"/>
          <w:b/>
          <w:bCs/>
          <w:color w:val="000000"/>
          <w:kern w:val="0"/>
          <w:sz w:val="32"/>
          <w:szCs w:val="32"/>
          <w:shd w:val="clear" w:color="auto" w:fill="FFFFFF"/>
          <w:lang w:val="zh-CN"/>
        </w:rPr>
        <w:t>（</w:t>
      </w:r>
      <w:r>
        <w:rPr>
          <w:rFonts w:hint="default" w:ascii="Times New Roman" w:hAnsi="Times New Roman" w:eastAsia="楷体_GB2312" w:cs="Times New Roman"/>
          <w:b/>
          <w:bCs/>
          <w:color w:val="000000"/>
          <w:kern w:val="0"/>
          <w:sz w:val="32"/>
          <w:szCs w:val="32"/>
          <w:shd w:val="clear" w:color="auto" w:fill="FFFFFF"/>
          <w:lang w:val="en-US" w:eastAsia="zh-CN"/>
        </w:rPr>
        <w:t>二</w:t>
      </w:r>
      <w:r>
        <w:rPr>
          <w:rFonts w:hint="default" w:ascii="Times New Roman" w:hAnsi="Times New Roman" w:eastAsia="楷体_GB2312" w:cs="Times New Roman"/>
          <w:b/>
          <w:bCs/>
          <w:color w:val="000000"/>
          <w:kern w:val="0"/>
          <w:sz w:val="32"/>
          <w:szCs w:val="32"/>
          <w:shd w:val="clear" w:color="auto" w:fill="FFFFFF"/>
          <w:lang w:val="zh-CN"/>
        </w:rPr>
        <w:t>）机构职能</w:t>
      </w:r>
    </w:p>
    <w:p w14:paraId="7217E756">
      <w:pPr>
        <w:pageBreakBefore w:val="0"/>
        <w:kinsoku/>
        <w:wordWrap/>
        <w:overflowPunct/>
        <w:topLinePunct w:val="0"/>
        <w:autoSpaceDE/>
        <w:autoSpaceDN/>
        <w:bidi w:val="0"/>
        <w:adjustRightInd/>
        <w:snapToGrid/>
        <w:spacing w:line="360" w:lineRule="auto"/>
        <w:ind w:firstLine="640" w:firstLineChars="200"/>
        <w:jc w:val="both"/>
        <w:textAlignment w:val="auto"/>
        <w:rPr>
          <w:rFonts w:hint="default" w:ascii="Times New Roman" w:hAnsi="Times New Roman" w:eastAsia="仿宋_GB2312" w:cs="Times New Roman"/>
          <w:kern w:val="0"/>
          <w:sz w:val="32"/>
          <w:szCs w:val="32"/>
          <w:lang w:eastAsia="zh-CN"/>
        </w:rPr>
      </w:pPr>
      <w:r>
        <w:rPr>
          <w:rFonts w:hint="default" w:ascii="Times New Roman" w:hAnsi="Times New Roman" w:eastAsia="仿宋_GB2312" w:cs="Times New Roman"/>
          <w:color w:val="auto"/>
          <w:sz w:val="32"/>
          <w:szCs w:val="32"/>
          <w:lang w:eastAsia="zh-CN"/>
        </w:rPr>
        <w:t>四川省攀枝花市社会保险事务中心</w:t>
      </w:r>
      <w:r>
        <w:rPr>
          <w:rFonts w:hint="default" w:ascii="Times New Roman" w:hAnsi="Times New Roman" w:eastAsia="仿宋_GB2312" w:cs="Times New Roman"/>
          <w:kern w:val="0"/>
          <w:sz w:val="32"/>
          <w:szCs w:val="32"/>
          <w:lang w:eastAsia="zh-CN"/>
        </w:rPr>
        <w:t>承担城镇企业职工、灵活就业人员、机关事业单位职工养老保险以及工伤保险参保登记、申报工作；</w:t>
      </w:r>
      <w:r>
        <w:rPr>
          <w:rFonts w:hint="default" w:ascii="Times New Roman" w:hAnsi="Times New Roman" w:eastAsia="仿宋_GB2312" w:cs="Times New Roman"/>
          <w:kern w:val="0"/>
          <w:sz w:val="32"/>
          <w:szCs w:val="32"/>
          <w:lang w:val="en-US" w:eastAsia="zh-CN"/>
        </w:rPr>
        <w:t>负责</w:t>
      </w:r>
      <w:r>
        <w:rPr>
          <w:rFonts w:hint="default" w:ascii="Times New Roman" w:hAnsi="Times New Roman" w:eastAsia="仿宋_GB2312" w:cs="Times New Roman"/>
          <w:kern w:val="0"/>
          <w:sz w:val="32"/>
          <w:szCs w:val="32"/>
          <w:lang w:eastAsia="zh-CN"/>
        </w:rPr>
        <w:t>个人权益记录、核定并按时支付各类人员养老保险及工伤保险待遇；负责城镇各类用人单位职工基本养老、工伤的稽核及待遇支付等工作；负责组织实施全市征地农转非人员社会保障工作；承担工伤保险经办及劳动能力鉴定服务工作；指导各县（区）社保经办机构开展相关工作。</w:t>
      </w:r>
    </w:p>
    <w:p w14:paraId="40540397">
      <w:pPr>
        <w:keepNext w:val="0"/>
        <w:keepLines w:val="0"/>
        <w:pageBreakBefore w:val="0"/>
        <w:widowControl/>
        <w:kinsoku/>
        <w:wordWrap/>
        <w:overflowPunct/>
        <w:topLinePunct w:val="0"/>
        <w:autoSpaceDE/>
        <w:autoSpaceDN/>
        <w:bidi w:val="0"/>
        <w:adjustRightInd w:val="0"/>
        <w:snapToGrid w:val="0"/>
        <w:spacing w:line="600" w:lineRule="exact"/>
        <w:ind w:firstLine="643" w:firstLineChars="200"/>
        <w:contextualSpacing/>
        <w:jc w:val="both"/>
        <w:textAlignment w:val="auto"/>
        <w:rPr>
          <w:rFonts w:hint="default" w:ascii="Times New Roman" w:hAnsi="Times New Roman" w:eastAsia="楷体_GB2312" w:cs="Times New Roman"/>
          <w:b/>
          <w:bCs/>
          <w:color w:val="000000"/>
          <w:kern w:val="0"/>
          <w:sz w:val="32"/>
          <w:szCs w:val="32"/>
          <w:shd w:val="clear" w:color="auto" w:fill="FFFFFF"/>
          <w:lang w:val="zh-CN"/>
        </w:rPr>
      </w:pPr>
      <w:r>
        <w:rPr>
          <w:rFonts w:hint="default" w:ascii="Times New Roman" w:hAnsi="Times New Roman" w:eastAsia="楷体_GB2312" w:cs="Times New Roman"/>
          <w:b/>
          <w:bCs/>
          <w:color w:val="000000"/>
          <w:kern w:val="0"/>
          <w:sz w:val="32"/>
          <w:szCs w:val="32"/>
          <w:shd w:val="clear" w:color="auto" w:fill="FFFFFF"/>
          <w:lang w:val="zh-CN"/>
        </w:rPr>
        <w:t>（</w:t>
      </w:r>
      <w:r>
        <w:rPr>
          <w:rFonts w:hint="default" w:ascii="Times New Roman" w:hAnsi="Times New Roman" w:eastAsia="楷体_GB2312" w:cs="Times New Roman"/>
          <w:b/>
          <w:bCs/>
          <w:color w:val="000000"/>
          <w:kern w:val="0"/>
          <w:sz w:val="32"/>
          <w:szCs w:val="32"/>
          <w:shd w:val="clear" w:color="auto" w:fill="FFFFFF"/>
          <w:lang w:val="en-US" w:eastAsia="zh-CN"/>
        </w:rPr>
        <w:t>三</w:t>
      </w:r>
      <w:r>
        <w:rPr>
          <w:rFonts w:hint="default" w:ascii="Times New Roman" w:hAnsi="Times New Roman" w:eastAsia="楷体_GB2312" w:cs="Times New Roman"/>
          <w:b/>
          <w:bCs/>
          <w:color w:val="000000"/>
          <w:kern w:val="0"/>
          <w:sz w:val="32"/>
          <w:szCs w:val="32"/>
          <w:shd w:val="clear" w:color="auto" w:fill="FFFFFF"/>
          <w:lang w:val="zh-CN"/>
        </w:rPr>
        <w:t>）人员概况</w:t>
      </w:r>
    </w:p>
    <w:p w14:paraId="52EC5C79">
      <w:pPr>
        <w:keepNext w:val="0"/>
        <w:keepLines w:val="0"/>
        <w:pageBreakBefore w:val="0"/>
        <w:widowControl/>
        <w:kinsoku/>
        <w:wordWrap/>
        <w:overflowPunct/>
        <w:topLinePunct w:val="0"/>
        <w:autoSpaceDE/>
        <w:autoSpaceDN/>
        <w:bidi w:val="0"/>
        <w:adjustRightInd w:val="0"/>
        <w:snapToGrid w:val="0"/>
        <w:spacing w:line="600" w:lineRule="exact"/>
        <w:ind w:firstLine="640" w:firstLineChars="200"/>
        <w:contextualSpacing/>
        <w:jc w:val="left"/>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color w:val="auto"/>
          <w:kern w:val="0"/>
          <w:sz w:val="32"/>
          <w:szCs w:val="32"/>
          <w:lang w:val="zh-CN" w:eastAsia="zh-CN" w:bidi="ar-SA"/>
        </w:rPr>
        <w:t>截至202</w:t>
      </w:r>
      <w:r>
        <w:rPr>
          <w:rFonts w:hint="default" w:ascii="Times New Roman" w:hAnsi="Times New Roman" w:eastAsia="仿宋_GB2312" w:cs="Times New Roman"/>
          <w:color w:val="auto"/>
          <w:kern w:val="0"/>
          <w:sz w:val="32"/>
          <w:szCs w:val="32"/>
          <w:lang w:val="en-US" w:eastAsia="zh-CN" w:bidi="ar-SA"/>
        </w:rPr>
        <w:t>5</w:t>
      </w:r>
      <w:r>
        <w:rPr>
          <w:rFonts w:hint="default" w:ascii="Times New Roman" w:hAnsi="Times New Roman" w:eastAsia="仿宋_GB2312" w:cs="Times New Roman"/>
          <w:color w:val="auto"/>
          <w:kern w:val="0"/>
          <w:sz w:val="32"/>
          <w:szCs w:val="32"/>
          <w:lang w:val="zh-CN" w:eastAsia="zh-CN" w:bidi="ar-SA"/>
        </w:rPr>
        <w:t>年末，攀枝花市社会保险事务中心核定人员编制数6</w:t>
      </w:r>
      <w:r>
        <w:rPr>
          <w:rFonts w:hint="default" w:ascii="Times New Roman" w:hAnsi="Times New Roman" w:eastAsia="仿宋_GB2312" w:cs="Times New Roman"/>
          <w:color w:val="auto"/>
          <w:kern w:val="0"/>
          <w:sz w:val="32"/>
          <w:szCs w:val="32"/>
          <w:lang w:val="en-US" w:eastAsia="zh-CN" w:bidi="ar-SA"/>
        </w:rPr>
        <w:t>1</w:t>
      </w:r>
      <w:r>
        <w:rPr>
          <w:rFonts w:hint="default" w:ascii="Times New Roman" w:hAnsi="Times New Roman" w:eastAsia="仿宋_GB2312" w:cs="Times New Roman"/>
          <w:color w:val="auto"/>
          <w:kern w:val="0"/>
          <w:sz w:val="32"/>
          <w:szCs w:val="32"/>
          <w:lang w:val="zh-CN" w:eastAsia="zh-CN" w:bidi="ar-SA"/>
        </w:rPr>
        <w:t>人，实有在编人员5</w:t>
      </w:r>
      <w:r>
        <w:rPr>
          <w:rFonts w:hint="default" w:ascii="Times New Roman" w:hAnsi="Times New Roman" w:eastAsia="仿宋_GB2312" w:cs="Times New Roman"/>
          <w:color w:val="auto"/>
          <w:kern w:val="0"/>
          <w:sz w:val="32"/>
          <w:szCs w:val="32"/>
          <w:lang w:val="en-US" w:eastAsia="zh-CN" w:bidi="ar-SA"/>
        </w:rPr>
        <w:t>8</w:t>
      </w:r>
      <w:r>
        <w:rPr>
          <w:rFonts w:hint="default" w:ascii="Times New Roman" w:hAnsi="Times New Roman" w:eastAsia="仿宋_GB2312" w:cs="Times New Roman"/>
          <w:color w:val="auto"/>
          <w:kern w:val="0"/>
          <w:sz w:val="32"/>
          <w:szCs w:val="32"/>
          <w:lang w:val="zh-CN" w:eastAsia="zh-CN" w:bidi="ar-SA"/>
        </w:rPr>
        <w:t>人，退休人员</w:t>
      </w:r>
      <w:r>
        <w:rPr>
          <w:rFonts w:hint="default" w:ascii="Times New Roman" w:hAnsi="Times New Roman" w:eastAsia="仿宋_GB2312" w:cs="Times New Roman"/>
          <w:color w:val="auto"/>
          <w:kern w:val="0"/>
          <w:sz w:val="32"/>
          <w:szCs w:val="32"/>
          <w:lang w:val="en-US" w:eastAsia="zh-CN" w:bidi="ar-SA"/>
        </w:rPr>
        <w:t>34</w:t>
      </w:r>
      <w:r>
        <w:rPr>
          <w:rFonts w:hint="default" w:ascii="Times New Roman" w:hAnsi="Times New Roman" w:eastAsia="仿宋_GB2312" w:cs="Times New Roman"/>
          <w:color w:val="auto"/>
          <w:kern w:val="0"/>
          <w:sz w:val="32"/>
          <w:szCs w:val="32"/>
          <w:lang w:val="zh-CN" w:eastAsia="zh-CN" w:bidi="ar-SA"/>
        </w:rPr>
        <w:t>人。根据工作需要另外聘用人员1</w:t>
      </w:r>
      <w:r>
        <w:rPr>
          <w:rFonts w:hint="default" w:ascii="Times New Roman" w:hAnsi="Times New Roman" w:eastAsia="仿宋_GB2312" w:cs="Times New Roman"/>
          <w:color w:val="auto"/>
          <w:kern w:val="0"/>
          <w:sz w:val="32"/>
          <w:szCs w:val="32"/>
          <w:lang w:val="en-US" w:eastAsia="zh-CN" w:bidi="ar-SA"/>
        </w:rPr>
        <w:t>2</w:t>
      </w:r>
      <w:r>
        <w:rPr>
          <w:rFonts w:hint="default" w:ascii="Times New Roman" w:hAnsi="Times New Roman" w:eastAsia="仿宋_GB2312" w:cs="Times New Roman"/>
          <w:color w:val="auto"/>
          <w:kern w:val="0"/>
          <w:sz w:val="32"/>
          <w:szCs w:val="32"/>
          <w:lang w:val="zh-CN" w:eastAsia="zh-CN" w:bidi="ar-SA"/>
        </w:rPr>
        <w:t>人。</w:t>
      </w:r>
    </w:p>
    <w:p w14:paraId="77A66671">
      <w:pPr>
        <w:keepNext w:val="0"/>
        <w:keepLines w:val="0"/>
        <w:pageBreakBefore w:val="0"/>
        <w:widowControl/>
        <w:kinsoku/>
        <w:wordWrap/>
        <w:overflowPunct/>
        <w:topLinePunct w:val="0"/>
        <w:autoSpaceDE/>
        <w:autoSpaceDN/>
        <w:bidi w:val="0"/>
        <w:adjustRightInd w:val="0"/>
        <w:snapToGrid w:val="0"/>
        <w:spacing w:line="600" w:lineRule="exact"/>
        <w:ind w:firstLine="640" w:firstLineChars="200"/>
        <w:contextualSpacing/>
        <w:jc w:val="left"/>
        <w:textAlignment w:val="auto"/>
        <w:rPr>
          <w:rFonts w:hint="default" w:ascii="Times New Roman" w:hAnsi="Times New Roman" w:eastAsia="黑体" w:cs="Times New Roman"/>
          <w:color w:val="000000"/>
          <w:kern w:val="0"/>
          <w:sz w:val="32"/>
          <w:szCs w:val="32"/>
          <w:shd w:val="clear" w:color="auto" w:fill="FFFFFF"/>
          <w:lang w:val="zh-CN" w:eastAsia="zh-CN"/>
        </w:rPr>
      </w:pPr>
      <w:r>
        <w:rPr>
          <w:rFonts w:hint="default" w:ascii="Times New Roman" w:hAnsi="Times New Roman" w:eastAsia="黑体" w:cs="Times New Roman"/>
          <w:color w:val="000000"/>
          <w:kern w:val="0"/>
          <w:sz w:val="32"/>
          <w:szCs w:val="32"/>
          <w:shd w:val="clear" w:color="auto" w:fill="FFFFFF"/>
          <w:lang w:val="zh-CN" w:eastAsia="zh-CN"/>
        </w:rPr>
        <w:t>二、部门资金收支情况</w:t>
      </w:r>
    </w:p>
    <w:p w14:paraId="4298D6CA">
      <w:pPr>
        <w:keepNext w:val="0"/>
        <w:keepLines w:val="0"/>
        <w:pageBreakBefore w:val="0"/>
        <w:widowControl/>
        <w:kinsoku/>
        <w:wordWrap/>
        <w:overflowPunct/>
        <w:topLinePunct w:val="0"/>
        <w:autoSpaceDE/>
        <w:autoSpaceDN/>
        <w:bidi w:val="0"/>
        <w:adjustRightInd w:val="0"/>
        <w:snapToGrid w:val="0"/>
        <w:spacing w:line="600" w:lineRule="exact"/>
        <w:ind w:firstLine="643" w:firstLineChars="200"/>
        <w:contextualSpacing/>
        <w:jc w:val="left"/>
        <w:textAlignment w:val="auto"/>
        <w:rPr>
          <w:rFonts w:hint="default" w:ascii="Times New Roman" w:hAnsi="Times New Roman" w:eastAsia="楷体_GB2312" w:cs="Times New Roman"/>
          <w:b/>
          <w:bCs/>
          <w:color w:val="000000"/>
          <w:kern w:val="0"/>
          <w:sz w:val="32"/>
          <w:szCs w:val="32"/>
          <w:shd w:val="clear" w:color="auto" w:fill="FFFFFF"/>
          <w:lang w:val="zh-CN"/>
        </w:rPr>
      </w:pPr>
      <w:r>
        <w:rPr>
          <w:rFonts w:hint="default" w:ascii="Times New Roman" w:hAnsi="Times New Roman" w:eastAsia="楷体_GB2312" w:cs="Times New Roman"/>
          <w:b/>
          <w:bCs/>
          <w:color w:val="000000"/>
          <w:kern w:val="0"/>
          <w:sz w:val="32"/>
          <w:szCs w:val="32"/>
          <w:shd w:val="clear" w:color="auto" w:fill="FFFFFF"/>
          <w:lang w:val="zh-CN"/>
        </w:rPr>
        <w:t>（一）收入情况</w:t>
      </w:r>
    </w:p>
    <w:p w14:paraId="752B6D0E">
      <w:pPr>
        <w:keepNext w:val="0"/>
        <w:keepLines w:val="0"/>
        <w:pageBreakBefore w:val="0"/>
        <w:widowControl/>
        <w:kinsoku/>
        <w:wordWrap/>
        <w:overflowPunct/>
        <w:topLinePunct w:val="0"/>
        <w:autoSpaceDE/>
        <w:autoSpaceDN/>
        <w:bidi w:val="0"/>
        <w:adjustRightInd w:val="0"/>
        <w:snapToGrid w:val="0"/>
        <w:spacing w:line="600" w:lineRule="exact"/>
        <w:ind w:firstLine="640" w:firstLineChars="200"/>
        <w:contextualSpacing/>
        <w:jc w:val="both"/>
        <w:textAlignment w:val="auto"/>
        <w:rPr>
          <w:rFonts w:hint="default" w:ascii="Times New Roman" w:hAnsi="Times New Roman" w:eastAsia="仿宋_GB2312" w:cs="Times New Roman"/>
          <w:color w:val="auto"/>
          <w:kern w:val="0"/>
          <w:sz w:val="32"/>
          <w:szCs w:val="32"/>
          <w:lang w:val="en-US" w:eastAsia="zh-CN" w:bidi="ar-SA"/>
        </w:rPr>
      </w:pPr>
      <w:r>
        <w:rPr>
          <w:rFonts w:hint="default" w:ascii="Times New Roman" w:hAnsi="Times New Roman" w:eastAsia="仿宋_GB2312" w:cs="Times New Roman"/>
          <w:color w:val="auto"/>
          <w:kern w:val="0"/>
          <w:sz w:val="32"/>
          <w:szCs w:val="32"/>
          <w:lang w:val="zh-CN" w:eastAsia="zh-CN" w:bidi="ar-SA"/>
        </w:rPr>
        <w:t>攀枝花市社会保险事务中心202</w:t>
      </w:r>
      <w:r>
        <w:rPr>
          <w:rFonts w:hint="default" w:ascii="Times New Roman" w:hAnsi="Times New Roman" w:eastAsia="仿宋_GB2312" w:cs="Times New Roman"/>
          <w:color w:val="auto"/>
          <w:kern w:val="0"/>
          <w:sz w:val="32"/>
          <w:szCs w:val="32"/>
          <w:lang w:val="en-US" w:eastAsia="zh-CN" w:bidi="ar-SA"/>
        </w:rPr>
        <w:t>5</w:t>
      </w:r>
      <w:r>
        <w:rPr>
          <w:rFonts w:hint="default" w:ascii="Times New Roman" w:hAnsi="Times New Roman" w:eastAsia="仿宋_GB2312" w:cs="Times New Roman"/>
          <w:color w:val="auto"/>
          <w:kern w:val="0"/>
          <w:sz w:val="32"/>
          <w:szCs w:val="32"/>
          <w:lang w:val="zh-CN" w:eastAsia="zh-CN" w:bidi="ar-SA"/>
        </w:rPr>
        <w:t>年初预算收入</w:t>
      </w:r>
      <w:r>
        <w:rPr>
          <w:rFonts w:hint="default" w:ascii="Times New Roman" w:hAnsi="Times New Roman" w:eastAsia="仿宋_GB2312" w:cs="Times New Roman"/>
          <w:color w:val="auto"/>
          <w:kern w:val="0"/>
          <w:sz w:val="32"/>
          <w:szCs w:val="32"/>
          <w:lang w:val="en-US" w:eastAsia="zh-CN" w:bidi="ar-SA"/>
        </w:rPr>
        <w:t>1442.31万</w:t>
      </w:r>
      <w:r>
        <w:rPr>
          <w:rFonts w:hint="default" w:ascii="Times New Roman" w:hAnsi="Times New Roman" w:eastAsia="仿宋_GB2312" w:cs="Times New Roman"/>
          <w:color w:val="auto"/>
          <w:kern w:val="0"/>
          <w:sz w:val="32"/>
          <w:szCs w:val="32"/>
          <w:lang w:val="zh-CN" w:eastAsia="zh-CN" w:bidi="ar-SA"/>
        </w:rPr>
        <w:t>元。202</w:t>
      </w:r>
      <w:r>
        <w:rPr>
          <w:rFonts w:hint="default" w:ascii="Times New Roman" w:hAnsi="Times New Roman" w:eastAsia="仿宋_GB2312" w:cs="Times New Roman"/>
          <w:color w:val="auto"/>
          <w:kern w:val="0"/>
          <w:sz w:val="32"/>
          <w:szCs w:val="32"/>
          <w:lang w:val="en-US" w:eastAsia="zh-CN" w:bidi="ar-SA"/>
        </w:rPr>
        <w:t>5</w:t>
      </w:r>
      <w:r>
        <w:rPr>
          <w:rFonts w:hint="default" w:ascii="Times New Roman" w:hAnsi="Times New Roman" w:eastAsia="仿宋_GB2312" w:cs="Times New Roman"/>
          <w:color w:val="auto"/>
          <w:kern w:val="0"/>
          <w:sz w:val="32"/>
          <w:szCs w:val="32"/>
          <w:lang w:val="zh-CN" w:eastAsia="zh-CN" w:bidi="ar-SA"/>
        </w:rPr>
        <w:t>年决算报表中本年收入</w:t>
      </w:r>
      <w:r>
        <w:rPr>
          <w:rFonts w:hint="default" w:ascii="Times New Roman" w:hAnsi="Times New Roman" w:eastAsia="仿宋_GB2312" w:cs="Times New Roman"/>
          <w:color w:val="auto"/>
          <w:kern w:val="0"/>
          <w:sz w:val="32"/>
          <w:szCs w:val="32"/>
          <w:lang w:val="en-US" w:eastAsia="zh-CN" w:bidi="ar-SA"/>
        </w:rPr>
        <w:t>1550.82万</w:t>
      </w:r>
      <w:r>
        <w:rPr>
          <w:rFonts w:hint="default" w:ascii="Times New Roman" w:hAnsi="Times New Roman" w:eastAsia="仿宋_GB2312" w:cs="Times New Roman"/>
          <w:color w:val="auto"/>
          <w:kern w:val="0"/>
          <w:sz w:val="32"/>
          <w:szCs w:val="32"/>
          <w:lang w:val="zh-CN" w:eastAsia="zh-CN" w:bidi="ar-SA"/>
        </w:rPr>
        <w:t>元，其中：其他组织事务支出</w:t>
      </w:r>
      <w:r>
        <w:rPr>
          <w:rFonts w:hint="default" w:ascii="Times New Roman" w:hAnsi="Times New Roman" w:eastAsia="仿宋_GB2312" w:cs="Times New Roman"/>
          <w:color w:val="auto"/>
          <w:kern w:val="0"/>
          <w:sz w:val="32"/>
          <w:szCs w:val="32"/>
          <w:lang w:val="en-US" w:eastAsia="zh-CN" w:bidi="ar-SA"/>
        </w:rPr>
        <w:t>13.69万元，占0.88%；</w:t>
      </w:r>
      <w:r>
        <w:rPr>
          <w:rFonts w:hint="default" w:ascii="Times New Roman" w:hAnsi="Times New Roman" w:eastAsia="仿宋_GB2312" w:cs="Times New Roman"/>
          <w:color w:val="auto"/>
          <w:kern w:val="0"/>
          <w:sz w:val="32"/>
          <w:szCs w:val="32"/>
          <w:lang w:val="zh-CN" w:eastAsia="zh-CN" w:bidi="ar-SA"/>
        </w:rPr>
        <w:t>行政运行</w:t>
      </w:r>
      <w:r>
        <w:rPr>
          <w:rFonts w:hint="default" w:ascii="Times New Roman" w:hAnsi="Times New Roman" w:eastAsia="仿宋_GB2312" w:cs="Times New Roman"/>
          <w:color w:val="auto"/>
          <w:kern w:val="0"/>
          <w:sz w:val="32"/>
          <w:szCs w:val="32"/>
          <w:lang w:val="en-US" w:eastAsia="zh-CN" w:bidi="ar-SA"/>
        </w:rPr>
        <w:t>991.49万元，</w:t>
      </w:r>
      <w:r>
        <w:rPr>
          <w:rFonts w:hint="default" w:ascii="Times New Roman" w:hAnsi="Times New Roman" w:eastAsia="仿宋_GB2312" w:cs="Times New Roman"/>
          <w:color w:val="auto"/>
          <w:kern w:val="0"/>
          <w:sz w:val="32"/>
          <w:szCs w:val="32"/>
          <w:lang w:val="zh-CN" w:eastAsia="zh-CN" w:bidi="ar-SA"/>
        </w:rPr>
        <w:t>占6</w:t>
      </w:r>
      <w:r>
        <w:rPr>
          <w:rFonts w:hint="default" w:ascii="Times New Roman" w:hAnsi="Times New Roman" w:eastAsia="仿宋_GB2312" w:cs="Times New Roman"/>
          <w:color w:val="auto"/>
          <w:kern w:val="0"/>
          <w:sz w:val="32"/>
          <w:szCs w:val="32"/>
          <w:lang w:val="en-US" w:eastAsia="zh-CN" w:bidi="ar-SA"/>
        </w:rPr>
        <w:t>3.93</w:t>
      </w:r>
      <w:r>
        <w:rPr>
          <w:rFonts w:hint="default" w:ascii="Times New Roman" w:hAnsi="Times New Roman" w:eastAsia="仿宋_GB2312" w:cs="Times New Roman"/>
          <w:color w:val="auto"/>
          <w:kern w:val="0"/>
          <w:sz w:val="32"/>
          <w:szCs w:val="32"/>
          <w:lang w:val="zh-CN" w:eastAsia="zh-CN" w:bidi="ar-SA"/>
        </w:rPr>
        <w:t>%；社会保险经办机构</w:t>
      </w:r>
      <w:r>
        <w:rPr>
          <w:rFonts w:hint="default" w:ascii="Times New Roman" w:hAnsi="Times New Roman" w:eastAsia="仿宋_GB2312" w:cs="Times New Roman"/>
          <w:color w:val="auto"/>
          <w:kern w:val="0"/>
          <w:sz w:val="32"/>
          <w:szCs w:val="32"/>
          <w:lang w:val="en-US" w:eastAsia="zh-CN" w:bidi="ar-SA"/>
        </w:rPr>
        <w:t>140.59万元，</w:t>
      </w:r>
      <w:r>
        <w:rPr>
          <w:rFonts w:hint="default" w:ascii="Times New Roman" w:hAnsi="Times New Roman" w:eastAsia="仿宋_GB2312" w:cs="Times New Roman"/>
          <w:color w:val="auto"/>
          <w:kern w:val="0"/>
          <w:sz w:val="32"/>
          <w:szCs w:val="32"/>
          <w:lang w:val="zh-CN" w:eastAsia="zh-CN" w:bidi="ar-SA"/>
        </w:rPr>
        <w:t>占</w:t>
      </w:r>
      <w:r>
        <w:rPr>
          <w:rFonts w:hint="default" w:ascii="Times New Roman" w:hAnsi="Times New Roman" w:eastAsia="仿宋_GB2312" w:cs="Times New Roman"/>
          <w:color w:val="auto"/>
          <w:kern w:val="0"/>
          <w:sz w:val="32"/>
          <w:szCs w:val="32"/>
          <w:lang w:val="en-US" w:eastAsia="zh-CN" w:bidi="ar-SA"/>
        </w:rPr>
        <w:t>9.07</w:t>
      </w:r>
      <w:r>
        <w:rPr>
          <w:rFonts w:hint="default" w:ascii="Times New Roman" w:hAnsi="Times New Roman" w:eastAsia="仿宋_GB2312" w:cs="Times New Roman"/>
          <w:color w:val="auto"/>
          <w:kern w:val="0"/>
          <w:sz w:val="32"/>
          <w:szCs w:val="32"/>
          <w:lang w:val="zh-CN" w:eastAsia="zh-CN" w:bidi="ar-SA"/>
        </w:rPr>
        <w:t>%；行政单位离退休</w:t>
      </w:r>
      <w:r>
        <w:rPr>
          <w:rFonts w:hint="default" w:ascii="Times New Roman" w:hAnsi="Times New Roman" w:eastAsia="仿宋_GB2312" w:cs="Times New Roman"/>
          <w:color w:val="auto"/>
          <w:kern w:val="0"/>
          <w:sz w:val="32"/>
          <w:szCs w:val="32"/>
          <w:lang w:val="en-US" w:eastAsia="zh-CN" w:bidi="ar-SA"/>
        </w:rPr>
        <w:t>103.77万元，</w:t>
      </w:r>
      <w:r>
        <w:rPr>
          <w:rFonts w:hint="default" w:ascii="Times New Roman" w:hAnsi="Times New Roman" w:eastAsia="仿宋_GB2312" w:cs="Times New Roman"/>
          <w:color w:val="auto"/>
          <w:kern w:val="0"/>
          <w:sz w:val="32"/>
          <w:szCs w:val="32"/>
          <w:lang w:val="zh-CN" w:eastAsia="zh-CN" w:bidi="ar-SA"/>
        </w:rPr>
        <w:t>占</w:t>
      </w:r>
      <w:r>
        <w:rPr>
          <w:rFonts w:hint="default" w:ascii="Times New Roman" w:hAnsi="Times New Roman" w:eastAsia="仿宋_GB2312" w:cs="Times New Roman"/>
          <w:color w:val="auto"/>
          <w:kern w:val="0"/>
          <w:sz w:val="32"/>
          <w:szCs w:val="32"/>
          <w:lang w:val="en-US" w:eastAsia="zh-CN" w:bidi="ar-SA"/>
        </w:rPr>
        <w:t>6.69</w:t>
      </w:r>
      <w:r>
        <w:rPr>
          <w:rFonts w:hint="default" w:ascii="Times New Roman" w:hAnsi="Times New Roman" w:eastAsia="仿宋_GB2312" w:cs="Times New Roman"/>
          <w:color w:val="auto"/>
          <w:kern w:val="0"/>
          <w:sz w:val="32"/>
          <w:szCs w:val="32"/>
          <w:lang w:val="zh-CN" w:eastAsia="zh-CN" w:bidi="ar-SA"/>
        </w:rPr>
        <w:t>%；机关事业单位基本养老保险缴费</w:t>
      </w:r>
      <w:r>
        <w:rPr>
          <w:rFonts w:hint="default" w:ascii="Times New Roman" w:hAnsi="Times New Roman" w:eastAsia="仿宋_GB2312" w:cs="Times New Roman"/>
          <w:color w:val="auto"/>
          <w:kern w:val="0"/>
          <w:sz w:val="32"/>
          <w:szCs w:val="32"/>
          <w:lang w:val="en-US" w:eastAsia="zh-CN" w:bidi="ar-SA"/>
        </w:rPr>
        <w:t>115.07万元，</w:t>
      </w:r>
      <w:r>
        <w:rPr>
          <w:rFonts w:hint="default" w:ascii="Times New Roman" w:hAnsi="Times New Roman" w:eastAsia="仿宋_GB2312" w:cs="Times New Roman"/>
          <w:color w:val="auto"/>
          <w:kern w:val="0"/>
          <w:sz w:val="32"/>
          <w:szCs w:val="32"/>
          <w:lang w:val="zh-CN" w:eastAsia="zh-CN" w:bidi="ar-SA"/>
        </w:rPr>
        <w:t>占</w:t>
      </w:r>
      <w:r>
        <w:rPr>
          <w:rFonts w:hint="default" w:ascii="Times New Roman" w:hAnsi="Times New Roman" w:eastAsia="仿宋_GB2312" w:cs="Times New Roman"/>
          <w:color w:val="auto"/>
          <w:kern w:val="0"/>
          <w:sz w:val="32"/>
          <w:szCs w:val="32"/>
          <w:lang w:val="en-US" w:eastAsia="zh-CN" w:bidi="ar-SA"/>
        </w:rPr>
        <w:t>7.42</w:t>
      </w:r>
      <w:r>
        <w:rPr>
          <w:rFonts w:hint="default" w:ascii="Times New Roman" w:hAnsi="Times New Roman" w:eastAsia="仿宋_GB2312" w:cs="Times New Roman"/>
          <w:color w:val="auto"/>
          <w:kern w:val="0"/>
          <w:sz w:val="32"/>
          <w:szCs w:val="32"/>
          <w:lang w:val="zh-CN" w:eastAsia="zh-CN" w:bidi="ar-SA"/>
        </w:rPr>
        <w:t>%；机关事业单位职业年金缴费</w:t>
      </w:r>
      <w:r>
        <w:rPr>
          <w:rFonts w:hint="default" w:ascii="Times New Roman" w:hAnsi="Times New Roman" w:eastAsia="仿宋_GB2312" w:cs="Times New Roman"/>
          <w:color w:val="auto"/>
          <w:kern w:val="0"/>
          <w:sz w:val="32"/>
          <w:szCs w:val="32"/>
          <w:lang w:val="en-US" w:eastAsia="zh-CN" w:bidi="ar-SA"/>
        </w:rPr>
        <w:t>16.16万元，</w:t>
      </w:r>
      <w:r>
        <w:rPr>
          <w:rFonts w:hint="default" w:ascii="Times New Roman" w:hAnsi="Times New Roman" w:eastAsia="仿宋_GB2312" w:cs="Times New Roman"/>
          <w:color w:val="auto"/>
          <w:kern w:val="0"/>
          <w:sz w:val="32"/>
          <w:szCs w:val="32"/>
          <w:lang w:val="zh-CN" w:eastAsia="zh-CN" w:bidi="ar-SA"/>
        </w:rPr>
        <w:t>占</w:t>
      </w:r>
      <w:r>
        <w:rPr>
          <w:rFonts w:hint="default" w:ascii="Times New Roman" w:hAnsi="Times New Roman" w:eastAsia="仿宋_GB2312" w:cs="Times New Roman"/>
          <w:color w:val="auto"/>
          <w:kern w:val="0"/>
          <w:sz w:val="32"/>
          <w:szCs w:val="32"/>
          <w:lang w:val="en-US" w:eastAsia="zh-CN" w:bidi="ar-SA"/>
        </w:rPr>
        <w:t>1.04</w:t>
      </w:r>
      <w:r>
        <w:rPr>
          <w:rFonts w:hint="default" w:ascii="Times New Roman" w:hAnsi="Times New Roman" w:eastAsia="仿宋_GB2312" w:cs="Times New Roman"/>
          <w:color w:val="auto"/>
          <w:kern w:val="0"/>
          <w:sz w:val="32"/>
          <w:szCs w:val="32"/>
          <w:lang w:val="zh-CN" w:eastAsia="zh-CN" w:bidi="ar-SA"/>
        </w:rPr>
        <w:t>%；行政单位医疗</w:t>
      </w:r>
      <w:r>
        <w:rPr>
          <w:rFonts w:hint="default" w:ascii="Times New Roman" w:hAnsi="Times New Roman" w:eastAsia="仿宋_GB2312" w:cs="Times New Roman"/>
          <w:color w:val="auto"/>
          <w:kern w:val="0"/>
          <w:sz w:val="32"/>
          <w:szCs w:val="32"/>
          <w:lang w:val="en-US" w:eastAsia="zh-CN" w:bidi="ar-SA"/>
        </w:rPr>
        <w:t>61.36万元，</w:t>
      </w:r>
      <w:r>
        <w:rPr>
          <w:rFonts w:hint="default" w:ascii="Times New Roman" w:hAnsi="Times New Roman" w:eastAsia="仿宋_GB2312" w:cs="Times New Roman"/>
          <w:color w:val="auto"/>
          <w:kern w:val="0"/>
          <w:sz w:val="32"/>
          <w:szCs w:val="32"/>
          <w:lang w:val="zh-CN" w:eastAsia="zh-CN" w:bidi="ar-SA"/>
        </w:rPr>
        <w:t>占</w:t>
      </w:r>
      <w:r>
        <w:rPr>
          <w:rFonts w:hint="default" w:ascii="Times New Roman" w:hAnsi="Times New Roman" w:eastAsia="仿宋_GB2312" w:cs="Times New Roman"/>
          <w:color w:val="auto"/>
          <w:kern w:val="0"/>
          <w:sz w:val="32"/>
          <w:szCs w:val="32"/>
          <w:lang w:val="en-US" w:eastAsia="zh-CN" w:bidi="ar-SA"/>
        </w:rPr>
        <w:t>3.96</w:t>
      </w:r>
      <w:r>
        <w:rPr>
          <w:rFonts w:hint="default" w:ascii="Times New Roman" w:hAnsi="Times New Roman" w:eastAsia="仿宋_GB2312" w:cs="Times New Roman"/>
          <w:color w:val="auto"/>
          <w:kern w:val="0"/>
          <w:sz w:val="32"/>
          <w:szCs w:val="32"/>
          <w:lang w:val="zh-CN" w:eastAsia="zh-CN" w:bidi="ar-SA"/>
        </w:rPr>
        <w:t>%；公务员医疗</w:t>
      </w:r>
      <w:r>
        <w:rPr>
          <w:rFonts w:hint="default" w:ascii="Times New Roman" w:hAnsi="Times New Roman" w:eastAsia="仿宋_GB2312" w:cs="Times New Roman"/>
          <w:color w:val="auto"/>
          <w:kern w:val="0"/>
          <w:sz w:val="32"/>
          <w:szCs w:val="32"/>
          <w:lang w:val="en-US" w:eastAsia="zh-CN" w:bidi="ar-SA"/>
        </w:rPr>
        <w:t>补助6.84万元，占0.44%；其他行政事业单位医疗7.73万元，占0.5%；住房公积金94.12万元，占6.07%。</w:t>
      </w:r>
    </w:p>
    <w:p w14:paraId="6769BF36">
      <w:pPr>
        <w:keepNext w:val="0"/>
        <w:keepLines w:val="0"/>
        <w:pageBreakBefore w:val="0"/>
        <w:widowControl/>
        <w:kinsoku/>
        <w:wordWrap/>
        <w:overflowPunct/>
        <w:topLinePunct w:val="0"/>
        <w:autoSpaceDE/>
        <w:autoSpaceDN/>
        <w:bidi w:val="0"/>
        <w:adjustRightInd w:val="0"/>
        <w:snapToGrid w:val="0"/>
        <w:spacing w:line="600" w:lineRule="exact"/>
        <w:ind w:firstLine="643" w:firstLineChars="200"/>
        <w:contextualSpacing/>
        <w:jc w:val="left"/>
        <w:textAlignment w:val="auto"/>
        <w:rPr>
          <w:rFonts w:hint="default" w:ascii="Times New Roman" w:hAnsi="Times New Roman" w:eastAsia="楷体_GB2312" w:cs="Times New Roman"/>
          <w:b/>
          <w:bCs/>
          <w:color w:val="000000"/>
          <w:kern w:val="0"/>
          <w:sz w:val="32"/>
          <w:szCs w:val="32"/>
          <w:shd w:val="clear" w:color="auto" w:fill="FFFFFF"/>
          <w:lang w:val="zh-CN"/>
        </w:rPr>
      </w:pPr>
      <w:r>
        <w:rPr>
          <w:rFonts w:hint="default" w:ascii="Times New Roman" w:hAnsi="Times New Roman" w:eastAsia="楷体_GB2312" w:cs="Times New Roman"/>
          <w:b/>
          <w:bCs/>
          <w:color w:val="000000"/>
          <w:kern w:val="0"/>
          <w:sz w:val="32"/>
          <w:szCs w:val="32"/>
          <w:shd w:val="clear" w:color="auto" w:fill="FFFFFF"/>
          <w:lang w:val="zh-CN"/>
        </w:rPr>
        <w:t>（</w:t>
      </w:r>
      <w:r>
        <w:rPr>
          <w:rFonts w:hint="default" w:ascii="Times New Roman" w:hAnsi="Times New Roman" w:eastAsia="楷体_GB2312" w:cs="Times New Roman"/>
          <w:b/>
          <w:bCs/>
          <w:color w:val="000000"/>
          <w:kern w:val="0"/>
          <w:sz w:val="32"/>
          <w:szCs w:val="32"/>
          <w:shd w:val="clear" w:color="auto" w:fill="FFFFFF"/>
          <w:lang w:val="en-US" w:eastAsia="zh-CN"/>
        </w:rPr>
        <w:t>二</w:t>
      </w:r>
      <w:r>
        <w:rPr>
          <w:rFonts w:hint="default" w:ascii="Times New Roman" w:hAnsi="Times New Roman" w:eastAsia="楷体_GB2312" w:cs="Times New Roman"/>
          <w:b/>
          <w:bCs/>
          <w:color w:val="000000"/>
          <w:kern w:val="0"/>
          <w:sz w:val="32"/>
          <w:szCs w:val="32"/>
          <w:shd w:val="clear" w:color="auto" w:fill="FFFFFF"/>
          <w:lang w:val="zh-CN"/>
        </w:rPr>
        <w:t>）支出情况</w:t>
      </w:r>
    </w:p>
    <w:p w14:paraId="2F3DBF6C">
      <w:pPr>
        <w:keepNext w:val="0"/>
        <w:keepLines w:val="0"/>
        <w:pageBreakBefore w:val="0"/>
        <w:widowControl/>
        <w:kinsoku/>
        <w:wordWrap/>
        <w:overflowPunct/>
        <w:topLinePunct w:val="0"/>
        <w:autoSpaceDE/>
        <w:autoSpaceDN/>
        <w:bidi w:val="0"/>
        <w:adjustRightInd w:val="0"/>
        <w:snapToGrid w:val="0"/>
        <w:spacing w:line="600" w:lineRule="exact"/>
        <w:ind w:firstLine="640" w:firstLineChars="200"/>
        <w:contextualSpacing/>
        <w:jc w:val="both"/>
        <w:textAlignment w:val="auto"/>
        <w:rPr>
          <w:rFonts w:hint="default" w:ascii="Times New Roman" w:hAnsi="Times New Roman" w:eastAsia="仿宋_GB2312" w:cs="Times New Roman"/>
          <w:color w:val="auto"/>
          <w:kern w:val="0"/>
          <w:sz w:val="32"/>
          <w:szCs w:val="32"/>
          <w:lang w:val="en-US" w:eastAsia="zh-CN" w:bidi="ar-SA"/>
        </w:rPr>
      </w:pPr>
      <w:r>
        <w:rPr>
          <w:rFonts w:hint="default" w:ascii="Times New Roman" w:hAnsi="Times New Roman" w:eastAsia="仿宋_GB2312" w:cs="Times New Roman"/>
          <w:color w:val="auto"/>
          <w:kern w:val="0"/>
          <w:sz w:val="32"/>
          <w:szCs w:val="32"/>
          <w:lang w:val="zh-CN" w:eastAsia="zh-CN" w:bidi="ar-SA"/>
        </w:rPr>
        <w:t>攀枝花市社会保险事务中心202</w:t>
      </w:r>
      <w:r>
        <w:rPr>
          <w:rFonts w:hint="default" w:ascii="Times New Roman" w:hAnsi="Times New Roman" w:eastAsia="仿宋_GB2312" w:cs="Times New Roman"/>
          <w:color w:val="auto"/>
          <w:kern w:val="0"/>
          <w:sz w:val="32"/>
          <w:szCs w:val="32"/>
          <w:lang w:val="en-US" w:eastAsia="zh-CN" w:bidi="ar-SA"/>
        </w:rPr>
        <w:t>5</w:t>
      </w:r>
      <w:r>
        <w:rPr>
          <w:rFonts w:hint="default" w:ascii="Times New Roman" w:hAnsi="Times New Roman" w:eastAsia="仿宋_GB2312" w:cs="Times New Roman"/>
          <w:color w:val="auto"/>
          <w:kern w:val="0"/>
          <w:sz w:val="32"/>
          <w:szCs w:val="32"/>
          <w:lang w:val="zh-CN" w:eastAsia="zh-CN" w:bidi="ar-SA"/>
        </w:rPr>
        <w:t>年初预算支出</w:t>
      </w:r>
      <w:r>
        <w:rPr>
          <w:rFonts w:hint="default" w:ascii="Times New Roman" w:hAnsi="Times New Roman" w:eastAsia="仿宋_GB2312" w:cs="Times New Roman"/>
          <w:color w:val="auto"/>
          <w:kern w:val="0"/>
          <w:sz w:val="32"/>
          <w:szCs w:val="32"/>
          <w:lang w:val="en-US" w:eastAsia="zh-CN" w:bidi="ar-SA"/>
        </w:rPr>
        <w:t>1442.31万</w:t>
      </w:r>
      <w:r>
        <w:rPr>
          <w:rFonts w:hint="default" w:ascii="Times New Roman" w:hAnsi="Times New Roman" w:eastAsia="仿宋_GB2312" w:cs="Times New Roman"/>
          <w:color w:val="auto"/>
          <w:kern w:val="0"/>
          <w:sz w:val="32"/>
          <w:szCs w:val="32"/>
          <w:lang w:val="zh-CN" w:eastAsia="zh-CN" w:bidi="ar-SA"/>
        </w:rPr>
        <w:t>元。202</w:t>
      </w:r>
      <w:r>
        <w:rPr>
          <w:rFonts w:hint="default" w:ascii="Times New Roman" w:hAnsi="Times New Roman" w:eastAsia="仿宋_GB2312" w:cs="Times New Roman"/>
          <w:color w:val="auto"/>
          <w:kern w:val="0"/>
          <w:sz w:val="32"/>
          <w:szCs w:val="32"/>
          <w:lang w:val="en-US" w:eastAsia="zh-CN" w:bidi="ar-SA"/>
        </w:rPr>
        <w:t>5</w:t>
      </w:r>
      <w:r>
        <w:rPr>
          <w:rFonts w:hint="default" w:ascii="Times New Roman" w:hAnsi="Times New Roman" w:eastAsia="仿宋_GB2312" w:cs="Times New Roman"/>
          <w:color w:val="auto"/>
          <w:kern w:val="0"/>
          <w:sz w:val="32"/>
          <w:szCs w:val="32"/>
          <w:lang w:val="zh-CN" w:eastAsia="zh-CN" w:bidi="ar-SA"/>
        </w:rPr>
        <w:t>年决算报表中本年支出</w:t>
      </w:r>
      <w:r>
        <w:rPr>
          <w:rFonts w:hint="default" w:ascii="Times New Roman" w:hAnsi="Times New Roman" w:eastAsia="仿宋_GB2312" w:cs="Times New Roman"/>
          <w:color w:val="auto"/>
          <w:kern w:val="0"/>
          <w:sz w:val="32"/>
          <w:szCs w:val="32"/>
          <w:lang w:val="en-US" w:eastAsia="zh-CN" w:bidi="ar-SA"/>
        </w:rPr>
        <w:t>1550.82万</w:t>
      </w:r>
      <w:r>
        <w:rPr>
          <w:rFonts w:hint="default" w:ascii="Times New Roman" w:hAnsi="Times New Roman" w:eastAsia="仿宋_GB2312" w:cs="Times New Roman"/>
          <w:color w:val="auto"/>
          <w:kern w:val="0"/>
          <w:sz w:val="32"/>
          <w:szCs w:val="32"/>
          <w:lang w:val="zh-CN" w:eastAsia="zh-CN" w:bidi="ar-SA"/>
        </w:rPr>
        <w:t>元，其中：其他组织事务支出</w:t>
      </w:r>
      <w:r>
        <w:rPr>
          <w:rFonts w:hint="default" w:ascii="Times New Roman" w:hAnsi="Times New Roman" w:eastAsia="仿宋_GB2312" w:cs="Times New Roman"/>
          <w:color w:val="auto"/>
          <w:kern w:val="0"/>
          <w:sz w:val="32"/>
          <w:szCs w:val="32"/>
          <w:lang w:val="en-US" w:eastAsia="zh-CN" w:bidi="ar-SA"/>
        </w:rPr>
        <w:t>13.69万元，占0.88%；</w:t>
      </w:r>
      <w:r>
        <w:rPr>
          <w:rFonts w:hint="default" w:ascii="Times New Roman" w:hAnsi="Times New Roman" w:eastAsia="仿宋_GB2312" w:cs="Times New Roman"/>
          <w:color w:val="auto"/>
          <w:kern w:val="0"/>
          <w:sz w:val="32"/>
          <w:szCs w:val="32"/>
          <w:lang w:val="zh-CN" w:eastAsia="zh-CN" w:bidi="ar-SA"/>
        </w:rPr>
        <w:t>行政运行</w:t>
      </w:r>
      <w:r>
        <w:rPr>
          <w:rFonts w:hint="default" w:ascii="Times New Roman" w:hAnsi="Times New Roman" w:eastAsia="仿宋_GB2312" w:cs="Times New Roman"/>
          <w:color w:val="auto"/>
          <w:kern w:val="0"/>
          <w:sz w:val="32"/>
          <w:szCs w:val="32"/>
          <w:lang w:val="en-US" w:eastAsia="zh-CN" w:bidi="ar-SA"/>
        </w:rPr>
        <w:t>991.49万元，</w:t>
      </w:r>
      <w:r>
        <w:rPr>
          <w:rFonts w:hint="default" w:ascii="Times New Roman" w:hAnsi="Times New Roman" w:eastAsia="仿宋_GB2312" w:cs="Times New Roman"/>
          <w:color w:val="auto"/>
          <w:kern w:val="0"/>
          <w:sz w:val="32"/>
          <w:szCs w:val="32"/>
          <w:lang w:val="zh-CN" w:eastAsia="zh-CN" w:bidi="ar-SA"/>
        </w:rPr>
        <w:t>占6</w:t>
      </w:r>
      <w:r>
        <w:rPr>
          <w:rFonts w:hint="default" w:ascii="Times New Roman" w:hAnsi="Times New Roman" w:eastAsia="仿宋_GB2312" w:cs="Times New Roman"/>
          <w:color w:val="auto"/>
          <w:kern w:val="0"/>
          <w:sz w:val="32"/>
          <w:szCs w:val="32"/>
          <w:lang w:val="en-US" w:eastAsia="zh-CN" w:bidi="ar-SA"/>
        </w:rPr>
        <w:t>3.93</w:t>
      </w:r>
      <w:r>
        <w:rPr>
          <w:rFonts w:hint="default" w:ascii="Times New Roman" w:hAnsi="Times New Roman" w:eastAsia="仿宋_GB2312" w:cs="Times New Roman"/>
          <w:color w:val="auto"/>
          <w:kern w:val="0"/>
          <w:sz w:val="32"/>
          <w:szCs w:val="32"/>
          <w:lang w:val="zh-CN" w:eastAsia="zh-CN" w:bidi="ar-SA"/>
        </w:rPr>
        <w:t>%；社会保险经办机构</w:t>
      </w:r>
      <w:r>
        <w:rPr>
          <w:rFonts w:hint="default" w:ascii="Times New Roman" w:hAnsi="Times New Roman" w:eastAsia="仿宋_GB2312" w:cs="Times New Roman"/>
          <w:color w:val="auto"/>
          <w:kern w:val="0"/>
          <w:sz w:val="32"/>
          <w:szCs w:val="32"/>
          <w:lang w:val="en-US" w:eastAsia="zh-CN" w:bidi="ar-SA"/>
        </w:rPr>
        <w:t>140.59万元，</w:t>
      </w:r>
      <w:r>
        <w:rPr>
          <w:rFonts w:hint="default" w:ascii="Times New Roman" w:hAnsi="Times New Roman" w:eastAsia="仿宋_GB2312" w:cs="Times New Roman"/>
          <w:color w:val="auto"/>
          <w:kern w:val="0"/>
          <w:sz w:val="32"/>
          <w:szCs w:val="32"/>
          <w:lang w:val="zh-CN" w:eastAsia="zh-CN" w:bidi="ar-SA"/>
        </w:rPr>
        <w:t>占</w:t>
      </w:r>
      <w:r>
        <w:rPr>
          <w:rFonts w:hint="default" w:ascii="Times New Roman" w:hAnsi="Times New Roman" w:eastAsia="仿宋_GB2312" w:cs="Times New Roman"/>
          <w:color w:val="auto"/>
          <w:kern w:val="0"/>
          <w:sz w:val="32"/>
          <w:szCs w:val="32"/>
          <w:lang w:val="en-US" w:eastAsia="zh-CN" w:bidi="ar-SA"/>
        </w:rPr>
        <w:t>9.07</w:t>
      </w:r>
      <w:r>
        <w:rPr>
          <w:rFonts w:hint="default" w:ascii="Times New Roman" w:hAnsi="Times New Roman" w:eastAsia="仿宋_GB2312" w:cs="Times New Roman"/>
          <w:color w:val="auto"/>
          <w:kern w:val="0"/>
          <w:sz w:val="32"/>
          <w:szCs w:val="32"/>
          <w:lang w:val="zh-CN" w:eastAsia="zh-CN" w:bidi="ar-SA"/>
        </w:rPr>
        <w:t>%；行政单位离退休</w:t>
      </w:r>
      <w:r>
        <w:rPr>
          <w:rFonts w:hint="default" w:ascii="Times New Roman" w:hAnsi="Times New Roman" w:eastAsia="仿宋_GB2312" w:cs="Times New Roman"/>
          <w:color w:val="auto"/>
          <w:kern w:val="0"/>
          <w:sz w:val="32"/>
          <w:szCs w:val="32"/>
          <w:lang w:val="en-US" w:eastAsia="zh-CN" w:bidi="ar-SA"/>
        </w:rPr>
        <w:t>103.77万元，</w:t>
      </w:r>
      <w:r>
        <w:rPr>
          <w:rFonts w:hint="default" w:ascii="Times New Roman" w:hAnsi="Times New Roman" w:eastAsia="仿宋_GB2312" w:cs="Times New Roman"/>
          <w:color w:val="auto"/>
          <w:kern w:val="0"/>
          <w:sz w:val="32"/>
          <w:szCs w:val="32"/>
          <w:lang w:val="zh-CN" w:eastAsia="zh-CN" w:bidi="ar-SA"/>
        </w:rPr>
        <w:t>占</w:t>
      </w:r>
      <w:r>
        <w:rPr>
          <w:rFonts w:hint="default" w:ascii="Times New Roman" w:hAnsi="Times New Roman" w:eastAsia="仿宋_GB2312" w:cs="Times New Roman"/>
          <w:color w:val="auto"/>
          <w:kern w:val="0"/>
          <w:sz w:val="32"/>
          <w:szCs w:val="32"/>
          <w:lang w:val="en-US" w:eastAsia="zh-CN" w:bidi="ar-SA"/>
        </w:rPr>
        <w:t>6.69</w:t>
      </w:r>
      <w:r>
        <w:rPr>
          <w:rFonts w:hint="default" w:ascii="Times New Roman" w:hAnsi="Times New Roman" w:eastAsia="仿宋_GB2312" w:cs="Times New Roman"/>
          <w:color w:val="auto"/>
          <w:kern w:val="0"/>
          <w:sz w:val="32"/>
          <w:szCs w:val="32"/>
          <w:lang w:val="zh-CN" w:eastAsia="zh-CN" w:bidi="ar-SA"/>
        </w:rPr>
        <w:t>%；机关事业单位基本养老保险缴费</w:t>
      </w:r>
      <w:r>
        <w:rPr>
          <w:rFonts w:hint="default" w:ascii="Times New Roman" w:hAnsi="Times New Roman" w:eastAsia="仿宋_GB2312" w:cs="Times New Roman"/>
          <w:color w:val="auto"/>
          <w:kern w:val="0"/>
          <w:sz w:val="32"/>
          <w:szCs w:val="32"/>
          <w:lang w:val="en-US" w:eastAsia="zh-CN" w:bidi="ar-SA"/>
        </w:rPr>
        <w:t>115.07万元，</w:t>
      </w:r>
      <w:r>
        <w:rPr>
          <w:rFonts w:hint="default" w:ascii="Times New Roman" w:hAnsi="Times New Roman" w:eastAsia="仿宋_GB2312" w:cs="Times New Roman"/>
          <w:color w:val="auto"/>
          <w:kern w:val="0"/>
          <w:sz w:val="32"/>
          <w:szCs w:val="32"/>
          <w:lang w:val="zh-CN" w:eastAsia="zh-CN" w:bidi="ar-SA"/>
        </w:rPr>
        <w:t>占</w:t>
      </w:r>
      <w:r>
        <w:rPr>
          <w:rFonts w:hint="default" w:ascii="Times New Roman" w:hAnsi="Times New Roman" w:eastAsia="仿宋_GB2312" w:cs="Times New Roman"/>
          <w:color w:val="auto"/>
          <w:kern w:val="0"/>
          <w:sz w:val="32"/>
          <w:szCs w:val="32"/>
          <w:lang w:val="en-US" w:eastAsia="zh-CN" w:bidi="ar-SA"/>
        </w:rPr>
        <w:t>7.42</w:t>
      </w:r>
      <w:r>
        <w:rPr>
          <w:rFonts w:hint="default" w:ascii="Times New Roman" w:hAnsi="Times New Roman" w:eastAsia="仿宋_GB2312" w:cs="Times New Roman"/>
          <w:color w:val="auto"/>
          <w:kern w:val="0"/>
          <w:sz w:val="32"/>
          <w:szCs w:val="32"/>
          <w:lang w:val="zh-CN" w:eastAsia="zh-CN" w:bidi="ar-SA"/>
        </w:rPr>
        <w:t>%；机关事业单位职业年金缴费</w:t>
      </w:r>
      <w:r>
        <w:rPr>
          <w:rFonts w:hint="default" w:ascii="Times New Roman" w:hAnsi="Times New Roman" w:eastAsia="仿宋_GB2312" w:cs="Times New Roman"/>
          <w:color w:val="auto"/>
          <w:kern w:val="0"/>
          <w:sz w:val="32"/>
          <w:szCs w:val="32"/>
          <w:lang w:val="en-US" w:eastAsia="zh-CN" w:bidi="ar-SA"/>
        </w:rPr>
        <w:t>16.16万元，</w:t>
      </w:r>
      <w:r>
        <w:rPr>
          <w:rFonts w:hint="default" w:ascii="Times New Roman" w:hAnsi="Times New Roman" w:eastAsia="仿宋_GB2312" w:cs="Times New Roman"/>
          <w:color w:val="auto"/>
          <w:kern w:val="0"/>
          <w:sz w:val="32"/>
          <w:szCs w:val="32"/>
          <w:lang w:val="zh-CN" w:eastAsia="zh-CN" w:bidi="ar-SA"/>
        </w:rPr>
        <w:t>占</w:t>
      </w:r>
      <w:r>
        <w:rPr>
          <w:rFonts w:hint="default" w:ascii="Times New Roman" w:hAnsi="Times New Roman" w:eastAsia="仿宋_GB2312" w:cs="Times New Roman"/>
          <w:color w:val="auto"/>
          <w:kern w:val="0"/>
          <w:sz w:val="32"/>
          <w:szCs w:val="32"/>
          <w:lang w:val="en-US" w:eastAsia="zh-CN" w:bidi="ar-SA"/>
        </w:rPr>
        <w:t>1.04</w:t>
      </w:r>
      <w:r>
        <w:rPr>
          <w:rFonts w:hint="default" w:ascii="Times New Roman" w:hAnsi="Times New Roman" w:eastAsia="仿宋_GB2312" w:cs="Times New Roman"/>
          <w:color w:val="auto"/>
          <w:kern w:val="0"/>
          <w:sz w:val="32"/>
          <w:szCs w:val="32"/>
          <w:lang w:val="zh-CN" w:eastAsia="zh-CN" w:bidi="ar-SA"/>
        </w:rPr>
        <w:t>%；行政单位医疗</w:t>
      </w:r>
      <w:r>
        <w:rPr>
          <w:rFonts w:hint="default" w:ascii="Times New Roman" w:hAnsi="Times New Roman" w:eastAsia="仿宋_GB2312" w:cs="Times New Roman"/>
          <w:color w:val="auto"/>
          <w:kern w:val="0"/>
          <w:sz w:val="32"/>
          <w:szCs w:val="32"/>
          <w:lang w:val="en-US" w:eastAsia="zh-CN" w:bidi="ar-SA"/>
        </w:rPr>
        <w:t>61.36万元，</w:t>
      </w:r>
      <w:r>
        <w:rPr>
          <w:rFonts w:hint="default" w:ascii="Times New Roman" w:hAnsi="Times New Roman" w:eastAsia="仿宋_GB2312" w:cs="Times New Roman"/>
          <w:color w:val="auto"/>
          <w:kern w:val="0"/>
          <w:sz w:val="32"/>
          <w:szCs w:val="32"/>
          <w:lang w:val="zh-CN" w:eastAsia="zh-CN" w:bidi="ar-SA"/>
        </w:rPr>
        <w:t>占</w:t>
      </w:r>
      <w:r>
        <w:rPr>
          <w:rFonts w:hint="default" w:ascii="Times New Roman" w:hAnsi="Times New Roman" w:eastAsia="仿宋_GB2312" w:cs="Times New Roman"/>
          <w:color w:val="auto"/>
          <w:kern w:val="0"/>
          <w:sz w:val="32"/>
          <w:szCs w:val="32"/>
          <w:lang w:val="en-US" w:eastAsia="zh-CN" w:bidi="ar-SA"/>
        </w:rPr>
        <w:t>3.96</w:t>
      </w:r>
      <w:r>
        <w:rPr>
          <w:rFonts w:hint="default" w:ascii="Times New Roman" w:hAnsi="Times New Roman" w:eastAsia="仿宋_GB2312" w:cs="Times New Roman"/>
          <w:color w:val="auto"/>
          <w:kern w:val="0"/>
          <w:sz w:val="32"/>
          <w:szCs w:val="32"/>
          <w:lang w:val="zh-CN" w:eastAsia="zh-CN" w:bidi="ar-SA"/>
        </w:rPr>
        <w:t>%；公务员医疗</w:t>
      </w:r>
      <w:r>
        <w:rPr>
          <w:rFonts w:hint="default" w:ascii="Times New Roman" w:hAnsi="Times New Roman" w:eastAsia="仿宋_GB2312" w:cs="Times New Roman"/>
          <w:color w:val="auto"/>
          <w:kern w:val="0"/>
          <w:sz w:val="32"/>
          <w:szCs w:val="32"/>
          <w:lang w:val="en-US" w:eastAsia="zh-CN" w:bidi="ar-SA"/>
        </w:rPr>
        <w:t>补助6.84万元，占0.44%；其他行政事业单位医疗7.73万元，占0.5%；住房公积金94.12万元，占6.07%。</w:t>
      </w:r>
    </w:p>
    <w:p w14:paraId="0ABF4BB5">
      <w:pPr>
        <w:keepNext w:val="0"/>
        <w:keepLines w:val="0"/>
        <w:pageBreakBefore w:val="0"/>
        <w:widowControl/>
        <w:kinsoku/>
        <w:wordWrap/>
        <w:overflowPunct/>
        <w:topLinePunct w:val="0"/>
        <w:autoSpaceDE/>
        <w:autoSpaceDN/>
        <w:bidi w:val="0"/>
        <w:adjustRightInd w:val="0"/>
        <w:snapToGrid w:val="0"/>
        <w:spacing w:line="600" w:lineRule="exact"/>
        <w:ind w:firstLine="640" w:firstLineChars="200"/>
        <w:contextualSpacing/>
        <w:jc w:val="both"/>
        <w:textAlignment w:val="auto"/>
        <w:rPr>
          <w:rFonts w:hint="default" w:ascii="Times New Roman" w:hAnsi="Times New Roman" w:eastAsia="仿宋_GB2312" w:cs="Times New Roman"/>
          <w:color w:val="auto"/>
          <w:kern w:val="0"/>
          <w:sz w:val="32"/>
          <w:szCs w:val="32"/>
          <w:lang w:val="en-US" w:eastAsia="zh-CN" w:bidi="ar-SA"/>
        </w:rPr>
      </w:pPr>
      <w:r>
        <w:rPr>
          <w:rFonts w:hint="default" w:ascii="Times New Roman" w:hAnsi="Times New Roman" w:eastAsia="仿宋_GB2312" w:cs="Times New Roman"/>
          <w:color w:val="auto"/>
          <w:kern w:val="0"/>
          <w:sz w:val="32"/>
          <w:szCs w:val="32"/>
          <w:lang w:val="zh-CN" w:eastAsia="zh-CN" w:bidi="ar-SA"/>
        </w:rPr>
        <w:t>2025年，市社会保险事务中心认真落实各项</w:t>
      </w:r>
      <w:r>
        <w:rPr>
          <w:rFonts w:hint="default" w:ascii="Times New Roman" w:hAnsi="Times New Roman" w:eastAsia="仿宋_GB2312" w:cs="Times New Roman"/>
          <w:color w:val="auto"/>
          <w:kern w:val="0"/>
          <w:sz w:val="32"/>
          <w:szCs w:val="32"/>
          <w:lang w:val="en-US" w:eastAsia="zh-CN" w:bidi="ar-SA"/>
        </w:rPr>
        <w:t>社保</w:t>
      </w:r>
      <w:r>
        <w:rPr>
          <w:rFonts w:hint="default" w:ascii="Times New Roman" w:hAnsi="Times New Roman" w:eastAsia="仿宋_GB2312" w:cs="Times New Roman"/>
          <w:color w:val="auto"/>
          <w:kern w:val="0"/>
          <w:sz w:val="32"/>
          <w:szCs w:val="32"/>
          <w:lang w:val="zh-CN" w:eastAsia="zh-CN" w:bidi="ar-SA"/>
        </w:rPr>
        <w:t>经办任务，坚持保发放、拓扩面、优服务、防风险、促发展，持续推进社保经办精细化、规范化、数字化、智能化、专业化建设，兜住、兜准、兜牢民生底线，为高质量发展建设共同富裕试验区提供坚强保障。</w:t>
      </w:r>
    </w:p>
    <w:p w14:paraId="77270BDA">
      <w:pPr>
        <w:keepNext w:val="0"/>
        <w:keepLines w:val="0"/>
        <w:pageBreakBefore w:val="0"/>
        <w:widowControl/>
        <w:kinsoku/>
        <w:wordWrap/>
        <w:overflowPunct/>
        <w:topLinePunct w:val="0"/>
        <w:autoSpaceDE/>
        <w:autoSpaceDN/>
        <w:bidi w:val="0"/>
        <w:adjustRightInd w:val="0"/>
        <w:snapToGrid w:val="0"/>
        <w:spacing w:line="600" w:lineRule="exact"/>
        <w:ind w:firstLine="643" w:firstLineChars="200"/>
        <w:contextualSpacing/>
        <w:jc w:val="both"/>
        <w:textAlignment w:val="auto"/>
        <w:rPr>
          <w:rFonts w:hint="default" w:ascii="Times New Roman" w:hAnsi="Times New Roman" w:eastAsia="仿宋_GB2312" w:cs="Times New Roman"/>
          <w:color w:val="auto"/>
          <w:kern w:val="0"/>
          <w:sz w:val="32"/>
          <w:szCs w:val="32"/>
          <w:lang w:val="en-US" w:eastAsia="zh-CN" w:bidi="ar-SA"/>
        </w:rPr>
      </w:pPr>
      <w:r>
        <w:rPr>
          <w:rFonts w:hint="default" w:ascii="Times New Roman" w:hAnsi="Times New Roman" w:eastAsia="仿宋_GB2312" w:cs="Times New Roman"/>
          <w:b/>
          <w:bCs/>
          <w:color w:val="auto"/>
          <w:kern w:val="0"/>
          <w:sz w:val="32"/>
          <w:szCs w:val="32"/>
          <w:lang w:val="en-US" w:eastAsia="zh-CN" w:bidi="ar-SA"/>
        </w:rPr>
        <w:t>1.全力提升社会保险覆盖面。</w:t>
      </w:r>
      <w:r>
        <w:rPr>
          <w:rFonts w:hint="default" w:ascii="Times New Roman" w:hAnsi="Times New Roman" w:eastAsia="仿宋_GB2312" w:cs="Times New Roman"/>
          <w:color w:val="auto"/>
          <w:kern w:val="0"/>
          <w:sz w:val="32"/>
          <w:szCs w:val="32"/>
          <w:lang w:val="en-US" w:eastAsia="zh-CN" w:bidi="ar-SA"/>
        </w:rPr>
        <w:t>加大社会保险扩面力度，</w:t>
      </w:r>
      <w:r>
        <w:rPr>
          <w:rFonts w:hint="default" w:ascii="Times New Roman" w:hAnsi="Times New Roman" w:eastAsia="仿宋_GB2312" w:cs="Times New Roman"/>
          <w:color w:val="auto"/>
          <w:kern w:val="0"/>
          <w:sz w:val="32"/>
          <w:szCs w:val="32"/>
          <w:lang w:val="zh-CN" w:eastAsia="zh-CN" w:bidi="ar-SA"/>
        </w:rPr>
        <w:t>积极掌握参保人员底数，督促用人单位依法为职工参加社会保险，持续做好新就业形态就业人员、灵活就业人员、农民工等重点群体精准扩面。继续推进落实基层快递网点优先参加工伤保险政策，持续做好公务员、参公事业单位人员参加工伤保险经办工作。</w:t>
      </w:r>
      <w:r>
        <w:rPr>
          <w:rFonts w:hint="default" w:ascii="Times New Roman" w:hAnsi="Times New Roman" w:eastAsia="仿宋_GB2312" w:cs="Times New Roman"/>
          <w:color w:val="auto"/>
          <w:kern w:val="0"/>
          <w:sz w:val="32"/>
          <w:szCs w:val="32"/>
          <w:lang w:val="en-US" w:eastAsia="zh-CN" w:bidi="ar-SA"/>
        </w:rPr>
        <w:t>全市被征地农民和退捕渔民做到“应保尽保”。</w:t>
      </w:r>
    </w:p>
    <w:p w14:paraId="1DA21BA9">
      <w:pPr>
        <w:keepNext w:val="0"/>
        <w:keepLines w:val="0"/>
        <w:pageBreakBefore w:val="0"/>
        <w:widowControl/>
        <w:kinsoku/>
        <w:wordWrap/>
        <w:overflowPunct/>
        <w:topLinePunct w:val="0"/>
        <w:autoSpaceDE/>
        <w:autoSpaceDN/>
        <w:bidi w:val="0"/>
        <w:adjustRightInd w:val="0"/>
        <w:snapToGrid w:val="0"/>
        <w:spacing w:line="600" w:lineRule="exact"/>
        <w:ind w:firstLine="643" w:firstLineChars="200"/>
        <w:contextualSpacing/>
        <w:jc w:val="both"/>
        <w:textAlignment w:val="auto"/>
        <w:rPr>
          <w:rFonts w:hint="default" w:ascii="Times New Roman" w:hAnsi="Times New Roman" w:eastAsia="仿宋_GB2312" w:cs="Times New Roman"/>
          <w:color w:val="auto"/>
          <w:kern w:val="0"/>
          <w:sz w:val="32"/>
          <w:szCs w:val="32"/>
          <w:lang w:val="en-US" w:eastAsia="zh-CN" w:bidi="ar-SA"/>
        </w:rPr>
      </w:pPr>
      <w:r>
        <w:rPr>
          <w:rFonts w:hint="default" w:ascii="Times New Roman" w:hAnsi="Times New Roman" w:eastAsia="仿宋_GB2312" w:cs="Times New Roman"/>
          <w:b/>
          <w:bCs/>
          <w:color w:val="auto"/>
          <w:kern w:val="0"/>
          <w:sz w:val="32"/>
          <w:szCs w:val="32"/>
          <w:lang w:val="zh-CN" w:eastAsia="zh-CN" w:bidi="ar-SA"/>
        </w:rPr>
        <w:t>2.深化社保帮扶助力乡村振兴。</w:t>
      </w:r>
      <w:r>
        <w:rPr>
          <w:rFonts w:hint="default" w:ascii="Times New Roman" w:hAnsi="Times New Roman" w:eastAsia="仿宋_GB2312" w:cs="Times New Roman"/>
          <w:color w:val="auto"/>
          <w:kern w:val="0"/>
          <w:sz w:val="32"/>
          <w:szCs w:val="32"/>
          <w:lang w:val="en-US" w:eastAsia="zh-CN" w:bidi="ar-SA"/>
        </w:rPr>
        <w:t>完善城乡居民基本养老保险帮扶政策，对困难群体代缴城乡居民养老保险费，继续巩固乡村振兴成果。为全市低保对象、特困人员、重度残疾人、原建档立卡贫困人员等困难群体代缴养老保险费，代缴率100%。</w:t>
      </w:r>
    </w:p>
    <w:p w14:paraId="2253850F">
      <w:pPr>
        <w:keepNext w:val="0"/>
        <w:keepLines w:val="0"/>
        <w:pageBreakBefore w:val="0"/>
        <w:widowControl/>
        <w:kinsoku/>
        <w:wordWrap/>
        <w:overflowPunct/>
        <w:topLinePunct w:val="0"/>
        <w:autoSpaceDE/>
        <w:autoSpaceDN/>
        <w:bidi w:val="0"/>
        <w:adjustRightInd w:val="0"/>
        <w:snapToGrid w:val="0"/>
        <w:spacing w:line="600" w:lineRule="exact"/>
        <w:ind w:firstLine="643" w:firstLineChars="200"/>
        <w:contextualSpacing/>
        <w:jc w:val="both"/>
        <w:textAlignment w:val="auto"/>
        <w:rPr>
          <w:rFonts w:hint="default" w:ascii="Times New Roman" w:hAnsi="Times New Roman" w:eastAsia="仿宋_GB2312" w:cs="Times New Roman"/>
          <w:color w:val="auto"/>
          <w:kern w:val="0"/>
          <w:sz w:val="32"/>
          <w:szCs w:val="32"/>
          <w:lang w:val="en-US" w:eastAsia="zh-CN" w:bidi="ar-SA"/>
        </w:rPr>
      </w:pPr>
      <w:r>
        <w:rPr>
          <w:rFonts w:hint="default" w:ascii="Times New Roman" w:hAnsi="Times New Roman" w:eastAsia="仿宋_GB2312" w:cs="Times New Roman"/>
          <w:b/>
          <w:bCs/>
          <w:color w:val="auto"/>
          <w:kern w:val="0"/>
          <w:sz w:val="32"/>
          <w:szCs w:val="32"/>
          <w:lang w:val="en-US" w:eastAsia="zh-CN" w:bidi="ar-SA"/>
        </w:rPr>
        <w:t>3.多渠道筹资促进养老缴费提质增效。</w:t>
      </w:r>
      <w:r>
        <w:rPr>
          <w:rFonts w:hint="default" w:ascii="Times New Roman" w:hAnsi="Times New Roman" w:eastAsia="仿宋_GB2312" w:cs="Times New Roman"/>
          <w:color w:val="auto"/>
          <w:kern w:val="0"/>
          <w:sz w:val="32"/>
          <w:szCs w:val="32"/>
          <w:lang w:val="en-US" w:eastAsia="zh-CN" w:bidi="ar-SA"/>
        </w:rPr>
        <w:t>开展集体经济补助城乡居民基本养老保险参保缴费试点工作，有效提升参保居民的缴费积极性和村集体凝聚力，助推攀枝花市共同富裕试验区建设。</w:t>
      </w:r>
    </w:p>
    <w:p w14:paraId="6C3C7313">
      <w:pPr>
        <w:keepNext w:val="0"/>
        <w:keepLines w:val="0"/>
        <w:pageBreakBefore w:val="0"/>
        <w:widowControl/>
        <w:kinsoku/>
        <w:wordWrap/>
        <w:overflowPunct/>
        <w:topLinePunct w:val="0"/>
        <w:autoSpaceDE/>
        <w:autoSpaceDN/>
        <w:bidi w:val="0"/>
        <w:adjustRightInd w:val="0"/>
        <w:snapToGrid w:val="0"/>
        <w:spacing w:line="600" w:lineRule="exact"/>
        <w:ind w:firstLine="643" w:firstLineChars="200"/>
        <w:contextualSpacing/>
        <w:jc w:val="both"/>
        <w:textAlignment w:val="auto"/>
        <w:rPr>
          <w:rFonts w:hint="default" w:ascii="Times New Roman" w:hAnsi="Times New Roman" w:eastAsia="仿宋_GB2312" w:cs="Times New Roman"/>
          <w:color w:val="auto"/>
          <w:kern w:val="0"/>
          <w:sz w:val="32"/>
          <w:szCs w:val="32"/>
          <w:lang w:val="en-US" w:eastAsia="zh-CN" w:bidi="ar-SA"/>
        </w:rPr>
      </w:pPr>
      <w:r>
        <w:rPr>
          <w:rFonts w:hint="default" w:ascii="Times New Roman" w:hAnsi="Times New Roman" w:eastAsia="仿宋_GB2312" w:cs="Times New Roman"/>
          <w:b/>
          <w:bCs/>
          <w:color w:val="auto"/>
          <w:kern w:val="0"/>
          <w:sz w:val="32"/>
          <w:szCs w:val="32"/>
          <w:lang w:val="en-US" w:eastAsia="zh-CN" w:bidi="ar-SA"/>
        </w:rPr>
        <w:t>4.保障社保待遇按时足额发放。</w:t>
      </w:r>
      <w:r>
        <w:rPr>
          <w:rFonts w:hint="default" w:ascii="Times New Roman" w:hAnsi="Times New Roman" w:eastAsia="仿宋_GB2312" w:cs="Times New Roman"/>
          <w:color w:val="auto"/>
          <w:kern w:val="0"/>
          <w:sz w:val="32"/>
          <w:szCs w:val="32"/>
          <w:lang w:val="en-US" w:eastAsia="zh-CN" w:bidi="ar-SA"/>
        </w:rPr>
        <w:t>积极向上争取资金支持，保障退休人员基本养老金和工伤人员待遇按时足额发放。稳步提高社会保险待遇水平，</w:t>
      </w:r>
      <w:r>
        <w:rPr>
          <w:rFonts w:hint="default" w:ascii="Times New Roman" w:hAnsi="Times New Roman" w:eastAsia="仿宋_GB2312" w:cs="Times New Roman"/>
          <w:color w:val="auto"/>
          <w:kern w:val="0"/>
          <w:sz w:val="32"/>
          <w:szCs w:val="32"/>
          <w:lang w:val="zh-CN" w:eastAsia="zh-CN" w:bidi="ar-SA"/>
        </w:rPr>
        <w:t>深化社保待遇精细化管理。</w:t>
      </w:r>
    </w:p>
    <w:p w14:paraId="56846650">
      <w:pPr>
        <w:keepNext w:val="0"/>
        <w:keepLines w:val="0"/>
        <w:pageBreakBefore w:val="0"/>
        <w:widowControl/>
        <w:kinsoku/>
        <w:wordWrap/>
        <w:overflowPunct/>
        <w:topLinePunct w:val="0"/>
        <w:autoSpaceDE/>
        <w:autoSpaceDN/>
        <w:bidi w:val="0"/>
        <w:adjustRightInd w:val="0"/>
        <w:snapToGrid w:val="0"/>
        <w:spacing w:line="600" w:lineRule="exact"/>
        <w:ind w:firstLine="643" w:firstLineChars="200"/>
        <w:contextualSpacing/>
        <w:jc w:val="both"/>
        <w:textAlignment w:val="auto"/>
        <w:rPr>
          <w:rFonts w:hint="default" w:ascii="Times New Roman" w:hAnsi="Times New Roman" w:eastAsia="仿宋_GB2312" w:cs="Times New Roman"/>
          <w:color w:val="auto"/>
          <w:kern w:val="0"/>
          <w:sz w:val="32"/>
          <w:szCs w:val="32"/>
          <w:lang w:val="en-US" w:eastAsia="zh-CN" w:bidi="ar-SA"/>
        </w:rPr>
      </w:pPr>
      <w:r>
        <w:rPr>
          <w:rFonts w:hint="default" w:ascii="Times New Roman" w:hAnsi="Times New Roman" w:eastAsia="仿宋_GB2312" w:cs="Times New Roman"/>
          <w:b/>
          <w:bCs/>
          <w:color w:val="auto"/>
          <w:kern w:val="0"/>
          <w:sz w:val="32"/>
          <w:szCs w:val="32"/>
          <w:lang w:val="en-US" w:eastAsia="zh-CN" w:bidi="ar-SA"/>
        </w:rPr>
        <w:t>5</w:t>
      </w:r>
      <w:r>
        <w:rPr>
          <w:rFonts w:hint="default" w:ascii="Times New Roman" w:hAnsi="Times New Roman" w:eastAsia="仿宋_GB2312" w:cs="Times New Roman"/>
          <w:b/>
          <w:bCs/>
          <w:color w:val="auto"/>
          <w:kern w:val="0"/>
          <w:sz w:val="32"/>
          <w:szCs w:val="32"/>
          <w:lang w:val="zh-CN" w:eastAsia="zh-CN" w:bidi="ar-SA"/>
        </w:rPr>
        <w:t>.有序落实渐进式延迟法定退休年龄改革与企业职工养老保险全国统筹。</w:t>
      </w:r>
      <w:r>
        <w:rPr>
          <w:rFonts w:hint="default" w:ascii="Times New Roman" w:hAnsi="Times New Roman" w:eastAsia="仿宋_GB2312" w:cs="Times New Roman"/>
          <w:color w:val="auto"/>
          <w:kern w:val="0"/>
          <w:sz w:val="32"/>
          <w:szCs w:val="32"/>
          <w:lang w:val="en-US" w:eastAsia="zh-CN" w:bidi="ar-SA"/>
        </w:rPr>
        <w:t>扎实做好政策宣传、人员培训、信访维稳等工作，统一政策解释口径，建立应急处置机制，增强群众对延迟退休改革的理解，确保延迟退休政策有序落地。紧密跟进我省企业职工基本养老保险新政策及女性灵活就业人员延迟退休政策制定情况，同时加强与企业沟通协调及对县区的政策指导，力争平稳过渡。</w:t>
      </w:r>
    </w:p>
    <w:p w14:paraId="7B46E8FE">
      <w:pPr>
        <w:keepNext w:val="0"/>
        <w:keepLines w:val="0"/>
        <w:pageBreakBefore w:val="0"/>
        <w:widowControl/>
        <w:kinsoku/>
        <w:wordWrap/>
        <w:overflowPunct/>
        <w:topLinePunct w:val="0"/>
        <w:autoSpaceDE/>
        <w:autoSpaceDN/>
        <w:bidi w:val="0"/>
        <w:adjustRightInd w:val="0"/>
        <w:snapToGrid w:val="0"/>
        <w:spacing w:line="600" w:lineRule="exact"/>
        <w:ind w:firstLine="643" w:firstLineChars="200"/>
        <w:contextualSpacing/>
        <w:jc w:val="both"/>
        <w:textAlignment w:val="auto"/>
        <w:rPr>
          <w:rFonts w:hint="default" w:ascii="Times New Roman" w:hAnsi="Times New Roman" w:eastAsia="仿宋_GB2312" w:cs="Times New Roman"/>
          <w:color w:val="auto"/>
          <w:kern w:val="0"/>
          <w:sz w:val="32"/>
          <w:szCs w:val="32"/>
          <w:lang w:val="en-US" w:eastAsia="zh-CN" w:bidi="ar-SA"/>
        </w:rPr>
      </w:pPr>
      <w:r>
        <w:rPr>
          <w:rFonts w:hint="default" w:ascii="Times New Roman" w:hAnsi="Times New Roman" w:eastAsia="仿宋_GB2312" w:cs="Times New Roman"/>
          <w:b/>
          <w:bCs/>
          <w:color w:val="auto"/>
          <w:kern w:val="0"/>
          <w:sz w:val="32"/>
          <w:szCs w:val="32"/>
          <w:lang w:val="en-US" w:eastAsia="zh-CN" w:bidi="ar-SA"/>
        </w:rPr>
        <w:t>6.稳步推进机关事业单位养老保险制度改革。</w:t>
      </w:r>
      <w:r>
        <w:rPr>
          <w:rFonts w:hint="default" w:ascii="Times New Roman" w:hAnsi="Times New Roman" w:eastAsia="仿宋_GB2312" w:cs="Times New Roman"/>
          <w:color w:val="auto"/>
          <w:kern w:val="0"/>
          <w:sz w:val="32"/>
          <w:szCs w:val="32"/>
          <w:lang w:val="en-US" w:eastAsia="zh-CN" w:bidi="ar-SA"/>
        </w:rPr>
        <w:t>高效有序开展机关事业单位2024年退休人员待遇重算，成功兑现全市机关事业单位退休人员待遇，及时兑现退休人员职业年金待遇。</w:t>
      </w:r>
    </w:p>
    <w:p w14:paraId="4A09DF31">
      <w:pPr>
        <w:keepNext w:val="0"/>
        <w:keepLines w:val="0"/>
        <w:pageBreakBefore w:val="0"/>
        <w:widowControl/>
        <w:kinsoku/>
        <w:wordWrap/>
        <w:overflowPunct/>
        <w:topLinePunct w:val="0"/>
        <w:autoSpaceDE/>
        <w:autoSpaceDN/>
        <w:bidi w:val="0"/>
        <w:adjustRightInd w:val="0"/>
        <w:snapToGrid w:val="0"/>
        <w:spacing w:line="600" w:lineRule="exact"/>
        <w:ind w:firstLine="643" w:firstLineChars="200"/>
        <w:contextualSpacing/>
        <w:jc w:val="both"/>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b/>
          <w:bCs/>
          <w:color w:val="auto"/>
          <w:kern w:val="0"/>
          <w:sz w:val="32"/>
          <w:szCs w:val="32"/>
          <w:lang w:val="en-US" w:eastAsia="zh-CN" w:bidi="ar-SA"/>
        </w:rPr>
        <w:t>7.持续推进社保数字化转型。</w:t>
      </w:r>
      <w:r>
        <w:rPr>
          <w:rFonts w:hint="default" w:ascii="Times New Roman" w:hAnsi="Times New Roman" w:eastAsia="仿宋_GB2312" w:cs="Times New Roman"/>
          <w:color w:val="auto"/>
          <w:kern w:val="0"/>
          <w:sz w:val="32"/>
          <w:szCs w:val="32"/>
          <w:lang w:val="en-US" w:eastAsia="zh-CN" w:bidi="ar-SA"/>
        </w:rPr>
        <w:t>依托四川省社会保险信息系统，积极对接四川省政务服务网、四川人社在线公共服务平台等网上办事平台，充分利用互联网、大数据等技术信息，推进社保经办全流程数据化服务，推进社保服务“网上办”“掌上办”“云端办”，变“群众跑腿”为“数据跑路”。</w:t>
      </w:r>
    </w:p>
    <w:p w14:paraId="3EDA6C4F">
      <w:pPr>
        <w:keepNext w:val="0"/>
        <w:keepLines w:val="0"/>
        <w:pageBreakBefore w:val="0"/>
        <w:widowControl/>
        <w:kinsoku/>
        <w:wordWrap/>
        <w:overflowPunct/>
        <w:topLinePunct w:val="0"/>
        <w:autoSpaceDE/>
        <w:autoSpaceDN/>
        <w:bidi w:val="0"/>
        <w:adjustRightInd w:val="0"/>
        <w:snapToGrid w:val="0"/>
        <w:spacing w:line="600" w:lineRule="exact"/>
        <w:ind w:firstLine="643" w:firstLineChars="200"/>
        <w:contextualSpacing/>
        <w:jc w:val="both"/>
        <w:textAlignment w:val="auto"/>
        <w:rPr>
          <w:rFonts w:hint="default" w:ascii="Times New Roman" w:hAnsi="Times New Roman" w:eastAsia="楷体_GB2312" w:cs="Times New Roman"/>
          <w:b/>
          <w:bCs/>
          <w:color w:val="000000"/>
          <w:kern w:val="0"/>
          <w:sz w:val="32"/>
          <w:szCs w:val="32"/>
          <w:shd w:val="clear" w:color="auto" w:fill="FFFFFF"/>
          <w:lang w:val="en-US" w:eastAsia="zh-CN"/>
        </w:rPr>
      </w:pPr>
      <w:r>
        <w:rPr>
          <w:rFonts w:hint="default" w:ascii="Times New Roman" w:hAnsi="Times New Roman" w:eastAsia="楷体_GB2312" w:cs="Times New Roman"/>
          <w:b/>
          <w:bCs/>
          <w:color w:val="000000"/>
          <w:kern w:val="0"/>
          <w:sz w:val="32"/>
          <w:szCs w:val="32"/>
          <w:shd w:val="clear" w:color="auto" w:fill="FFFFFF"/>
          <w:lang w:val="en-US" w:eastAsia="zh-CN"/>
        </w:rPr>
        <w:t>（三）结余分配和结转结余情况</w:t>
      </w:r>
    </w:p>
    <w:p w14:paraId="2BA174E6">
      <w:pPr>
        <w:keepNext w:val="0"/>
        <w:keepLines w:val="0"/>
        <w:pageBreakBefore w:val="0"/>
        <w:widowControl/>
        <w:kinsoku/>
        <w:wordWrap/>
        <w:overflowPunct/>
        <w:topLinePunct w:val="0"/>
        <w:autoSpaceDE/>
        <w:autoSpaceDN/>
        <w:bidi w:val="0"/>
        <w:adjustRightInd w:val="0"/>
        <w:snapToGrid w:val="0"/>
        <w:spacing w:line="600" w:lineRule="exact"/>
        <w:ind w:firstLine="640" w:firstLineChars="200"/>
        <w:contextualSpacing/>
        <w:jc w:val="both"/>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color w:val="auto"/>
          <w:kern w:val="0"/>
          <w:sz w:val="32"/>
          <w:szCs w:val="32"/>
          <w:lang w:val="en-US" w:eastAsia="zh-CN" w:bidi="ar-SA"/>
        </w:rPr>
        <w:t>攀枝花市社会保险事务中心2025年决算报表中无结转结余。</w:t>
      </w:r>
    </w:p>
    <w:p w14:paraId="3A376692">
      <w:pPr>
        <w:keepNext w:val="0"/>
        <w:keepLines w:val="0"/>
        <w:pageBreakBefore w:val="0"/>
        <w:widowControl/>
        <w:kinsoku/>
        <w:wordWrap/>
        <w:overflowPunct/>
        <w:topLinePunct w:val="0"/>
        <w:autoSpaceDE/>
        <w:autoSpaceDN/>
        <w:bidi w:val="0"/>
        <w:adjustRightInd w:val="0"/>
        <w:snapToGrid w:val="0"/>
        <w:spacing w:line="600" w:lineRule="exact"/>
        <w:ind w:firstLine="640" w:firstLineChars="200"/>
        <w:contextualSpacing/>
        <w:jc w:val="both"/>
        <w:textAlignment w:val="auto"/>
        <w:rPr>
          <w:rFonts w:hint="default" w:ascii="Times New Roman" w:hAnsi="Times New Roman" w:eastAsia="黑体" w:cs="Times New Roman"/>
          <w:color w:val="000000"/>
          <w:kern w:val="0"/>
          <w:sz w:val="32"/>
          <w:szCs w:val="32"/>
          <w:shd w:val="clear" w:color="auto" w:fill="FFFFFF"/>
          <w:lang w:val="zh-CN" w:eastAsia="zh-CN"/>
        </w:rPr>
      </w:pPr>
      <w:r>
        <w:rPr>
          <w:rFonts w:hint="default" w:ascii="Times New Roman" w:hAnsi="Times New Roman" w:eastAsia="黑体" w:cs="Times New Roman"/>
          <w:color w:val="000000"/>
          <w:kern w:val="0"/>
          <w:sz w:val="32"/>
          <w:szCs w:val="32"/>
          <w:shd w:val="clear" w:color="auto" w:fill="FFFFFF"/>
          <w:lang w:val="zh-CN" w:eastAsia="zh-CN"/>
        </w:rPr>
        <w:t>三、部门预算绩效分析</w:t>
      </w:r>
    </w:p>
    <w:p w14:paraId="5C92DB68">
      <w:pPr>
        <w:keepNext w:val="0"/>
        <w:keepLines w:val="0"/>
        <w:pageBreakBefore w:val="0"/>
        <w:widowControl/>
        <w:kinsoku/>
        <w:wordWrap/>
        <w:overflowPunct/>
        <w:topLinePunct w:val="0"/>
        <w:autoSpaceDE/>
        <w:autoSpaceDN/>
        <w:bidi w:val="0"/>
        <w:adjustRightInd w:val="0"/>
        <w:snapToGrid w:val="0"/>
        <w:spacing w:line="600" w:lineRule="exact"/>
        <w:ind w:firstLine="643" w:firstLineChars="200"/>
        <w:contextualSpacing/>
        <w:jc w:val="both"/>
        <w:textAlignment w:val="auto"/>
        <w:rPr>
          <w:rFonts w:hint="default" w:ascii="Times New Roman" w:hAnsi="Times New Roman" w:eastAsia="楷体_GB2312" w:cs="Times New Roman"/>
          <w:b/>
          <w:bCs/>
          <w:color w:val="000000"/>
          <w:kern w:val="0"/>
          <w:sz w:val="32"/>
          <w:szCs w:val="32"/>
          <w:shd w:val="clear" w:color="auto" w:fill="FFFFFF"/>
          <w:lang w:val="zh-CN" w:eastAsia="zh-CN"/>
        </w:rPr>
      </w:pPr>
      <w:r>
        <w:rPr>
          <w:rFonts w:hint="default" w:ascii="Times New Roman" w:hAnsi="Times New Roman" w:eastAsia="楷体_GB2312" w:cs="Times New Roman"/>
          <w:b/>
          <w:bCs/>
          <w:color w:val="000000"/>
          <w:kern w:val="0"/>
          <w:sz w:val="32"/>
          <w:szCs w:val="32"/>
          <w:shd w:val="clear" w:color="auto" w:fill="FFFFFF"/>
          <w:lang w:val="zh-CN" w:eastAsia="zh-CN"/>
        </w:rPr>
        <w:t>（一）部门预算总体绩效分析</w:t>
      </w:r>
    </w:p>
    <w:p w14:paraId="243F2E0C">
      <w:pPr>
        <w:keepNext w:val="0"/>
        <w:keepLines w:val="0"/>
        <w:pageBreakBefore w:val="0"/>
        <w:widowControl/>
        <w:kinsoku/>
        <w:wordWrap/>
        <w:overflowPunct/>
        <w:topLinePunct w:val="0"/>
        <w:autoSpaceDE/>
        <w:autoSpaceDN/>
        <w:bidi w:val="0"/>
        <w:adjustRightInd w:val="0"/>
        <w:snapToGrid w:val="0"/>
        <w:spacing w:line="600" w:lineRule="exact"/>
        <w:ind w:firstLine="643" w:firstLineChars="200"/>
        <w:contextualSpacing/>
        <w:jc w:val="both"/>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b/>
          <w:bCs/>
          <w:color w:val="auto"/>
          <w:kern w:val="0"/>
          <w:sz w:val="32"/>
          <w:szCs w:val="32"/>
          <w:lang w:val="en-US" w:eastAsia="zh-CN" w:bidi="ar-SA"/>
        </w:rPr>
        <w:t>1.</w:t>
      </w:r>
      <w:r>
        <w:rPr>
          <w:rFonts w:hint="default" w:ascii="Times New Roman" w:hAnsi="Times New Roman" w:eastAsia="仿宋_GB2312" w:cs="Times New Roman"/>
          <w:b/>
          <w:bCs/>
          <w:color w:val="auto"/>
          <w:kern w:val="0"/>
          <w:sz w:val="32"/>
          <w:szCs w:val="32"/>
          <w:lang w:val="zh-CN" w:eastAsia="zh-CN" w:bidi="ar-SA"/>
        </w:rPr>
        <w:t>履职效能</w:t>
      </w:r>
    </w:p>
    <w:p w14:paraId="2D83981A">
      <w:pPr>
        <w:keepNext w:val="0"/>
        <w:keepLines w:val="0"/>
        <w:pageBreakBefore w:val="0"/>
        <w:widowControl/>
        <w:kinsoku/>
        <w:wordWrap/>
        <w:overflowPunct/>
        <w:topLinePunct w:val="0"/>
        <w:autoSpaceDE/>
        <w:autoSpaceDN/>
        <w:bidi w:val="0"/>
        <w:adjustRightInd w:val="0"/>
        <w:snapToGrid w:val="0"/>
        <w:spacing w:line="600" w:lineRule="exact"/>
        <w:ind w:firstLine="640" w:firstLineChars="200"/>
        <w:contextualSpacing/>
        <w:jc w:val="both"/>
        <w:textAlignment w:val="auto"/>
        <w:rPr>
          <w:rFonts w:hint="default" w:ascii="Times New Roman" w:hAnsi="Times New Roman" w:eastAsia="仿宋_GB2312" w:cs="Times New Roman"/>
          <w:color w:val="auto"/>
          <w:kern w:val="0"/>
          <w:sz w:val="32"/>
          <w:szCs w:val="32"/>
          <w:lang w:val="en-US" w:eastAsia="zh-CN" w:bidi="ar-SA"/>
        </w:rPr>
      </w:pPr>
      <w:r>
        <w:rPr>
          <w:rFonts w:hint="default" w:ascii="Times New Roman" w:hAnsi="Times New Roman" w:eastAsia="仿宋_GB2312" w:cs="Times New Roman"/>
          <w:color w:val="auto"/>
          <w:kern w:val="0"/>
          <w:sz w:val="32"/>
          <w:szCs w:val="32"/>
          <w:lang w:val="en-US" w:eastAsia="zh-CN" w:bidi="ar-SA"/>
        </w:rPr>
        <w:t>（1）“省管森工企业离退休人员社会化管理经费”项目在当期完成了项目的总体实施，执行率100%。2025年为省管森工企业离退休人员完善了社会化服务管理信息，退休人员社会化管理率达到100%。确保代管的省管森工企业离退休人员基本养老金按时足额发放，提升省管森工企业离退休人员社会化管理服务水平。</w:t>
      </w:r>
    </w:p>
    <w:p w14:paraId="11A5A1A5">
      <w:pPr>
        <w:keepNext w:val="0"/>
        <w:keepLines w:val="0"/>
        <w:pageBreakBefore w:val="0"/>
        <w:widowControl/>
        <w:kinsoku/>
        <w:wordWrap/>
        <w:overflowPunct/>
        <w:topLinePunct w:val="0"/>
        <w:autoSpaceDE/>
        <w:autoSpaceDN/>
        <w:bidi w:val="0"/>
        <w:adjustRightInd w:val="0"/>
        <w:snapToGrid w:val="0"/>
        <w:spacing w:line="600" w:lineRule="exact"/>
        <w:ind w:firstLine="640" w:firstLineChars="200"/>
        <w:contextualSpacing/>
        <w:jc w:val="both"/>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color w:val="auto"/>
          <w:kern w:val="0"/>
          <w:sz w:val="32"/>
          <w:szCs w:val="32"/>
          <w:lang w:val="zh-CN" w:eastAsia="zh-CN" w:bidi="ar-SA"/>
        </w:rPr>
        <w:t>（</w:t>
      </w:r>
      <w:r>
        <w:rPr>
          <w:rFonts w:hint="default" w:ascii="Times New Roman" w:hAnsi="Times New Roman" w:eastAsia="仿宋_GB2312" w:cs="Times New Roman"/>
          <w:color w:val="auto"/>
          <w:kern w:val="0"/>
          <w:sz w:val="32"/>
          <w:szCs w:val="32"/>
          <w:lang w:val="en-US" w:eastAsia="zh-CN" w:bidi="ar-SA"/>
        </w:rPr>
        <w:t>2</w:t>
      </w:r>
      <w:r>
        <w:rPr>
          <w:rFonts w:hint="default" w:ascii="Times New Roman" w:hAnsi="Times New Roman" w:eastAsia="仿宋_GB2312" w:cs="Times New Roman"/>
          <w:color w:val="auto"/>
          <w:kern w:val="0"/>
          <w:sz w:val="32"/>
          <w:szCs w:val="32"/>
          <w:lang w:val="zh-CN" w:eastAsia="zh-CN" w:bidi="ar-SA"/>
        </w:rPr>
        <w:t>）</w:t>
      </w:r>
      <w:r>
        <w:rPr>
          <w:rFonts w:hint="default" w:ascii="Times New Roman" w:hAnsi="Times New Roman" w:eastAsia="仿宋_GB2312" w:cs="Times New Roman"/>
          <w:color w:val="auto"/>
          <w:kern w:val="0"/>
          <w:sz w:val="32"/>
          <w:szCs w:val="32"/>
          <w:lang w:val="en-US" w:eastAsia="zh-CN" w:bidi="ar-SA"/>
        </w:rPr>
        <w:t>“入驻政务中心单位租金、物业费及水电费”项目在当期完成了项目的总体实施，执行率100%。保证了市社会保险事务中心工作正常开展</w:t>
      </w:r>
      <w:r>
        <w:rPr>
          <w:rFonts w:hint="default" w:ascii="Times New Roman" w:hAnsi="Times New Roman" w:eastAsia="仿宋_GB2312" w:cs="Times New Roman"/>
          <w:color w:val="auto"/>
          <w:kern w:val="0"/>
          <w:sz w:val="32"/>
          <w:szCs w:val="32"/>
          <w:lang w:val="zh-CN" w:eastAsia="zh-CN" w:bidi="ar-SA"/>
        </w:rPr>
        <w:t>。</w:t>
      </w:r>
    </w:p>
    <w:p w14:paraId="04A2767D">
      <w:pPr>
        <w:keepNext w:val="0"/>
        <w:keepLines w:val="0"/>
        <w:pageBreakBefore w:val="0"/>
        <w:widowControl/>
        <w:kinsoku/>
        <w:wordWrap/>
        <w:overflowPunct/>
        <w:topLinePunct w:val="0"/>
        <w:autoSpaceDE/>
        <w:autoSpaceDN/>
        <w:bidi w:val="0"/>
        <w:adjustRightInd w:val="0"/>
        <w:snapToGrid w:val="0"/>
        <w:spacing w:line="600" w:lineRule="exact"/>
        <w:ind w:firstLine="643" w:firstLineChars="200"/>
        <w:contextualSpacing/>
        <w:jc w:val="both"/>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b/>
          <w:bCs/>
          <w:color w:val="auto"/>
          <w:kern w:val="0"/>
          <w:sz w:val="32"/>
          <w:szCs w:val="32"/>
          <w:lang w:val="en-US" w:eastAsia="zh-CN" w:bidi="ar-SA"/>
        </w:rPr>
        <w:t>2.</w:t>
      </w:r>
      <w:r>
        <w:rPr>
          <w:rFonts w:hint="default" w:ascii="Times New Roman" w:hAnsi="Times New Roman" w:eastAsia="仿宋_GB2312" w:cs="Times New Roman"/>
          <w:b/>
          <w:bCs/>
          <w:color w:val="auto"/>
          <w:kern w:val="0"/>
          <w:sz w:val="32"/>
          <w:szCs w:val="32"/>
          <w:lang w:val="zh-CN" w:eastAsia="zh-CN" w:bidi="ar-SA"/>
        </w:rPr>
        <w:t>预算管理</w:t>
      </w:r>
    </w:p>
    <w:p w14:paraId="766776E3">
      <w:pPr>
        <w:keepNext w:val="0"/>
        <w:keepLines w:val="0"/>
        <w:pageBreakBefore w:val="0"/>
        <w:widowControl/>
        <w:kinsoku/>
        <w:wordWrap/>
        <w:overflowPunct/>
        <w:topLinePunct w:val="0"/>
        <w:autoSpaceDE/>
        <w:autoSpaceDN/>
        <w:bidi w:val="0"/>
        <w:adjustRightInd w:val="0"/>
        <w:snapToGrid w:val="0"/>
        <w:spacing w:line="600" w:lineRule="exact"/>
        <w:ind w:firstLine="640" w:firstLineChars="200"/>
        <w:contextualSpacing/>
        <w:jc w:val="both"/>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color w:val="auto"/>
          <w:kern w:val="0"/>
          <w:sz w:val="32"/>
          <w:szCs w:val="32"/>
          <w:lang w:val="en-US" w:eastAsia="zh-CN" w:bidi="ar-SA"/>
        </w:rPr>
        <w:t>攀枝花市社会保险事务中心</w:t>
      </w:r>
      <w:r>
        <w:rPr>
          <w:rFonts w:hint="default" w:ascii="Times New Roman" w:hAnsi="Times New Roman" w:eastAsia="仿宋_GB2312" w:cs="Times New Roman"/>
          <w:color w:val="auto"/>
          <w:kern w:val="0"/>
          <w:sz w:val="32"/>
          <w:szCs w:val="32"/>
          <w:lang w:val="zh-CN" w:eastAsia="zh-CN" w:bidi="ar-SA"/>
        </w:rPr>
        <w:t>严格按要求编制年初部门预算，年初预算编制具有科学性和准确性。严控“三公”经费、会议费、培训费、差旅费等支出，年终无结转结余。</w:t>
      </w:r>
    </w:p>
    <w:p w14:paraId="0DD573F9">
      <w:pPr>
        <w:keepNext w:val="0"/>
        <w:keepLines w:val="0"/>
        <w:pageBreakBefore w:val="0"/>
        <w:widowControl/>
        <w:kinsoku/>
        <w:wordWrap/>
        <w:overflowPunct/>
        <w:topLinePunct w:val="0"/>
        <w:autoSpaceDE/>
        <w:autoSpaceDN/>
        <w:bidi w:val="0"/>
        <w:adjustRightInd w:val="0"/>
        <w:snapToGrid w:val="0"/>
        <w:spacing w:line="600" w:lineRule="exact"/>
        <w:ind w:firstLine="643" w:firstLineChars="200"/>
        <w:contextualSpacing/>
        <w:jc w:val="both"/>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b/>
          <w:bCs/>
          <w:color w:val="auto"/>
          <w:kern w:val="0"/>
          <w:sz w:val="32"/>
          <w:szCs w:val="32"/>
          <w:lang w:val="en-US" w:eastAsia="zh-CN" w:bidi="ar-SA"/>
        </w:rPr>
        <w:t>3.</w:t>
      </w:r>
      <w:r>
        <w:rPr>
          <w:rFonts w:hint="default" w:ascii="Times New Roman" w:hAnsi="Times New Roman" w:eastAsia="仿宋_GB2312" w:cs="Times New Roman"/>
          <w:b/>
          <w:bCs/>
          <w:color w:val="auto"/>
          <w:kern w:val="0"/>
          <w:sz w:val="32"/>
          <w:szCs w:val="32"/>
          <w:lang w:val="zh-CN" w:eastAsia="zh-CN" w:bidi="ar-SA"/>
        </w:rPr>
        <w:t>财务管理</w:t>
      </w:r>
    </w:p>
    <w:p w14:paraId="292327C9">
      <w:pPr>
        <w:keepNext w:val="0"/>
        <w:keepLines w:val="0"/>
        <w:pageBreakBefore w:val="0"/>
        <w:widowControl/>
        <w:kinsoku/>
        <w:wordWrap/>
        <w:overflowPunct/>
        <w:topLinePunct w:val="0"/>
        <w:autoSpaceDE/>
        <w:autoSpaceDN/>
        <w:bidi w:val="0"/>
        <w:adjustRightInd w:val="0"/>
        <w:snapToGrid w:val="0"/>
        <w:spacing w:line="600" w:lineRule="exact"/>
        <w:ind w:firstLine="640" w:firstLineChars="200"/>
        <w:contextualSpacing/>
        <w:jc w:val="both"/>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color w:val="auto"/>
          <w:kern w:val="0"/>
          <w:sz w:val="32"/>
          <w:szCs w:val="32"/>
          <w:lang w:val="en-US" w:eastAsia="zh-CN" w:bidi="ar-SA"/>
        </w:rPr>
        <w:t>攀枝花市社会保险事务中心</w:t>
      </w:r>
      <w:r>
        <w:rPr>
          <w:rFonts w:hint="default" w:ascii="Times New Roman" w:hAnsi="Times New Roman" w:eastAsia="仿宋_GB2312" w:cs="Times New Roman"/>
          <w:color w:val="auto"/>
          <w:kern w:val="0"/>
          <w:sz w:val="32"/>
          <w:szCs w:val="32"/>
          <w:lang w:val="zh-CN" w:eastAsia="zh-CN" w:bidi="ar-SA"/>
        </w:rPr>
        <w:t>建立了财务管理制度，由办公室统一管理</w:t>
      </w:r>
      <w:r>
        <w:rPr>
          <w:rFonts w:hint="default" w:ascii="Times New Roman" w:hAnsi="Times New Roman" w:eastAsia="仿宋_GB2312" w:cs="Times New Roman"/>
          <w:color w:val="auto"/>
          <w:kern w:val="0"/>
          <w:sz w:val="32"/>
          <w:szCs w:val="32"/>
          <w:lang w:val="en-US" w:eastAsia="zh-CN" w:bidi="ar-SA"/>
        </w:rPr>
        <w:t>各项</w:t>
      </w:r>
      <w:r>
        <w:rPr>
          <w:rFonts w:hint="default" w:ascii="Times New Roman" w:hAnsi="Times New Roman" w:eastAsia="仿宋_GB2312" w:cs="Times New Roman"/>
          <w:color w:val="auto"/>
          <w:kern w:val="0"/>
          <w:sz w:val="32"/>
          <w:szCs w:val="32"/>
          <w:lang w:val="zh-CN" w:eastAsia="zh-CN" w:bidi="ar-SA"/>
        </w:rPr>
        <w:t>资金，</w:t>
      </w:r>
      <w:r>
        <w:rPr>
          <w:rFonts w:hint="default" w:ascii="Times New Roman" w:hAnsi="Times New Roman" w:eastAsia="仿宋_GB2312" w:cs="Times New Roman"/>
          <w:color w:val="auto"/>
          <w:kern w:val="0"/>
          <w:sz w:val="32"/>
          <w:szCs w:val="32"/>
          <w:lang w:val="en-US" w:eastAsia="zh-CN" w:bidi="ar-SA"/>
        </w:rPr>
        <w:t>严格按照财政要求上报资金使用计划，并在实施过程中做到资金专项专用。所有支出严格按照财务会计管理规定，做到资金使用有计划、审批有手续、支出合理规范。并</w:t>
      </w:r>
      <w:r>
        <w:rPr>
          <w:rFonts w:hint="default" w:ascii="Times New Roman" w:hAnsi="Times New Roman" w:eastAsia="仿宋_GB2312" w:cs="Times New Roman"/>
          <w:color w:val="auto"/>
          <w:kern w:val="0"/>
          <w:sz w:val="32"/>
          <w:szCs w:val="32"/>
          <w:lang w:val="zh-CN" w:eastAsia="zh-CN" w:bidi="ar-SA"/>
        </w:rPr>
        <w:t>及时进行账务处理和会计核算。</w:t>
      </w:r>
    </w:p>
    <w:p w14:paraId="24A4A2F6">
      <w:pPr>
        <w:keepNext w:val="0"/>
        <w:keepLines w:val="0"/>
        <w:pageBreakBefore w:val="0"/>
        <w:widowControl/>
        <w:kinsoku/>
        <w:wordWrap/>
        <w:overflowPunct/>
        <w:topLinePunct w:val="0"/>
        <w:autoSpaceDE/>
        <w:autoSpaceDN/>
        <w:bidi w:val="0"/>
        <w:adjustRightInd w:val="0"/>
        <w:snapToGrid w:val="0"/>
        <w:spacing w:line="600" w:lineRule="exact"/>
        <w:ind w:firstLine="643" w:firstLineChars="200"/>
        <w:contextualSpacing/>
        <w:jc w:val="both"/>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b/>
          <w:bCs/>
          <w:color w:val="auto"/>
          <w:kern w:val="0"/>
          <w:sz w:val="32"/>
          <w:szCs w:val="32"/>
          <w:lang w:val="en-US" w:eastAsia="zh-CN" w:bidi="ar-SA"/>
        </w:rPr>
        <w:t>4.</w:t>
      </w:r>
      <w:r>
        <w:rPr>
          <w:rFonts w:hint="default" w:ascii="Times New Roman" w:hAnsi="Times New Roman" w:eastAsia="仿宋_GB2312" w:cs="Times New Roman"/>
          <w:b/>
          <w:bCs/>
          <w:color w:val="auto"/>
          <w:kern w:val="0"/>
          <w:sz w:val="32"/>
          <w:szCs w:val="32"/>
          <w:lang w:val="zh-CN" w:eastAsia="zh-CN" w:bidi="ar-SA"/>
        </w:rPr>
        <w:t>资产管理</w:t>
      </w:r>
    </w:p>
    <w:p w14:paraId="743918E7">
      <w:pPr>
        <w:keepNext w:val="0"/>
        <w:keepLines w:val="0"/>
        <w:pageBreakBefore w:val="0"/>
        <w:widowControl/>
        <w:kinsoku/>
        <w:wordWrap/>
        <w:overflowPunct/>
        <w:topLinePunct w:val="0"/>
        <w:autoSpaceDE/>
        <w:autoSpaceDN/>
        <w:bidi w:val="0"/>
        <w:adjustRightInd w:val="0"/>
        <w:snapToGrid w:val="0"/>
        <w:spacing w:line="600" w:lineRule="exact"/>
        <w:ind w:firstLine="640" w:firstLineChars="200"/>
        <w:contextualSpacing/>
        <w:jc w:val="both"/>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color w:val="auto"/>
          <w:kern w:val="0"/>
          <w:sz w:val="32"/>
          <w:szCs w:val="32"/>
          <w:lang w:val="en-US" w:eastAsia="zh-CN" w:bidi="ar-SA"/>
        </w:rPr>
        <w:t>攀枝花市社会保险事务中心无资产超最低使用年限的情况，无闲置一年以上的资产。</w:t>
      </w:r>
    </w:p>
    <w:p w14:paraId="7A32497F">
      <w:pPr>
        <w:keepNext w:val="0"/>
        <w:keepLines w:val="0"/>
        <w:pageBreakBefore w:val="0"/>
        <w:widowControl/>
        <w:kinsoku/>
        <w:wordWrap/>
        <w:overflowPunct/>
        <w:topLinePunct w:val="0"/>
        <w:autoSpaceDE/>
        <w:autoSpaceDN/>
        <w:bidi w:val="0"/>
        <w:adjustRightInd w:val="0"/>
        <w:snapToGrid w:val="0"/>
        <w:spacing w:line="600" w:lineRule="exact"/>
        <w:ind w:firstLine="643" w:firstLineChars="200"/>
        <w:contextualSpacing/>
        <w:jc w:val="both"/>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b/>
          <w:bCs/>
          <w:color w:val="auto"/>
          <w:kern w:val="0"/>
          <w:sz w:val="32"/>
          <w:szCs w:val="32"/>
          <w:lang w:val="en-US" w:eastAsia="zh-CN" w:bidi="ar-SA"/>
        </w:rPr>
        <w:t>5.</w:t>
      </w:r>
      <w:r>
        <w:rPr>
          <w:rFonts w:hint="default" w:ascii="Times New Roman" w:hAnsi="Times New Roman" w:eastAsia="仿宋_GB2312" w:cs="Times New Roman"/>
          <w:b/>
          <w:bCs/>
          <w:color w:val="auto"/>
          <w:kern w:val="0"/>
          <w:sz w:val="32"/>
          <w:szCs w:val="32"/>
          <w:lang w:val="zh-CN" w:eastAsia="zh-CN" w:bidi="ar-SA"/>
        </w:rPr>
        <w:t>采购管理</w:t>
      </w:r>
    </w:p>
    <w:p w14:paraId="7C730ED4">
      <w:pPr>
        <w:keepNext w:val="0"/>
        <w:keepLines w:val="0"/>
        <w:pageBreakBefore w:val="0"/>
        <w:widowControl/>
        <w:kinsoku/>
        <w:wordWrap/>
        <w:overflowPunct/>
        <w:topLinePunct w:val="0"/>
        <w:autoSpaceDE/>
        <w:autoSpaceDN/>
        <w:bidi w:val="0"/>
        <w:adjustRightInd w:val="0"/>
        <w:snapToGrid w:val="0"/>
        <w:spacing w:line="600" w:lineRule="exact"/>
        <w:ind w:firstLine="640" w:firstLineChars="200"/>
        <w:contextualSpacing/>
        <w:jc w:val="both"/>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color w:val="auto"/>
          <w:kern w:val="0"/>
          <w:sz w:val="32"/>
          <w:szCs w:val="32"/>
          <w:lang w:val="en-US" w:eastAsia="zh-CN" w:bidi="ar-SA"/>
        </w:rPr>
        <w:t>攀枝花市社会保险事务中心按规定进行政府采购，严格执行政府采购促进中小企业发展相关管理办法。</w:t>
      </w:r>
    </w:p>
    <w:p w14:paraId="566EF167">
      <w:pPr>
        <w:keepNext w:val="0"/>
        <w:keepLines w:val="0"/>
        <w:pageBreakBefore w:val="0"/>
        <w:widowControl/>
        <w:kinsoku/>
        <w:wordWrap/>
        <w:overflowPunct/>
        <w:topLinePunct w:val="0"/>
        <w:autoSpaceDE/>
        <w:autoSpaceDN/>
        <w:bidi w:val="0"/>
        <w:adjustRightInd w:val="0"/>
        <w:snapToGrid w:val="0"/>
        <w:spacing w:line="600" w:lineRule="exact"/>
        <w:ind w:firstLine="643" w:firstLineChars="200"/>
        <w:contextualSpacing/>
        <w:jc w:val="both"/>
        <w:textAlignment w:val="auto"/>
        <w:rPr>
          <w:rFonts w:hint="default" w:ascii="Times New Roman" w:hAnsi="Times New Roman" w:eastAsia="楷体_GB2312" w:cs="Times New Roman"/>
          <w:b/>
          <w:bCs/>
          <w:color w:val="000000"/>
          <w:kern w:val="0"/>
          <w:sz w:val="32"/>
          <w:szCs w:val="32"/>
          <w:shd w:val="clear" w:color="auto" w:fill="FFFFFF"/>
          <w:lang w:val="zh-CN" w:eastAsia="zh-CN"/>
        </w:rPr>
      </w:pPr>
      <w:r>
        <w:rPr>
          <w:rFonts w:hint="default" w:ascii="Times New Roman" w:hAnsi="Times New Roman" w:eastAsia="楷体_GB2312" w:cs="Times New Roman"/>
          <w:b/>
          <w:bCs/>
          <w:color w:val="000000"/>
          <w:kern w:val="0"/>
          <w:sz w:val="32"/>
          <w:szCs w:val="32"/>
          <w:shd w:val="clear" w:color="auto" w:fill="FFFFFF"/>
          <w:lang w:val="zh-CN" w:eastAsia="zh-CN"/>
        </w:rPr>
        <w:t>（二）部门预算项目绩效分析</w:t>
      </w:r>
    </w:p>
    <w:p w14:paraId="3B4D9DD1">
      <w:pPr>
        <w:keepNext w:val="0"/>
        <w:keepLines w:val="0"/>
        <w:pageBreakBefore w:val="0"/>
        <w:widowControl/>
        <w:kinsoku/>
        <w:wordWrap/>
        <w:overflowPunct/>
        <w:topLinePunct w:val="0"/>
        <w:autoSpaceDE/>
        <w:autoSpaceDN/>
        <w:bidi w:val="0"/>
        <w:adjustRightInd w:val="0"/>
        <w:snapToGrid w:val="0"/>
        <w:spacing w:line="600" w:lineRule="exact"/>
        <w:ind w:firstLine="640" w:firstLineChars="200"/>
        <w:contextualSpacing/>
        <w:jc w:val="both"/>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color w:val="auto"/>
          <w:kern w:val="0"/>
          <w:sz w:val="32"/>
          <w:szCs w:val="32"/>
          <w:lang w:val="en-US" w:eastAsia="zh-CN" w:bidi="ar-SA"/>
        </w:rPr>
        <w:t>常年项目绩效分析。</w:t>
      </w:r>
      <w:r>
        <w:rPr>
          <w:rFonts w:hint="default" w:ascii="Times New Roman" w:hAnsi="Times New Roman" w:eastAsia="仿宋_GB2312" w:cs="Times New Roman"/>
          <w:color w:val="auto"/>
          <w:kern w:val="0"/>
          <w:sz w:val="32"/>
          <w:szCs w:val="32"/>
          <w:lang w:val="zh-CN" w:eastAsia="zh-CN" w:bidi="ar-SA"/>
        </w:rPr>
        <w:t>该类项目总数</w:t>
      </w:r>
      <w:r>
        <w:rPr>
          <w:rFonts w:hint="default" w:ascii="Times New Roman" w:hAnsi="Times New Roman" w:eastAsia="仿宋_GB2312" w:cs="Times New Roman"/>
          <w:color w:val="auto"/>
          <w:kern w:val="0"/>
          <w:sz w:val="32"/>
          <w:szCs w:val="32"/>
          <w:lang w:val="en-US" w:eastAsia="zh-CN" w:bidi="ar-SA"/>
        </w:rPr>
        <w:t>2</w:t>
      </w:r>
      <w:r>
        <w:rPr>
          <w:rFonts w:hint="default" w:ascii="Times New Roman" w:hAnsi="Times New Roman" w:eastAsia="仿宋_GB2312" w:cs="Times New Roman"/>
          <w:color w:val="auto"/>
          <w:kern w:val="0"/>
          <w:sz w:val="32"/>
          <w:szCs w:val="32"/>
          <w:lang w:val="zh-CN" w:eastAsia="zh-CN" w:bidi="ar-SA"/>
        </w:rPr>
        <w:t>个，涉及预算总金额</w:t>
      </w:r>
      <w:r>
        <w:rPr>
          <w:rFonts w:hint="default" w:ascii="Times New Roman" w:hAnsi="Times New Roman" w:eastAsia="仿宋_GB2312" w:cs="Times New Roman"/>
          <w:color w:val="auto"/>
          <w:kern w:val="0"/>
          <w:sz w:val="32"/>
          <w:szCs w:val="32"/>
          <w:lang w:val="en-US" w:eastAsia="zh-CN" w:bidi="ar-SA"/>
        </w:rPr>
        <w:t>88.1</w:t>
      </w:r>
      <w:r>
        <w:rPr>
          <w:rFonts w:hint="default" w:ascii="Times New Roman" w:hAnsi="Times New Roman" w:eastAsia="仿宋_GB2312" w:cs="Times New Roman"/>
          <w:color w:val="auto"/>
          <w:kern w:val="0"/>
          <w:sz w:val="32"/>
          <w:szCs w:val="32"/>
          <w:lang w:val="zh-CN" w:eastAsia="zh-CN" w:bidi="ar-SA"/>
        </w:rPr>
        <w:t>万元，1—1</w:t>
      </w:r>
      <w:r>
        <w:rPr>
          <w:rFonts w:hint="default" w:ascii="Times New Roman" w:hAnsi="Times New Roman" w:eastAsia="仿宋_GB2312" w:cs="Times New Roman"/>
          <w:color w:val="auto"/>
          <w:kern w:val="0"/>
          <w:sz w:val="32"/>
          <w:szCs w:val="32"/>
          <w:lang w:val="en-US" w:eastAsia="zh-CN" w:bidi="ar-SA"/>
        </w:rPr>
        <w:t>2</w:t>
      </w:r>
      <w:r>
        <w:rPr>
          <w:rFonts w:hint="default" w:ascii="Times New Roman" w:hAnsi="Times New Roman" w:eastAsia="仿宋_GB2312" w:cs="Times New Roman"/>
          <w:color w:val="auto"/>
          <w:kern w:val="0"/>
          <w:sz w:val="32"/>
          <w:szCs w:val="32"/>
          <w:lang w:val="zh-CN" w:eastAsia="zh-CN" w:bidi="ar-SA"/>
        </w:rPr>
        <w:t>月预算执行总体进度为</w:t>
      </w:r>
      <w:r>
        <w:rPr>
          <w:rFonts w:hint="default" w:ascii="Times New Roman" w:hAnsi="Times New Roman" w:eastAsia="仿宋_GB2312" w:cs="Times New Roman"/>
          <w:color w:val="auto"/>
          <w:kern w:val="0"/>
          <w:sz w:val="32"/>
          <w:szCs w:val="32"/>
          <w:lang w:val="en-US" w:eastAsia="zh-CN" w:bidi="ar-SA"/>
        </w:rPr>
        <w:t>100</w:t>
      </w:r>
      <w:r>
        <w:rPr>
          <w:rFonts w:hint="default" w:ascii="Times New Roman" w:hAnsi="Times New Roman" w:eastAsia="仿宋_GB2312" w:cs="Times New Roman"/>
          <w:color w:val="auto"/>
          <w:kern w:val="0"/>
          <w:sz w:val="32"/>
          <w:szCs w:val="32"/>
          <w:lang w:val="zh-CN" w:eastAsia="zh-CN" w:bidi="ar-SA"/>
        </w:rPr>
        <w:t>%，其中：预算结余率大于</w:t>
      </w:r>
      <w:r>
        <w:rPr>
          <w:rFonts w:hint="default" w:ascii="Times New Roman" w:hAnsi="Times New Roman" w:eastAsia="仿宋_GB2312" w:cs="Times New Roman"/>
          <w:color w:val="auto"/>
          <w:kern w:val="0"/>
          <w:sz w:val="32"/>
          <w:szCs w:val="32"/>
          <w:lang w:val="en-US" w:eastAsia="zh-CN" w:bidi="ar-SA"/>
        </w:rPr>
        <w:t>10%</w:t>
      </w:r>
      <w:r>
        <w:rPr>
          <w:rFonts w:hint="default" w:ascii="Times New Roman" w:hAnsi="Times New Roman" w:eastAsia="仿宋_GB2312" w:cs="Times New Roman"/>
          <w:color w:val="auto"/>
          <w:kern w:val="0"/>
          <w:sz w:val="32"/>
          <w:szCs w:val="32"/>
          <w:lang w:val="zh-CN" w:eastAsia="zh-CN" w:bidi="ar-SA"/>
        </w:rPr>
        <w:t>的项目共计</w:t>
      </w:r>
      <w:r>
        <w:rPr>
          <w:rFonts w:hint="default" w:ascii="Times New Roman" w:hAnsi="Times New Roman" w:eastAsia="仿宋_GB2312" w:cs="Times New Roman"/>
          <w:color w:val="auto"/>
          <w:kern w:val="0"/>
          <w:sz w:val="32"/>
          <w:szCs w:val="32"/>
          <w:lang w:val="en-US" w:eastAsia="zh-CN" w:bidi="ar-SA"/>
        </w:rPr>
        <w:t>0</w:t>
      </w:r>
      <w:r>
        <w:rPr>
          <w:rFonts w:hint="default" w:ascii="Times New Roman" w:hAnsi="Times New Roman" w:eastAsia="仿宋_GB2312" w:cs="Times New Roman"/>
          <w:color w:val="auto"/>
          <w:kern w:val="0"/>
          <w:sz w:val="32"/>
          <w:szCs w:val="32"/>
          <w:lang w:val="zh-CN" w:eastAsia="zh-CN" w:bidi="ar-SA"/>
        </w:rPr>
        <w:t>个。</w:t>
      </w:r>
    </w:p>
    <w:p w14:paraId="47CDF0B4">
      <w:pPr>
        <w:keepNext w:val="0"/>
        <w:keepLines w:val="0"/>
        <w:pageBreakBefore w:val="0"/>
        <w:widowControl/>
        <w:kinsoku/>
        <w:wordWrap/>
        <w:overflowPunct/>
        <w:topLinePunct w:val="0"/>
        <w:autoSpaceDE/>
        <w:autoSpaceDN/>
        <w:bidi w:val="0"/>
        <w:adjustRightInd w:val="0"/>
        <w:snapToGrid w:val="0"/>
        <w:spacing w:line="600" w:lineRule="exact"/>
        <w:ind w:firstLine="643" w:firstLineChars="200"/>
        <w:contextualSpacing/>
        <w:jc w:val="both"/>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b/>
          <w:bCs/>
          <w:color w:val="auto"/>
          <w:kern w:val="0"/>
          <w:sz w:val="32"/>
          <w:szCs w:val="32"/>
          <w:lang w:val="en-US" w:eastAsia="zh-CN" w:bidi="ar-SA"/>
        </w:rPr>
        <w:t>1.</w:t>
      </w:r>
      <w:r>
        <w:rPr>
          <w:rFonts w:hint="default" w:ascii="Times New Roman" w:hAnsi="Times New Roman" w:eastAsia="仿宋_GB2312" w:cs="Times New Roman"/>
          <w:b/>
          <w:bCs/>
          <w:color w:val="auto"/>
          <w:kern w:val="0"/>
          <w:sz w:val="32"/>
          <w:szCs w:val="32"/>
          <w:lang w:val="zh-CN" w:eastAsia="zh-CN" w:bidi="ar-SA"/>
        </w:rPr>
        <w:t>项目决策</w:t>
      </w:r>
    </w:p>
    <w:p w14:paraId="7D1FD5AC">
      <w:pPr>
        <w:keepNext w:val="0"/>
        <w:keepLines w:val="0"/>
        <w:pageBreakBefore w:val="0"/>
        <w:widowControl/>
        <w:kinsoku/>
        <w:wordWrap/>
        <w:overflowPunct/>
        <w:topLinePunct w:val="0"/>
        <w:autoSpaceDE/>
        <w:autoSpaceDN/>
        <w:bidi w:val="0"/>
        <w:adjustRightInd w:val="0"/>
        <w:snapToGrid w:val="0"/>
        <w:spacing w:line="600" w:lineRule="exact"/>
        <w:ind w:firstLine="640" w:firstLineChars="200"/>
        <w:contextualSpacing/>
        <w:jc w:val="both"/>
        <w:textAlignment w:val="auto"/>
        <w:rPr>
          <w:rFonts w:hint="default" w:ascii="Times New Roman" w:hAnsi="Times New Roman" w:eastAsia="仿宋_GB2312" w:cs="Times New Roman"/>
          <w:color w:val="auto"/>
          <w:kern w:val="0"/>
          <w:sz w:val="32"/>
          <w:szCs w:val="32"/>
          <w:lang w:val="en-US" w:eastAsia="zh-CN" w:bidi="ar-SA"/>
        </w:rPr>
      </w:pPr>
      <w:r>
        <w:rPr>
          <w:rFonts w:hint="default" w:ascii="Times New Roman" w:hAnsi="Times New Roman" w:eastAsia="仿宋_GB2312" w:cs="Times New Roman"/>
          <w:color w:val="auto"/>
          <w:kern w:val="0"/>
          <w:sz w:val="32"/>
          <w:szCs w:val="32"/>
          <w:lang w:val="en-US" w:eastAsia="zh-CN" w:bidi="ar-SA"/>
        </w:rPr>
        <w:t>项目设立、调整延续等方面符合资金管理基本规范和决策程序要求，项目规划论证符合中省要求，项目绩效目标设置是否科学合理，属于政府支持范围，且符合财政事权支出责任划分规定，资金投向与项目总体规划、相关行业事业发展相匹配，项目制度办法体系健全、要素完备。</w:t>
      </w:r>
    </w:p>
    <w:p w14:paraId="1303D51A">
      <w:pPr>
        <w:keepNext w:val="0"/>
        <w:keepLines w:val="0"/>
        <w:pageBreakBefore w:val="0"/>
        <w:widowControl/>
        <w:kinsoku/>
        <w:wordWrap/>
        <w:overflowPunct/>
        <w:topLinePunct w:val="0"/>
        <w:autoSpaceDE/>
        <w:autoSpaceDN/>
        <w:bidi w:val="0"/>
        <w:adjustRightInd w:val="0"/>
        <w:snapToGrid w:val="0"/>
        <w:spacing w:line="600" w:lineRule="exact"/>
        <w:ind w:firstLine="643" w:firstLineChars="200"/>
        <w:contextualSpacing/>
        <w:jc w:val="both"/>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b/>
          <w:bCs/>
          <w:color w:val="auto"/>
          <w:kern w:val="0"/>
          <w:sz w:val="32"/>
          <w:szCs w:val="32"/>
          <w:lang w:val="en-US" w:eastAsia="zh-CN" w:bidi="ar-SA"/>
        </w:rPr>
        <w:t>2.项目执行</w:t>
      </w:r>
    </w:p>
    <w:p w14:paraId="0ED88EBA">
      <w:pPr>
        <w:keepNext w:val="0"/>
        <w:keepLines w:val="0"/>
        <w:pageBreakBefore w:val="0"/>
        <w:widowControl/>
        <w:kinsoku/>
        <w:wordWrap/>
        <w:overflowPunct/>
        <w:topLinePunct w:val="0"/>
        <w:autoSpaceDE/>
        <w:autoSpaceDN/>
        <w:bidi w:val="0"/>
        <w:adjustRightInd w:val="0"/>
        <w:snapToGrid w:val="0"/>
        <w:spacing w:line="600" w:lineRule="exact"/>
        <w:ind w:firstLine="640" w:firstLineChars="200"/>
        <w:contextualSpacing/>
        <w:jc w:val="both"/>
        <w:textAlignment w:val="auto"/>
        <w:rPr>
          <w:rFonts w:hint="default" w:ascii="Times New Roman" w:hAnsi="Times New Roman" w:eastAsia="仿宋_GB2312" w:cs="Times New Roman"/>
          <w:color w:val="auto"/>
          <w:kern w:val="0"/>
          <w:sz w:val="32"/>
          <w:szCs w:val="32"/>
          <w:lang w:val="en-US" w:eastAsia="zh-CN" w:bidi="ar-SA"/>
        </w:rPr>
      </w:pPr>
      <w:r>
        <w:rPr>
          <w:rFonts w:hint="default" w:ascii="Times New Roman" w:hAnsi="Times New Roman" w:eastAsia="仿宋_GB2312" w:cs="Times New Roman"/>
          <w:color w:val="auto"/>
          <w:kern w:val="0"/>
          <w:sz w:val="32"/>
          <w:szCs w:val="32"/>
          <w:lang w:val="en-US" w:eastAsia="zh-CN" w:bidi="ar-SA"/>
        </w:rPr>
        <w:t>预算执行过程严把审核关口，强化资金监督使用，确保项目资金专款专用。对预算执行进度缓慢的项目，督促并加快资金执行进度。资金执行进度100%。</w:t>
      </w:r>
    </w:p>
    <w:p w14:paraId="3328B5AF">
      <w:pPr>
        <w:keepNext w:val="0"/>
        <w:keepLines w:val="0"/>
        <w:pageBreakBefore w:val="0"/>
        <w:widowControl/>
        <w:kinsoku/>
        <w:wordWrap/>
        <w:overflowPunct/>
        <w:topLinePunct w:val="0"/>
        <w:autoSpaceDE/>
        <w:autoSpaceDN/>
        <w:bidi w:val="0"/>
        <w:adjustRightInd w:val="0"/>
        <w:snapToGrid w:val="0"/>
        <w:spacing w:line="600" w:lineRule="exact"/>
        <w:ind w:firstLine="643" w:firstLineChars="200"/>
        <w:contextualSpacing/>
        <w:jc w:val="both"/>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b/>
          <w:bCs/>
          <w:color w:val="auto"/>
          <w:kern w:val="0"/>
          <w:sz w:val="32"/>
          <w:szCs w:val="32"/>
          <w:lang w:val="en-US" w:eastAsia="zh-CN" w:bidi="ar-SA"/>
        </w:rPr>
        <w:t>3.</w:t>
      </w:r>
      <w:r>
        <w:rPr>
          <w:rFonts w:hint="default" w:ascii="Times New Roman" w:hAnsi="Times New Roman" w:eastAsia="仿宋_GB2312" w:cs="Times New Roman"/>
          <w:b/>
          <w:bCs/>
          <w:color w:val="auto"/>
          <w:kern w:val="0"/>
          <w:sz w:val="32"/>
          <w:szCs w:val="32"/>
          <w:lang w:val="zh-CN" w:eastAsia="zh-CN" w:bidi="ar-SA"/>
        </w:rPr>
        <w:t>目标实现</w:t>
      </w:r>
    </w:p>
    <w:p w14:paraId="4CA4E32D">
      <w:pPr>
        <w:keepNext w:val="0"/>
        <w:keepLines w:val="0"/>
        <w:pageBreakBefore w:val="0"/>
        <w:widowControl/>
        <w:kinsoku/>
        <w:wordWrap/>
        <w:overflowPunct/>
        <w:topLinePunct w:val="0"/>
        <w:autoSpaceDE/>
        <w:autoSpaceDN/>
        <w:bidi w:val="0"/>
        <w:adjustRightInd w:val="0"/>
        <w:snapToGrid w:val="0"/>
        <w:spacing w:line="600" w:lineRule="exact"/>
        <w:ind w:firstLine="640" w:firstLineChars="200"/>
        <w:contextualSpacing/>
        <w:jc w:val="both"/>
        <w:textAlignment w:val="auto"/>
        <w:rPr>
          <w:rFonts w:hint="default" w:ascii="Times New Roman" w:hAnsi="Times New Roman" w:cs="Times New Roman"/>
          <w:szCs w:val="32"/>
          <w:lang w:val="zh-CN"/>
        </w:rPr>
      </w:pPr>
      <w:r>
        <w:rPr>
          <w:rFonts w:hint="default" w:ascii="Times New Roman" w:hAnsi="Times New Roman" w:eastAsia="仿宋_GB2312" w:cs="Times New Roman"/>
          <w:color w:val="auto"/>
          <w:kern w:val="0"/>
          <w:sz w:val="32"/>
          <w:szCs w:val="32"/>
          <w:lang w:val="en-US" w:eastAsia="zh-CN" w:bidi="ar-SA"/>
        </w:rPr>
        <w:t>攀枝花市社会保险事务中心</w:t>
      </w:r>
      <w:r>
        <w:rPr>
          <w:rFonts w:hint="default" w:ascii="Times New Roman" w:hAnsi="Times New Roman" w:eastAsia="仿宋_GB2312" w:cs="Times New Roman"/>
          <w:color w:val="auto"/>
          <w:kern w:val="0"/>
          <w:sz w:val="32"/>
          <w:szCs w:val="32"/>
          <w:lang w:val="zh-CN" w:eastAsia="zh-CN" w:bidi="ar-SA"/>
        </w:rPr>
        <w:t>紧紧围绕</w:t>
      </w:r>
      <w:r>
        <w:rPr>
          <w:rFonts w:hint="default" w:ascii="Times New Roman" w:hAnsi="Times New Roman" w:eastAsia="仿宋_GB2312" w:cs="Times New Roman"/>
          <w:color w:val="auto"/>
          <w:kern w:val="0"/>
          <w:sz w:val="32"/>
          <w:szCs w:val="32"/>
          <w:lang w:val="en-US" w:eastAsia="zh-CN" w:bidi="ar-SA"/>
        </w:rPr>
        <w:t>年度</w:t>
      </w:r>
      <w:r>
        <w:rPr>
          <w:rFonts w:hint="default" w:ascii="Times New Roman" w:hAnsi="Times New Roman" w:eastAsia="仿宋_GB2312" w:cs="Times New Roman"/>
          <w:color w:val="auto"/>
          <w:kern w:val="0"/>
          <w:sz w:val="32"/>
          <w:szCs w:val="32"/>
          <w:lang w:val="zh-CN" w:eastAsia="zh-CN" w:bidi="ar-SA"/>
        </w:rPr>
        <w:t>目标任务和重点工作，按照财政部门预算绩效管理相关规定，</w:t>
      </w:r>
      <w:r>
        <w:rPr>
          <w:rFonts w:hint="default" w:ascii="Times New Roman" w:hAnsi="Times New Roman" w:eastAsia="仿宋_GB2312" w:cs="Times New Roman"/>
          <w:color w:val="auto"/>
          <w:kern w:val="0"/>
          <w:sz w:val="32"/>
          <w:szCs w:val="32"/>
          <w:lang w:val="en-US" w:eastAsia="zh-CN" w:bidi="ar-SA"/>
        </w:rPr>
        <w:t>结合实际</w:t>
      </w:r>
      <w:r>
        <w:rPr>
          <w:rFonts w:hint="default" w:ascii="Times New Roman" w:hAnsi="Times New Roman" w:eastAsia="仿宋_GB2312" w:cs="Times New Roman"/>
          <w:color w:val="auto"/>
          <w:kern w:val="0"/>
          <w:sz w:val="32"/>
          <w:szCs w:val="32"/>
          <w:lang w:val="zh-CN" w:eastAsia="zh-CN" w:bidi="ar-SA"/>
        </w:rPr>
        <w:t>从数量、质量、成本和时效等方面</w:t>
      </w:r>
      <w:r>
        <w:rPr>
          <w:rFonts w:hint="default" w:ascii="Times New Roman" w:hAnsi="Times New Roman" w:eastAsia="仿宋_GB2312" w:cs="Times New Roman"/>
          <w:color w:val="auto"/>
          <w:kern w:val="0"/>
          <w:sz w:val="32"/>
          <w:szCs w:val="32"/>
          <w:lang w:val="en-US" w:eastAsia="zh-CN" w:bidi="ar-SA"/>
        </w:rPr>
        <w:t>细化绩效指标，</w:t>
      </w:r>
      <w:r>
        <w:rPr>
          <w:rFonts w:hint="default" w:ascii="Times New Roman" w:hAnsi="Times New Roman" w:eastAsia="仿宋_GB2312" w:cs="Times New Roman"/>
          <w:color w:val="auto"/>
          <w:kern w:val="0"/>
          <w:sz w:val="32"/>
          <w:szCs w:val="32"/>
          <w:lang w:val="zh-CN" w:eastAsia="zh-CN" w:bidi="ar-SA"/>
        </w:rPr>
        <w:t>注重绩效目标符合客观实际，</w:t>
      </w:r>
      <w:r>
        <w:rPr>
          <w:rFonts w:hint="default" w:ascii="Times New Roman" w:hAnsi="Times New Roman" w:eastAsia="仿宋_GB2312" w:cs="Times New Roman"/>
          <w:color w:val="auto"/>
          <w:kern w:val="0"/>
          <w:sz w:val="32"/>
          <w:szCs w:val="32"/>
          <w:lang w:val="en-US" w:eastAsia="zh-CN" w:bidi="ar-SA"/>
        </w:rPr>
        <w:t>以定量方式表述，绩效目标设置科学</w:t>
      </w:r>
      <w:r>
        <w:rPr>
          <w:rFonts w:hint="default" w:ascii="Times New Roman" w:hAnsi="Times New Roman" w:eastAsia="仿宋_GB2312" w:cs="Times New Roman"/>
          <w:color w:val="auto"/>
          <w:kern w:val="0"/>
          <w:sz w:val="32"/>
          <w:szCs w:val="32"/>
          <w:lang w:val="zh-CN" w:eastAsia="zh-CN" w:bidi="ar-SA"/>
        </w:rPr>
        <w:t>。积极推进预算绩效运行管理，开展事中绩效监控，确保绩效目标实现。</w:t>
      </w:r>
      <w:r>
        <w:rPr>
          <w:rFonts w:hint="default" w:ascii="Times New Roman" w:hAnsi="Times New Roman" w:eastAsia="仿宋_GB2312" w:cs="Times New Roman"/>
          <w:color w:val="auto"/>
          <w:kern w:val="0"/>
          <w:sz w:val="32"/>
          <w:szCs w:val="32"/>
          <w:lang w:val="en-US" w:eastAsia="zh-CN" w:bidi="ar-SA"/>
        </w:rPr>
        <w:t>2025年度一般公共预算中</w:t>
      </w:r>
      <w:r>
        <w:rPr>
          <w:rFonts w:hint="default" w:ascii="Times New Roman" w:hAnsi="Times New Roman" w:eastAsia="仿宋_GB2312" w:cs="Times New Roman"/>
          <w:color w:val="auto"/>
          <w:kern w:val="0"/>
          <w:sz w:val="32"/>
          <w:szCs w:val="32"/>
          <w:lang w:val="zh-CN" w:eastAsia="zh-CN" w:bidi="ar-SA"/>
        </w:rPr>
        <w:t>工资、五险一金等人员支出保障了职工正常待遇按月发放；办公费、水电费、差旅费</w:t>
      </w:r>
      <w:r>
        <w:rPr>
          <w:rFonts w:hint="default" w:ascii="Times New Roman" w:hAnsi="Times New Roman" w:eastAsia="仿宋_GB2312" w:cs="Times New Roman"/>
          <w:color w:val="auto"/>
          <w:kern w:val="0"/>
          <w:sz w:val="32"/>
          <w:szCs w:val="32"/>
          <w:lang w:val="en-US" w:eastAsia="zh-CN" w:bidi="ar-SA"/>
        </w:rPr>
        <w:t>等日常开支</w:t>
      </w:r>
      <w:r>
        <w:rPr>
          <w:rFonts w:hint="default" w:ascii="Times New Roman" w:hAnsi="Times New Roman" w:eastAsia="仿宋_GB2312" w:cs="Times New Roman"/>
          <w:color w:val="auto"/>
          <w:kern w:val="0"/>
          <w:sz w:val="32"/>
          <w:szCs w:val="32"/>
          <w:lang w:val="zh-CN" w:eastAsia="zh-CN" w:bidi="ar-SA"/>
        </w:rPr>
        <w:t>，保障了中心日常办公和人员运转支出。202</w:t>
      </w:r>
      <w:r>
        <w:rPr>
          <w:rFonts w:hint="default" w:ascii="Times New Roman" w:hAnsi="Times New Roman" w:eastAsia="仿宋_GB2312" w:cs="Times New Roman"/>
          <w:color w:val="auto"/>
          <w:kern w:val="0"/>
          <w:sz w:val="32"/>
          <w:szCs w:val="32"/>
          <w:lang w:val="en-US" w:eastAsia="zh-CN" w:bidi="ar-SA"/>
        </w:rPr>
        <w:t>5</w:t>
      </w:r>
      <w:r>
        <w:rPr>
          <w:rFonts w:hint="default" w:ascii="Times New Roman" w:hAnsi="Times New Roman" w:eastAsia="仿宋_GB2312" w:cs="Times New Roman"/>
          <w:color w:val="auto"/>
          <w:kern w:val="0"/>
          <w:sz w:val="32"/>
          <w:szCs w:val="32"/>
          <w:lang w:val="zh-CN" w:eastAsia="zh-CN" w:bidi="ar-SA"/>
        </w:rPr>
        <w:t>年完成项目资金支付，达到预期目标。</w:t>
      </w:r>
    </w:p>
    <w:p w14:paraId="65F4C41F">
      <w:pPr>
        <w:keepNext w:val="0"/>
        <w:keepLines w:val="0"/>
        <w:pageBreakBefore w:val="0"/>
        <w:widowControl/>
        <w:kinsoku/>
        <w:wordWrap/>
        <w:overflowPunct/>
        <w:topLinePunct w:val="0"/>
        <w:autoSpaceDE/>
        <w:autoSpaceDN/>
        <w:bidi w:val="0"/>
        <w:adjustRightInd w:val="0"/>
        <w:snapToGrid w:val="0"/>
        <w:spacing w:line="600" w:lineRule="exact"/>
        <w:ind w:firstLine="643" w:firstLineChars="200"/>
        <w:contextualSpacing/>
        <w:jc w:val="both"/>
        <w:textAlignment w:val="auto"/>
        <w:rPr>
          <w:rFonts w:hint="default" w:ascii="Times New Roman" w:hAnsi="Times New Roman" w:eastAsia="楷体_GB2312" w:cs="Times New Roman"/>
          <w:b/>
          <w:bCs/>
          <w:color w:val="000000"/>
          <w:kern w:val="0"/>
          <w:sz w:val="32"/>
          <w:szCs w:val="32"/>
          <w:shd w:val="clear" w:color="auto" w:fill="FFFFFF"/>
          <w:lang w:val="zh-CN" w:eastAsia="zh-CN"/>
        </w:rPr>
      </w:pPr>
      <w:r>
        <w:rPr>
          <w:rFonts w:hint="default" w:ascii="Times New Roman" w:hAnsi="Times New Roman" w:eastAsia="楷体_GB2312" w:cs="Times New Roman"/>
          <w:b/>
          <w:bCs/>
          <w:color w:val="000000"/>
          <w:kern w:val="0"/>
          <w:sz w:val="32"/>
          <w:szCs w:val="32"/>
          <w:shd w:val="clear" w:color="auto" w:fill="FFFFFF"/>
          <w:lang w:val="zh-CN" w:eastAsia="zh-CN"/>
        </w:rPr>
        <w:t>（三）绩效结果应用情况</w:t>
      </w:r>
    </w:p>
    <w:p w14:paraId="0FD27A1D">
      <w:pPr>
        <w:keepNext w:val="0"/>
        <w:keepLines w:val="0"/>
        <w:pageBreakBefore w:val="0"/>
        <w:widowControl/>
        <w:kinsoku/>
        <w:wordWrap/>
        <w:overflowPunct/>
        <w:topLinePunct w:val="0"/>
        <w:autoSpaceDE/>
        <w:autoSpaceDN/>
        <w:bidi w:val="0"/>
        <w:adjustRightInd w:val="0"/>
        <w:snapToGrid w:val="0"/>
        <w:spacing w:line="600" w:lineRule="exact"/>
        <w:ind w:firstLine="640" w:firstLineChars="200"/>
        <w:contextualSpacing/>
        <w:jc w:val="both"/>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color w:val="auto"/>
          <w:kern w:val="0"/>
          <w:sz w:val="32"/>
          <w:szCs w:val="32"/>
          <w:lang w:val="zh-CN" w:eastAsia="zh-CN" w:bidi="ar-SA"/>
        </w:rPr>
        <w:t>攀枝花市</w:t>
      </w:r>
      <w:r>
        <w:rPr>
          <w:rFonts w:hint="default" w:ascii="Times New Roman" w:hAnsi="Times New Roman" w:eastAsia="仿宋_GB2312" w:cs="Times New Roman"/>
          <w:color w:val="auto"/>
          <w:kern w:val="0"/>
          <w:sz w:val="32"/>
          <w:szCs w:val="32"/>
          <w:lang w:val="en-US" w:eastAsia="zh-CN" w:bidi="ar-SA"/>
        </w:rPr>
        <w:t>社会保险事务中心</w:t>
      </w:r>
      <w:r>
        <w:rPr>
          <w:rFonts w:hint="default" w:ascii="Times New Roman" w:hAnsi="Times New Roman" w:eastAsia="仿宋_GB2312" w:cs="Times New Roman"/>
          <w:color w:val="auto"/>
          <w:kern w:val="0"/>
          <w:sz w:val="32"/>
          <w:szCs w:val="32"/>
          <w:lang w:val="zh-CN" w:eastAsia="zh-CN" w:bidi="ar-SA"/>
        </w:rPr>
        <w:t>将实际完成数和年度指标值进行对比分析，对预算指标进行合理评估，科学、合理的编制部门预算，提高资金使用效率，绩效自评结果拟在我中心网站公示公开。</w:t>
      </w:r>
    </w:p>
    <w:p w14:paraId="3BF4314E">
      <w:pPr>
        <w:keepNext w:val="0"/>
        <w:keepLines w:val="0"/>
        <w:pageBreakBefore w:val="0"/>
        <w:widowControl/>
        <w:kinsoku/>
        <w:wordWrap/>
        <w:overflowPunct/>
        <w:topLinePunct w:val="0"/>
        <w:autoSpaceDE/>
        <w:autoSpaceDN/>
        <w:bidi w:val="0"/>
        <w:adjustRightInd w:val="0"/>
        <w:snapToGrid w:val="0"/>
        <w:spacing w:line="600" w:lineRule="exact"/>
        <w:ind w:firstLine="640" w:firstLineChars="200"/>
        <w:contextualSpacing/>
        <w:jc w:val="both"/>
        <w:textAlignment w:val="auto"/>
        <w:rPr>
          <w:rFonts w:hint="default" w:ascii="Times New Roman" w:hAnsi="Times New Roman" w:eastAsia="黑体" w:cs="Times New Roman"/>
          <w:color w:val="000000"/>
          <w:kern w:val="0"/>
          <w:sz w:val="32"/>
          <w:szCs w:val="32"/>
          <w:shd w:val="clear" w:color="auto" w:fill="FFFFFF"/>
        </w:rPr>
      </w:pPr>
      <w:r>
        <w:rPr>
          <w:rFonts w:hint="default" w:ascii="Times New Roman" w:hAnsi="Times New Roman" w:eastAsia="黑体" w:cs="Times New Roman"/>
          <w:color w:val="000000"/>
          <w:kern w:val="0"/>
          <w:sz w:val="32"/>
          <w:szCs w:val="32"/>
          <w:shd w:val="clear" w:color="auto" w:fill="FFFFFF"/>
        </w:rPr>
        <w:t>四、评价结论及建议</w:t>
      </w:r>
    </w:p>
    <w:p w14:paraId="0468F9BA">
      <w:pPr>
        <w:keepNext w:val="0"/>
        <w:keepLines w:val="0"/>
        <w:pageBreakBefore w:val="0"/>
        <w:widowControl/>
        <w:kinsoku/>
        <w:wordWrap/>
        <w:overflowPunct/>
        <w:topLinePunct w:val="0"/>
        <w:autoSpaceDE/>
        <w:autoSpaceDN/>
        <w:bidi w:val="0"/>
        <w:adjustRightInd w:val="0"/>
        <w:snapToGrid w:val="0"/>
        <w:spacing w:line="600" w:lineRule="exact"/>
        <w:ind w:firstLine="643" w:firstLineChars="200"/>
        <w:contextualSpacing/>
        <w:jc w:val="both"/>
        <w:textAlignment w:val="auto"/>
        <w:rPr>
          <w:rFonts w:hint="default" w:ascii="Times New Roman" w:hAnsi="Times New Roman" w:eastAsia="楷体_GB2312" w:cs="Times New Roman"/>
          <w:b/>
          <w:bCs/>
          <w:color w:val="000000"/>
          <w:kern w:val="0"/>
          <w:sz w:val="32"/>
          <w:szCs w:val="32"/>
          <w:shd w:val="clear" w:color="auto" w:fill="FFFFFF"/>
          <w:lang w:val="zh-CN" w:eastAsia="zh-CN"/>
        </w:rPr>
      </w:pPr>
      <w:r>
        <w:rPr>
          <w:rFonts w:hint="default" w:ascii="Times New Roman" w:hAnsi="Times New Roman" w:eastAsia="楷体_GB2312" w:cs="Times New Roman"/>
          <w:b/>
          <w:bCs/>
          <w:color w:val="000000"/>
          <w:kern w:val="0"/>
          <w:sz w:val="32"/>
          <w:szCs w:val="32"/>
          <w:shd w:val="clear" w:color="auto" w:fill="FFFFFF"/>
          <w:lang w:val="zh-CN" w:eastAsia="zh-CN"/>
        </w:rPr>
        <w:t>（一）评价结论</w:t>
      </w:r>
    </w:p>
    <w:p w14:paraId="2D8698CC">
      <w:pPr>
        <w:keepNext w:val="0"/>
        <w:keepLines w:val="0"/>
        <w:pageBreakBefore w:val="0"/>
        <w:widowControl/>
        <w:kinsoku/>
        <w:wordWrap/>
        <w:overflowPunct/>
        <w:topLinePunct w:val="0"/>
        <w:autoSpaceDE/>
        <w:autoSpaceDN/>
        <w:bidi w:val="0"/>
        <w:adjustRightInd w:val="0"/>
        <w:snapToGrid w:val="0"/>
        <w:spacing w:line="600" w:lineRule="exact"/>
        <w:ind w:firstLine="640" w:firstLineChars="200"/>
        <w:contextualSpacing/>
        <w:jc w:val="both"/>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color w:val="auto"/>
          <w:kern w:val="0"/>
          <w:sz w:val="32"/>
          <w:szCs w:val="32"/>
          <w:lang w:val="zh-CN" w:eastAsia="zh-CN" w:bidi="ar-SA"/>
        </w:rPr>
        <w:t>202</w:t>
      </w:r>
      <w:r>
        <w:rPr>
          <w:rFonts w:hint="default" w:ascii="Times New Roman" w:hAnsi="Times New Roman" w:eastAsia="仿宋_GB2312" w:cs="Times New Roman"/>
          <w:color w:val="auto"/>
          <w:kern w:val="0"/>
          <w:sz w:val="32"/>
          <w:szCs w:val="32"/>
          <w:lang w:val="en-US" w:eastAsia="zh-CN" w:bidi="ar-SA"/>
        </w:rPr>
        <w:t>5</w:t>
      </w:r>
      <w:r>
        <w:rPr>
          <w:rFonts w:hint="default" w:ascii="Times New Roman" w:hAnsi="Times New Roman" w:eastAsia="仿宋_GB2312" w:cs="Times New Roman"/>
          <w:color w:val="auto"/>
          <w:kern w:val="0"/>
          <w:sz w:val="32"/>
          <w:szCs w:val="32"/>
          <w:lang w:val="zh-CN" w:eastAsia="zh-CN" w:bidi="ar-SA"/>
        </w:rPr>
        <w:t>年，攀枝花市社会保险事务中心着力推进社保改革任务落地落实、公共服务提质增效、运行管理提档升级、严防风险确保基金安全，推动全市社保经办事业高质量、可持续发展。扎实开展社保经办工作，不断提升人民群众获得感、幸福感和安全感，各项工作成效显著。继续确保各项社会保险待遇的按时足额发放和支付，维护参保人员合法权益，调整增加各类退休人员基本养老金，积极完善工伤保险信息系统功能，做好工伤保险预防工作，全面完成年初预算绩效目标及省级下达的目标任务。</w:t>
      </w:r>
    </w:p>
    <w:p w14:paraId="12430F2A">
      <w:pPr>
        <w:keepNext w:val="0"/>
        <w:keepLines w:val="0"/>
        <w:pageBreakBefore w:val="0"/>
        <w:widowControl/>
        <w:kinsoku/>
        <w:wordWrap/>
        <w:overflowPunct/>
        <w:topLinePunct w:val="0"/>
        <w:autoSpaceDE/>
        <w:autoSpaceDN/>
        <w:bidi w:val="0"/>
        <w:adjustRightInd w:val="0"/>
        <w:snapToGrid w:val="0"/>
        <w:spacing w:line="600" w:lineRule="exact"/>
        <w:ind w:firstLine="643" w:firstLineChars="200"/>
        <w:contextualSpacing/>
        <w:jc w:val="both"/>
        <w:textAlignment w:val="auto"/>
        <w:rPr>
          <w:rFonts w:hint="default" w:ascii="Times New Roman" w:hAnsi="Times New Roman" w:eastAsia="楷体_GB2312" w:cs="Times New Roman"/>
          <w:b/>
          <w:bCs/>
          <w:color w:val="000000"/>
          <w:kern w:val="0"/>
          <w:sz w:val="32"/>
          <w:szCs w:val="32"/>
          <w:shd w:val="clear" w:color="auto" w:fill="FFFFFF"/>
          <w:lang w:val="zh-CN" w:eastAsia="zh-CN"/>
        </w:rPr>
      </w:pPr>
      <w:r>
        <w:rPr>
          <w:rFonts w:hint="default" w:ascii="Times New Roman" w:hAnsi="Times New Roman" w:eastAsia="楷体_GB2312" w:cs="Times New Roman"/>
          <w:b/>
          <w:bCs/>
          <w:color w:val="000000"/>
          <w:kern w:val="0"/>
          <w:sz w:val="32"/>
          <w:szCs w:val="32"/>
          <w:shd w:val="clear" w:color="auto" w:fill="FFFFFF"/>
          <w:lang w:val="zh-CN" w:eastAsia="zh-CN"/>
        </w:rPr>
        <w:t>（二）存在问题</w:t>
      </w:r>
    </w:p>
    <w:p w14:paraId="032DE0D1">
      <w:pPr>
        <w:keepNext w:val="0"/>
        <w:keepLines w:val="0"/>
        <w:pageBreakBefore w:val="0"/>
        <w:widowControl/>
        <w:kinsoku/>
        <w:wordWrap/>
        <w:overflowPunct/>
        <w:topLinePunct w:val="0"/>
        <w:autoSpaceDE/>
        <w:autoSpaceDN/>
        <w:bidi w:val="0"/>
        <w:adjustRightInd w:val="0"/>
        <w:snapToGrid w:val="0"/>
        <w:spacing w:line="600" w:lineRule="exact"/>
        <w:ind w:firstLine="640" w:firstLineChars="200"/>
        <w:contextualSpacing/>
        <w:jc w:val="both"/>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color w:val="auto"/>
          <w:kern w:val="0"/>
          <w:sz w:val="32"/>
          <w:szCs w:val="32"/>
          <w:lang w:val="zh-CN" w:eastAsia="zh-CN" w:bidi="ar-SA"/>
        </w:rPr>
        <w:t>无。</w:t>
      </w:r>
    </w:p>
    <w:p w14:paraId="291E8101">
      <w:pPr>
        <w:keepNext w:val="0"/>
        <w:keepLines w:val="0"/>
        <w:pageBreakBefore w:val="0"/>
        <w:widowControl/>
        <w:kinsoku/>
        <w:wordWrap/>
        <w:overflowPunct/>
        <w:topLinePunct w:val="0"/>
        <w:autoSpaceDE/>
        <w:autoSpaceDN/>
        <w:bidi w:val="0"/>
        <w:adjustRightInd w:val="0"/>
        <w:snapToGrid w:val="0"/>
        <w:spacing w:line="600" w:lineRule="exact"/>
        <w:ind w:firstLine="643" w:firstLineChars="200"/>
        <w:contextualSpacing/>
        <w:jc w:val="both"/>
        <w:textAlignment w:val="auto"/>
        <w:rPr>
          <w:rFonts w:hint="default" w:ascii="Times New Roman" w:hAnsi="Times New Roman" w:eastAsia="宋体" w:cs="Times New Roman"/>
          <w:kern w:val="2"/>
          <w:sz w:val="21"/>
          <w:szCs w:val="24"/>
          <w:lang w:val="zh-CN" w:eastAsia="zh-CN" w:bidi="ar-SA"/>
        </w:rPr>
      </w:pPr>
      <w:r>
        <w:rPr>
          <w:rFonts w:hint="default" w:ascii="Times New Roman" w:hAnsi="Times New Roman" w:eastAsia="楷体_GB2312" w:cs="Times New Roman"/>
          <w:b/>
          <w:bCs/>
          <w:color w:val="000000"/>
          <w:kern w:val="0"/>
          <w:sz w:val="32"/>
          <w:szCs w:val="32"/>
          <w:shd w:val="clear" w:color="auto" w:fill="FFFFFF"/>
          <w:lang w:val="zh-CN" w:eastAsia="zh-CN"/>
        </w:rPr>
        <w:t>（三）改进建议</w:t>
      </w:r>
      <w:bookmarkStart w:id="53" w:name="_Hlk110546638"/>
    </w:p>
    <w:p w14:paraId="7049FFB3">
      <w:pPr>
        <w:keepNext w:val="0"/>
        <w:keepLines w:val="0"/>
        <w:pageBreakBefore w:val="0"/>
        <w:tabs>
          <w:tab w:val="left" w:pos="614"/>
        </w:tabs>
        <w:kinsoku/>
        <w:wordWrap/>
        <w:overflowPunct/>
        <w:topLinePunct w:val="0"/>
        <w:autoSpaceDE/>
        <w:autoSpaceDN/>
        <w:bidi w:val="0"/>
        <w:spacing w:line="600" w:lineRule="exact"/>
        <w:ind w:firstLine="420" w:firstLineChars="200"/>
        <w:jc w:val="both"/>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cs="Times New Roman"/>
          <w:lang w:val="zh-CN" w:eastAsia="zh-CN"/>
        </w:rPr>
        <w:tab/>
      </w:r>
      <w:bookmarkEnd w:id="53"/>
      <w:r>
        <w:rPr>
          <w:rFonts w:hint="default" w:ascii="Times New Roman" w:hAnsi="Times New Roman" w:eastAsia="仿宋_GB2312" w:cs="Times New Roman"/>
          <w:color w:val="auto"/>
          <w:kern w:val="0"/>
          <w:sz w:val="32"/>
          <w:szCs w:val="32"/>
          <w:lang w:val="zh-CN" w:eastAsia="zh-CN" w:bidi="ar-SA"/>
        </w:rPr>
        <w:t>在今后的工作中，我中心将加强与财政部门的紧密配合，开展好整体支出及项日资金绩效管理工作，运用好绩效评价的结果，不断提升预算管理水平。</w:t>
      </w:r>
    </w:p>
    <w:p w14:paraId="1FB1DA54">
      <w:pPr>
        <w:pStyle w:val="7"/>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default" w:ascii="Times New Roman" w:hAnsi="Times New Roman" w:eastAsia="仿宋_GB2312" w:cs="Times New Roman"/>
          <w:kern w:val="2"/>
          <w:sz w:val="32"/>
          <w:szCs w:val="32"/>
          <w:u w:val="none"/>
          <w:lang w:val="zh-CN" w:eastAsia="zh-CN" w:bidi="ar"/>
        </w:rPr>
      </w:pPr>
      <w:r>
        <w:rPr>
          <w:rFonts w:hint="default" w:ascii="Times New Roman" w:hAnsi="Times New Roman" w:eastAsia="仿宋_GB2312" w:cs="Times New Roman"/>
          <w:kern w:val="2"/>
          <w:sz w:val="32"/>
          <w:szCs w:val="32"/>
          <w:u w:val="none"/>
          <w:lang w:val="zh-CN" w:eastAsia="zh-CN" w:bidi="ar"/>
        </w:rPr>
        <w:t>附表：</w:t>
      </w:r>
      <w:r>
        <w:rPr>
          <w:rFonts w:hint="default" w:ascii="Times New Roman" w:hAnsi="Times New Roman" w:eastAsia="仿宋_GB2312" w:cs="Times New Roman"/>
          <w:kern w:val="2"/>
          <w:sz w:val="32"/>
          <w:szCs w:val="32"/>
          <w:u w:val="none"/>
          <w:lang w:val="en-US" w:eastAsia="zh-CN" w:bidi="ar"/>
        </w:rPr>
        <w:t>部门预算项目支出绩效自评表（2025年度）</w:t>
      </w:r>
    </w:p>
    <w:tbl>
      <w:tblPr>
        <w:tblStyle w:val="18"/>
        <w:tblW w:w="840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76"/>
        <w:gridCol w:w="1051"/>
        <w:gridCol w:w="917"/>
        <w:gridCol w:w="1131"/>
        <w:gridCol w:w="396"/>
        <w:gridCol w:w="874"/>
        <w:gridCol w:w="396"/>
        <w:gridCol w:w="861"/>
        <w:gridCol w:w="486"/>
        <w:gridCol w:w="486"/>
        <w:gridCol w:w="1226"/>
      </w:tblGrid>
      <w:tr w14:paraId="522496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6" w:hRule="atLeast"/>
        </w:trPr>
        <w:tc>
          <w:tcPr>
            <w:tcW w:w="8400"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4A14642C">
            <w:pPr>
              <w:keepNext w:val="0"/>
              <w:keepLines w:val="0"/>
              <w:widowControl/>
              <w:suppressLineNumbers w:val="0"/>
              <w:jc w:val="center"/>
              <w:textAlignment w:val="center"/>
              <w:rPr>
                <w:rFonts w:hint="default" w:ascii="Times New Roman" w:hAnsi="Times New Roman" w:eastAsia="黑体" w:cs="Times New Roman"/>
                <w:b/>
                <w:bCs/>
                <w:i w:val="0"/>
                <w:iCs w:val="0"/>
                <w:color w:val="000000"/>
                <w:sz w:val="30"/>
                <w:szCs w:val="30"/>
                <w:u w:val="none"/>
              </w:rPr>
            </w:pPr>
            <w:r>
              <w:rPr>
                <w:rFonts w:hint="default" w:ascii="Times New Roman" w:hAnsi="Times New Roman" w:eastAsia="黑体" w:cs="Times New Roman"/>
                <w:b/>
                <w:bCs/>
                <w:i w:val="0"/>
                <w:iCs w:val="0"/>
                <w:color w:val="000000"/>
                <w:kern w:val="0"/>
                <w:sz w:val="30"/>
                <w:szCs w:val="30"/>
                <w:u w:val="none"/>
                <w:lang w:val="en-US" w:eastAsia="zh-CN" w:bidi="ar"/>
              </w:rPr>
              <w:t>部门预算项目支出绩效自评表（2025年度）</w:t>
            </w:r>
          </w:p>
        </w:tc>
      </w:tr>
      <w:tr w14:paraId="624CEB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8" w:hRule="atLeast"/>
        </w:trPr>
        <w:tc>
          <w:tcPr>
            <w:tcW w:w="16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A6C3E1F">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项目名称</w:t>
            </w:r>
          </w:p>
        </w:tc>
        <w:tc>
          <w:tcPr>
            <w:tcW w:w="6773"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70F00033">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51040022T000007251342-省管森工社会化管理工作经费</w:t>
            </w:r>
          </w:p>
        </w:tc>
      </w:tr>
      <w:tr w14:paraId="78D25D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7" w:hRule="atLeast"/>
        </w:trPr>
        <w:tc>
          <w:tcPr>
            <w:tcW w:w="16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15B491C">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主管部门</w:t>
            </w:r>
          </w:p>
        </w:tc>
        <w:tc>
          <w:tcPr>
            <w:tcW w:w="371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3603239">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攀枝花市社会保险事务中心</w:t>
            </w:r>
          </w:p>
        </w:tc>
        <w:tc>
          <w:tcPr>
            <w:tcW w:w="861" w:type="dxa"/>
            <w:tcBorders>
              <w:top w:val="nil"/>
              <w:left w:val="nil"/>
              <w:bottom w:val="nil"/>
              <w:right w:val="nil"/>
            </w:tcBorders>
            <w:shd w:val="clear" w:color="auto" w:fill="auto"/>
            <w:vAlign w:val="center"/>
          </w:tcPr>
          <w:p w14:paraId="6AA31D42">
            <w:pPr>
              <w:keepNext w:val="0"/>
              <w:keepLines w:val="0"/>
              <w:widowControl/>
              <w:suppressLineNumbers w:val="0"/>
              <w:jc w:val="left"/>
              <w:textAlignment w:val="center"/>
              <w:rPr>
                <w:rFonts w:hint="default" w:ascii="Times New Roman" w:hAnsi="Times New Roman" w:eastAsia="黑体" w:cs="Times New Roman"/>
                <w:i w:val="0"/>
                <w:iCs w:val="0"/>
                <w:color w:val="000000"/>
                <w:sz w:val="18"/>
                <w:szCs w:val="18"/>
                <w:u w:val="none"/>
              </w:rPr>
            </w:pPr>
            <w:r>
              <w:rPr>
                <w:rFonts w:hint="default" w:ascii="Times New Roman" w:hAnsi="Times New Roman" w:eastAsia="黑体" w:cs="Times New Roman"/>
                <w:i w:val="0"/>
                <w:iCs w:val="0"/>
                <w:color w:val="000000"/>
                <w:kern w:val="0"/>
                <w:sz w:val="18"/>
                <w:szCs w:val="18"/>
                <w:u w:val="none"/>
                <w:lang w:val="en-US" w:eastAsia="zh-CN" w:bidi="ar"/>
              </w:rPr>
              <w:t>实施单位 （盖章）</w:t>
            </w:r>
          </w:p>
        </w:tc>
        <w:tc>
          <w:tcPr>
            <w:tcW w:w="219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335D3F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攀枝花市社会保险事务中心</w:t>
            </w:r>
          </w:p>
        </w:tc>
      </w:tr>
      <w:tr w14:paraId="695F81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8"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C495211">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项目基本情况</w:t>
            </w:r>
          </w:p>
        </w:tc>
        <w:tc>
          <w:tcPr>
            <w:tcW w:w="10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9A8EAC8">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1.项目年度目标完成情况</w:t>
            </w:r>
          </w:p>
        </w:tc>
        <w:tc>
          <w:tcPr>
            <w:tcW w:w="371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510178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项目年度目标</w:t>
            </w:r>
          </w:p>
        </w:tc>
        <w:tc>
          <w:tcPr>
            <w:tcW w:w="305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9EEB1A6">
            <w:pPr>
              <w:keepNext w:val="0"/>
              <w:keepLines w:val="0"/>
              <w:widowControl/>
              <w:suppressLineNumbers w:val="0"/>
              <w:jc w:val="center"/>
              <w:textAlignment w:val="center"/>
              <w:rPr>
                <w:rFonts w:hint="default" w:ascii="Times New Roman" w:hAnsi="Times New Roman" w:eastAsia="黑体" w:cs="Times New Roman"/>
                <w:i w:val="0"/>
                <w:iCs w:val="0"/>
                <w:color w:val="000000"/>
                <w:sz w:val="18"/>
                <w:szCs w:val="18"/>
                <w:u w:val="none"/>
              </w:rPr>
            </w:pPr>
            <w:r>
              <w:rPr>
                <w:rFonts w:hint="default" w:ascii="Times New Roman" w:hAnsi="Times New Roman" w:eastAsia="黑体" w:cs="Times New Roman"/>
                <w:i w:val="0"/>
                <w:iCs w:val="0"/>
                <w:color w:val="000000"/>
                <w:kern w:val="0"/>
                <w:sz w:val="18"/>
                <w:szCs w:val="18"/>
                <w:u w:val="none"/>
                <w:lang w:val="en-US" w:eastAsia="zh-CN" w:bidi="ar"/>
              </w:rPr>
              <w:t>年度目标完成情况</w:t>
            </w:r>
          </w:p>
        </w:tc>
      </w:tr>
      <w:tr w14:paraId="429B21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0"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EDAB96">
            <w:pPr>
              <w:rPr>
                <w:rFonts w:hint="default" w:ascii="Times New Roman" w:hAnsi="Times New Roman" w:eastAsia="宋体" w:cs="Times New Roman"/>
                <w:i w:val="0"/>
                <w:iCs w:val="0"/>
                <w:color w:val="000000"/>
                <w:sz w:val="18"/>
                <w:szCs w:val="18"/>
                <w:u w:val="none"/>
              </w:rPr>
            </w:pPr>
          </w:p>
        </w:tc>
        <w:tc>
          <w:tcPr>
            <w:tcW w:w="10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928B93">
            <w:pPr>
              <w:rPr>
                <w:rFonts w:hint="default" w:ascii="Times New Roman" w:hAnsi="Times New Roman" w:eastAsia="宋体" w:cs="Times New Roman"/>
                <w:i w:val="0"/>
                <w:iCs w:val="0"/>
                <w:color w:val="000000"/>
                <w:sz w:val="18"/>
                <w:szCs w:val="18"/>
                <w:u w:val="none"/>
              </w:rPr>
            </w:pPr>
          </w:p>
        </w:tc>
        <w:tc>
          <w:tcPr>
            <w:tcW w:w="371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3735007">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做好省管森工退休人员社会化管理工作</w:t>
            </w:r>
          </w:p>
        </w:tc>
        <w:tc>
          <w:tcPr>
            <w:tcW w:w="305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F45E6AD">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确保社保经办机构代管的省管森工企业离退休人员基本养老金按时足额发放，提升省管森工企业离退休人员社会化管理服务水平。</w:t>
            </w:r>
          </w:p>
        </w:tc>
      </w:tr>
      <w:tr w14:paraId="7FF741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1"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3F2018">
            <w:pPr>
              <w:rPr>
                <w:rFonts w:hint="default" w:ascii="Times New Roman" w:hAnsi="Times New Roman" w:eastAsia="宋体" w:cs="Times New Roman"/>
                <w:i w:val="0"/>
                <w:iCs w:val="0"/>
                <w:color w:val="000000"/>
                <w:sz w:val="18"/>
                <w:szCs w:val="18"/>
                <w:u w:val="none"/>
              </w:rPr>
            </w:pPr>
          </w:p>
        </w:tc>
        <w:tc>
          <w:tcPr>
            <w:tcW w:w="10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76968">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2.项目实施内容及过程概述</w:t>
            </w:r>
          </w:p>
        </w:tc>
        <w:tc>
          <w:tcPr>
            <w:tcW w:w="6773"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210A118A">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按月为省管森工企业离退休人员发放养老金，做好社会化管理服务工作。</w:t>
            </w:r>
          </w:p>
        </w:tc>
      </w:tr>
      <w:tr w14:paraId="4B9977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7"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9CC23D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预算执行情况（10分）</w:t>
            </w:r>
          </w:p>
        </w:tc>
        <w:tc>
          <w:tcPr>
            <w:tcW w:w="10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F184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年度预算数（万元）</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D956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年初预算</w:t>
            </w:r>
          </w:p>
        </w:tc>
        <w:tc>
          <w:tcPr>
            <w:tcW w:w="1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3EFE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调整后预算数</w:t>
            </w:r>
          </w:p>
        </w:tc>
        <w:tc>
          <w:tcPr>
            <w:tcW w:w="166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82362B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预算执行数</w:t>
            </w:r>
          </w:p>
        </w:tc>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6C7D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预算执行率</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5F5E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权重</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535D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得分</w:t>
            </w:r>
          </w:p>
        </w:tc>
        <w:tc>
          <w:tcPr>
            <w:tcW w:w="12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5A8A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原因</w:t>
            </w:r>
          </w:p>
        </w:tc>
      </w:tr>
      <w:tr w14:paraId="22B4E9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766BB7">
            <w:pPr>
              <w:jc w:val="center"/>
              <w:rPr>
                <w:rFonts w:hint="default" w:ascii="Times New Roman" w:hAnsi="Times New Roman" w:eastAsia="宋体" w:cs="Times New Roman"/>
                <w:i w:val="0"/>
                <w:iCs w:val="0"/>
                <w:color w:val="000000"/>
                <w:sz w:val="18"/>
                <w:szCs w:val="18"/>
                <w:u w:val="none"/>
              </w:rPr>
            </w:pPr>
          </w:p>
        </w:tc>
        <w:tc>
          <w:tcPr>
            <w:tcW w:w="10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949C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总额</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4BF6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w:t>
            </w:r>
          </w:p>
        </w:tc>
        <w:tc>
          <w:tcPr>
            <w:tcW w:w="1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3BB0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7.69</w:t>
            </w:r>
          </w:p>
        </w:tc>
        <w:tc>
          <w:tcPr>
            <w:tcW w:w="166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AB4328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7.69</w:t>
            </w:r>
          </w:p>
        </w:tc>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679B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8AF1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C088E">
            <w:pPr>
              <w:jc w:val="center"/>
              <w:rPr>
                <w:rFonts w:hint="default" w:ascii="Times New Roman" w:hAnsi="Times New Roman" w:eastAsia="宋体" w:cs="Times New Roman"/>
                <w:i w:val="0"/>
                <w:iCs w:val="0"/>
                <w:color w:val="000000"/>
                <w:sz w:val="18"/>
                <w:szCs w:val="18"/>
                <w:u w:val="none"/>
              </w:rPr>
            </w:pPr>
          </w:p>
        </w:tc>
        <w:tc>
          <w:tcPr>
            <w:tcW w:w="122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0492A60">
            <w:pPr>
              <w:rPr>
                <w:rFonts w:hint="default" w:ascii="Times New Roman" w:hAnsi="Times New Roman" w:eastAsia="黑体" w:cs="Times New Roman"/>
                <w:i/>
                <w:iCs/>
                <w:color w:val="000000"/>
                <w:sz w:val="18"/>
                <w:szCs w:val="18"/>
                <w:u w:val="none"/>
              </w:rPr>
            </w:pPr>
          </w:p>
        </w:tc>
      </w:tr>
      <w:tr w14:paraId="3841D8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2"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FC30CF">
            <w:pPr>
              <w:jc w:val="center"/>
              <w:rPr>
                <w:rFonts w:hint="default" w:ascii="Times New Roman" w:hAnsi="Times New Roman" w:eastAsia="宋体" w:cs="Times New Roman"/>
                <w:i w:val="0"/>
                <w:iCs w:val="0"/>
                <w:color w:val="000000"/>
                <w:sz w:val="18"/>
                <w:szCs w:val="18"/>
                <w:u w:val="none"/>
              </w:rPr>
            </w:pPr>
          </w:p>
        </w:tc>
        <w:tc>
          <w:tcPr>
            <w:tcW w:w="10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E3D0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其中：财政资金</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D1B1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w:t>
            </w:r>
          </w:p>
        </w:tc>
        <w:tc>
          <w:tcPr>
            <w:tcW w:w="1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29E5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7.69</w:t>
            </w:r>
          </w:p>
        </w:tc>
        <w:tc>
          <w:tcPr>
            <w:tcW w:w="166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EA7B43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7.69</w:t>
            </w:r>
          </w:p>
        </w:tc>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4BEE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9388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020F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w:t>
            </w:r>
          </w:p>
        </w:tc>
        <w:tc>
          <w:tcPr>
            <w:tcW w:w="12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6D7635">
            <w:pPr>
              <w:rPr>
                <w:rFonts w:hint="default" w:ascii="Times New Roman" w:hAnsi="Times New Roman" w:eastAsia="黑体" w:cs="Times New Roman"/>
                <w:i/>
                <w:iCs/>
                <w:color w:val="000000"/>
                <w:sz w:val="18"/>
                <w:szCs w:val="18"/>
                <w:u w:val="none"/>
              </w:rPr>
            </w:pPr>
          </w:p>
        </w:tc>
      </w:tr>
      <w:tr w14:paraId="22FAB7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6"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70316F">
            <w:pPr>
              <w:jc w:val="center"/>
              <w:rPr>
                <w:rFonts w:hint="default" w:ascii="Times New Roman" w:hAnsi="Times New Roman" w:eastAsia="宋体" w:cs="Times New Roman"/>
                <w:i w:val="0"/>
                <w:iCs w:val="0"/>
                <w:color w:val="000000"/>
                <w:sz w:val="18"/>
                <w:szCs w:val="18"/>
                <w:u w:val="none"/>
              </w:rPr>
            </w:pPr>
          </w:p>
        </w:tc>
        <w:tc>
          <w:tcPr>
            <w:tcW w:w="10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5F46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财政专户管理资金</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4C20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w:t>
            </w:r>
          </w:p>
        </w:tc>
        <w:tc>
          <w:tcPr>
            <w:tcW w:w="1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08B0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w:t>
            </w:r>
          </w:p>
        </w:tc>
        <w:tc>
          <w:tcPr>
            <w:tcW w:w="166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F95DAB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w:t>
            </w:r>
          </w:p>
        </w:tc>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8E62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7213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E500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w:t>
            </w:r>
          </w:p>
        </w:tc>
        <w:tc>
          <w:tcPr>
            <w:tcW w:w="12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5CD966">
            <w:pPr>
              <w:rPr>
                <w:rFonts w:hint="default" w:ascii="Times New Roman" w:hAnsi="Times New Roman" w:eastAsia="黑体" w:cs="Times New Roman"/>
                <w:i/>
                <w:iCs/>
                <w:color w:val="000000"/>
                <w:sz w:val="18"/>
                <w:szCs w:val="18"/>
                <w:u w:val="none"/>
              </w:rPr>
            </w:pPr>
          </w:p>
        </w:tc>
      </w:tr>
      <w:tr w14:paraId="6A4378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4"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AB78CA">
            <w:pPr>
              <w:jc w:val="center"/>
              <w:rPr>
                <w:rFonts w:hint="default" w:ascii="Times New Roman" w:hAnsi="Times New Roman" w:eastAsia="宋体" w:cs="Times New Roman"/>
                <w:i w:val="0"/>
                <w:iCs w:val="0"/>
                <w:color w:val="000000"/>
                <w:sz w:val="18"/>
                <w:szCs w:val="18"/>
                <w:u w:val="none"/>
              </w:rPr>
            </w:pPr>
          </w:p>
        </w:tc>
        <w:tc>
          <w:tcPr>
            <w:tcW w:w="10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EBE9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单位资金</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A009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w:t>
            </w:r>
          </w:p>
        </w:tc>
        <w:tc>
          <w:tcPr>
            <w:tcW w:w="1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4ECE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w:t>
            </w:r>
          </w:p>
        </w:tc>
        <w:tc>
          <w:tcPr>
            <w:tcW w:w="166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1D5DB8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w:t>
            </w:r>
          </w:p>
        </w:tc>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0459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0FEE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7045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w:t>
            </w:r>
          </w:p>
        </w:tc>
        <w:tc>
          <w:tcPr>
            <w:tcW w:w="12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9A8B87">
            <w:pPr>
              <w:rPr>
                <w:rFonts w:hint="default" w:ascii="Times New Roman" w:hAnsi="Times New Roman" w:eastAsia="黑体" w:cs="Times New Roman"/>
                <w:i/>
                <w:iCs/>
                <w:color w:val="000000"/>
                <w:sz w:val="18"/>
                <w:szCs w:val="18"/>
                <w:u w:val="none"/>
              </w:rPr>
            </w:pPr>
          </w:p>
        </w:tc>
      </w:tr>
      <w:tr w14:paraId="60BAD2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3"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CA4B54">
            <w:pPr>
              <w:jc w:val="center"/>
              <w:rPr>
                <w:rFonts w:hint="default" w:ascii="Times New Roman" w:hAnsi="Times New Roman" w:eastAsia="宋体" w:cs="Times New Roman"/>
                <w:i w:val="0"/>
                <w:iCs w:val="0"/>
                <w:color w:val="000000"/>
                <w:sz w:val="18"/>
                <w:szCs w:val="18"/>
                <w:u w:val="none"/>
              </w:rPr>
            </w:pPr>
          </w:p>
        </w:tc>
        <w:tc>
          <w:tcPr>
            <w:tcW w:w="10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1E56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其他资金</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CF740">
            <w:pPr>
              <w:jc w:val="center"/>
              <w:rPr>
                <w:rFonts w:hint="default" w:ascii="Times New Roman" w:hAnsi="Times New Roman" w:eastAsia="微软雅黑" w:cs="Times New Roman"/>
                <w:i/>
                <w:iCs/>
                <w:color w:val="000000"/>
                <w:sz w:val="16"/>
                <w:szCs w:val="16"/>
                <w:u w:val="none"/>
              </w:rPr>
            </w:pPr>
          </w:p>
        </w:tc>
        <w:tc>
          <w:tcPr>
            <w:tcW w:w="1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5FF32">
            <w:pPr>
              <w:jc w:val="center"/>
              <w:rPr>
                <w:rFonts w:hint="default" w:ascii="Times New Roman" w:hAnsi="Times New Roman" w:eastAsia="微软雅黑" w:cs="Times New Roman"/>
                <w:i/>
                <w:iCs/>
                <w:color w:val="000000"/>
                <w:sz w:val="16"/>
                <w:szCs w:val="16"/>
                <w:u w:val="none"/>
              </w:rPr>
            </w:pPr>
          </w:p>
        </w:tc>
        <w:tc>
          <w:tcPr>
            <w:tcW w:w="166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79B968C">
            <w:pPr>
              <w:jc w:val="center"/>
              <w:rPr>
                <w:rFonts w:hint="default" w:ascii="Times New Roman" w:hAnsi="Times New Roman" w:eastAsia="微软雅黑" w:cs="Times New Roman"/>
                <w:i/>
                <w:iCs/>
                <w:color w:val="000000"/>
                <w:sz w:val="16"/>
                <w:szCs w:val="16"/>
                <w:u w:val="none"/>
              </w:rPr>
            </w:pPr>
          </w:p>
        </w:tc>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6887D">
            <w:pPr>
              <w:jc w:val="center"/>
              <w:rPr>
                <w:rFonts w:hint="default" w:ascii="Times New Roman" w:hAnsi="Times New Roman" w:eastAsia="微软雅黑" w:cs="Times New Roman"/>
                <w:i/>
                <w:iCs/>
                <w:color w:val="000000"/>
                <w:sz w:val="16"/>
                <w:szCs w:val="16"/>
                <w:u w:val="none"/>
              </w:rPr>
            </w:pP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F9BA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EE66E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w:t>
            </w:r>
          </w:p>
        </w:tc>
        <w:tc>
          <w:tcPr>
            <w:tcW w:w="12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9F784A">
            <w:pPr>
              <w:rPr>
                <w:rFonts w:hint="default" w:ascii="Times New Roman" w:hAnsi="Times New Roman" w:eastAsia="黑体" w:cs="Times New Roman"/>
                <w:i/>
                <w:iCs/>
                <w:color w:val="000000"/>
                <w:sz w:val="18"/>
                <w:szCs w:val="18"/>
                <w:u w:val="none"/>
              </w:rPr>
            </w:pPr>
          </w:p>
        </w:tc>
      </w:tr>
      <w:tr w14:paraId="39E380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65" w:hRule="atLeast"/>
        </w:trPr>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C48DDB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绩效指标（90分）</w:t>
            </w:r>
          </w:p>
        </w:tc>
        <w:tc>
          <w:tcPr>
            <w:tcW w:w="10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859D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一级指标</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B394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二级指标</w:t>
            </w:r>
          </w:p>
        </w:tc>
        <w:tc>
          <w:tcPr>
            <w:tcW w:w="1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5981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三级指标</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431A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指标性质</w:t>
            </w:r>
          </w:p>
        </w:tc>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4EA7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指标值</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3D5F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度量单位</w:t>
            </w:r>
          </w:p>
        </w:tc>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7CE0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完成值</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414F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权重</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6667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得分</w:t>
            </w:r>
          </w:p>
        </w:tc>
        <w:tc>
          <w:tcPr>
            <w:tcW w:w="12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9510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未完成原因分析</w:t>
            </w:r>
          </w:p>
        </w:tc>
      </w:tr>
      <w:tr w14:paraId="2E118D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3"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4FB6D7">
            <w:pPr>
              <w:jc w:val="center"/>
              <w:rPr>
                <w:rFonts w:hint="default" w:ascii="Times New Roman" w:hAnsi="Times New Roman" w:eastAsia="宋体" w:cs="Times New Roman"/>
                <w:i w:val="0"/>
                <w:iCs w:val="0"/>
                <w:color w:val="000000"/>
                <w:sz w:val="18"/>
                <w:szCs w:val="18"/>
                <w:u w:val="none"/>
              </w:rPr>
            </w:pPr>
          </w:p>
        </w:tc>
        <w:tc>
          <w:tcPr>
            <w:tcW w:w="10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CD350A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产出指标</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3D89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数量指标</w:t>
            </w:r>
          </w:p>
        </w:tc>
        <w:tc>
          <w:tcPr>
            <w:tcW w:w="1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3649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森工企业退休人员数量</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0E61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w:t>
            </w:r>
          </w:p>
        </w:tc>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2E0A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750</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809E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人</w:t>
            </w:r>
          </w:p>
        </w:tc>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A932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750人</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A4FB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EC00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w:t>
            </w:r>
          </w:p>
        </w:tc>
        <w:tc>
          <w:tcPr>
            <w:tcW w:w="12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23428">
            <w:pPr>
              <w:jc w:val="center"/>
              <w:rPr>
                <w:rFonts w:hint="default" w:ascii="Times New Roman" w:hAnsi="Times New Roman" w:eastAsia="微软雅黑" w:cs="Times New Roman"/>
                <w:i/>
                <w:iCs/>
                <w:color w:val="000000"/>
                <w:sz w:val="16"/>
                <w:szCs w:val="16"/>
                <w:u w:val="none"/>
              </w:rPr>
            </w:pPr>
          </w:p>
        </w:tc>
      </w:tr>
      <w:tr w14:paraId="03E3EB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3"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1DEB62">
            <w:pPr>
              <w:jc w:val="center"/>
              <w:rPr>
                <w:rFonts w:hint="default" w:ascii="Times New Roman" w:hAnsi="Times New Roman" w:eastAsia="宋体" w:cs="Times New Roman"/>
                <w:i w:val="0"/>
                <w:iCs w:val="0"/>
                <w:color w:val="000000"/>
                <w:sz w:val="18"/>
                <w:szCs w:val="18"/>
                <w:u w:val="none"/>
              </w:rPr>
            </w:pPr>
          </w:p>
        </w:tc>
        <w:tc>
          <w:tcPr>
            <w:tcW w:w="10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13B884">
            <w:pPr>
              <w:jc w:val="center"/>
              <w:rPr>
                <w:rFonts w:hint="default" w:ascii="Times New Roman" w:hAnsi="Times New Roman" w:eastAsia="宋体" w:cs="Times New Roman"/>
                <w:i w:val="0"/>
                <w:iCs w:val="0"/>
                <w:color w:val="000000"/>
                <w:sz w:val="18"/>
                <w:szCs w:val="18"/>
                <w:u w:val="none"/>
              </w:rPr>
            </w:pP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BB80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质量指标</w:t>
            </w:r>
          </w:p>
        </w:tc>
        <w:tc>
          <w:tcPr>
            <w:tcW w:w="1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1F72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按时足额发放率</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5B03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w:t>
            </w:r>
          </w:p>
        </w:tc>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CFEC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100</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B7AB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w:t>
            </w:r>
          </w:p>
        </w:tc>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EDF6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D9B3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56B7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w:t>
            </w:r>
          </w:p>
        </w:tc>
        <w:tc>
          <w:tcPr>
            <w:tcW w:w="12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E2C32">
            <w:pPr>
              <w:jc w:val="center"/>
              <w:rPr>
                <w:rFonts w:hint="default" w:ascii="Times New Roman" w:hAnsi="Times New Roman" w:eastAsia="微软雅黑" w:cs="Times New Roman"/>
                <w:i/>
                <w:iCs/>
                <w:color w:val="000000"/>
                <w:sz w:val="16"/>
                <w:szCs w:val="16"/>
                <w:u w:val="none"/>
              </w:rPr>
            </w:pPr>
          </w:p>
        </w:tc>
      </w:tr>
      <w:tr w14:paraId="5BCA32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3"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0DEBDD">
            <w:pPr>
              <w:jc w:val="center"/>
              <w:rPr>
                <w:rFonts w:hint="default" w:ascii="Times New Roman" w:hAnsi="Times New Roman" w:eastAsia="宋体" w:cs="Times New Roman"/>
                <w:i w:val="0"/>
                <w:iCs w:val="0"/>
                <w:color w:val="000000"/>
                <w:sz w:val="18"/>
                <w:szCs w:val="18"/>
                <w:u w:val="none"/>
              </w:rPr>
            </w:pPr>
          </w:p>
        </w:tc>
        <w:tc>
          <w:tcPr>
            <w:tcW w:w="10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6984F0">
            <w:pPr>
              <w:jc w:val="center"/>
              <w:rPr>
                <w:rFonts w:hint="default" w:ascii="Times New Roman" w:hAnsi="Times New Roman" w:eastAsia="宋体" w:cs="Times New Roman"/>
                <w:i w:val="0"/>
                <w:iCs w:val="0"/>
                <w:color w:val="000000"/>
                <w:sz w:val="18"/>
                <w:szCs w:val="18"/>
                <w:u w:val="none"/>
              </w:rPr>
            </w:pP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2F07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时效指标</w:t>
            </w:r>
          </w:p>
        </w:tc>
        <w:tc>
          <w:tcPr>
            <w:tcW w:w="1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EEB6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完成时间</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41D1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w:t>
            </w:r>
          </w:p>
        </w:tc>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A654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6E35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年</w:t>
            </w:r>
          </w:p>
        </w:tc>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E3AA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1年内完成</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B27A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A449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w:t>
            </w:r>
          </w:p>
        </w:tc>
        <w:tc>
          <w:tcPr>
            <w:tcW w:w="12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A0E17">
            <w:pPr>
              <w:jc w:val="center"/>
              <w:rPr>
                <w:rFonts w:hint="default" w:ascii="Times New Roman" w:hAnsi="Times New Roman" w:eastAsia="微软雅黑" w:cs="Times New Roman"/>
                <w:i/>
                <w:iCs/>
                <w:color w:val="000000"/>
                <w:sz w:val="16"/>
                <w:szCs w:val="16"/>
                <w:u w:val="none"/>
              </w:rPr>
            </w:pPr>
          </w:p>
        </w:tc>
      </w:tr>
      <w:tr w14:paraId="37812F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7"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D81646">
            <w:pPr>
              <w:jc w:val="center"/>
              <w:rPr>
                <w:rFonts w:hint="default" w:ascii="Times New Roman" w:hAnsi="Times New Roman" w:eastAsia="宋体" w:cs="Times New Roman"/>
                <w:i w:val="0"/>
                <w:iCs w:val="0"/>
                <w:color w:val="000000"/>
                <w:sz w:val="18"/>
                <w:szCs w:val="18"/>
                <w:u w:val="none"/>
              </w:rPr>
            </w:pPr>
          </w:p>
        </w:tc>
        <w:tc>
          <w:tcPr>
            <w:tcW w:w="10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4FA4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效益指标</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61E7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社会效益指标</w:t>
            </w:r>
          </w:p>
        </w:tc>
        <w:tc>
          <w:tcPr>
            <w:tcW w:w="1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BA6A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维护社会稳定</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AC4D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定性</w:t>
            </w:r>
          </w:p>
        </w:tc>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462C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好</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2918D">
            <w:pPr>
              <w:jc w:val="center"/>
              <w:rPr>
                <w:rFonts w:hint="default" w:ascii="Times New Roman" w:hAnsi="Times New Roman" w:eastAsia="宋体" w:cs="Times New Roman"/>
                <w:i w:val="0"/>
                <w:iCs w:val="0"/>
                <w:color w:val="000000"/>
                <w:sz w:val="18"/>
                <w:szCs w:val="18"/>
                <w:u w:val="none"/>
              </w:rPr>
            </w:pPr>
          </w:p>
        </w:tc>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0720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好</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A957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AD99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w:t>
            </w:r>
          </w:p>
        </w:tc>
        <w:tc>
          <w:tcPr>
            <w:tcW w:w="12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1D9B7">
            <w:pPr>
              <w:jc w:val="center"/>
              <w:rPr>
                <w:rFonts w:hint="default" w:ascii="Times New Roman" w:hAnsi="Times New Roman" w:eastAsia="微软雅黑" w:cs="Times New Roman"/>
                <w:i/>
                <w:iCs/>
                <w:color w:val="000000"/>
                <w:sz w:val="16"/>
                <w:szCs w:val="16"/>
                <w:u w:val="none"/>
              </w:rPr>
            </w:pPr>
          </w:p>
        </w:tc>
      </w:tr>
      <w:tr w14:paraId="5F3E6D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7"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0655B3">
            <w:pPr>
              <w:jc w:val="center"/>
              <w:rPr>
                <w:rFonts w:hint="default" w:ascii="Times New Roman" w:hAnsi="Times New Roman" w:eastAsia="宋体" w:cs="Times New Roman"/>
                <w:i w:val="0"/>
                <w:iCs w:val="0"/>
                <w:color w:val="000000"/>
                <w:sz w:val="18"/>
                <w:szCs w:val="18"/>
                <w:u w:val="none"/>
              </w:rPr>
            </w:pPr>
          </w:p>
        </w:tc>
        <w:tc>
          <w:tcPr>
            <w:tcW w:w="10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3102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满意度指标</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9E41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服务对象满意度指标</w:t>
            </w:r>
          </w:p>
        </w:tc>
        <w:tc>
          <w:tcPr>
            <w:tcW w:w="1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9174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森工退休人员满意度</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8697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w:t>
            </w:r>
          </w:p>
        </w:tc>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C661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95</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E038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w:t>
            </w:r>
          </w:p>
        </w:tc>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D519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95%</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E330F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DB84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w:t>
            </w:r>
          </w:p>
        </w:tc>
        <w:tc>
          <w:tcPr>
            <w:tcW w:w="12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98504">
            <w:pPr>
              <w:jc w:val="center"/>
              <w:rPr>
                <w:rFonts w:hint="default" w:ascii="Times New Roman" w:hAnsi="Times New Roman" w:eastAsia="微软雅黑" w:cs="Times New Roman"/>
                <w:i/>
                <w:iCs/>
                <w:color w:val="000000"/>
                <w:sz w:val="16"/>
                <w:szCs w:val="16"/>
                <w:u w:val="none"/>
              </w:rPr>
            </w:pPr>
          </w:p>
        </w:tc>
      </w:tr>
      <w:tr w14:paraId="604F30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7" w:hRule="atLeast"/>
        </w:trPr>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D8FD17">
            <w:pPr>
              <w:jc w:val="center"/>
              <w:rPr>
                <w:rFonts w:hint="default" w:ascii="Times New Roman" w:hAnsi="Times New Roman" w:eastAsia="宋体" w:cs="Times New Roman"/>
                <w:i w:val="0"/>
                <w:iCs w:val="0"/>
                <w:color w:val="000000"/>
                <w:sz w:val="18"/>
                <w:szCs w:val="18"/>
                <w:u w:val="none"/>
              </w:rPr>
            </w:pPr>
          </w:p>
        </w:tc>
        <w:tc>
          <w:tcPr>
            <w:tcW w:w="10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90F1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成本指标</w:t>
            </w:r>
          </w:p>
        </w:tc>
        <w:tc>
          <w:tcPr>
            <w:tcW w:w="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0868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经济成本指标</w:t>
            </w:r>
          </w:p>
        </w:tc>
        <w:tc>
          <w:tcPr>
            <w:tcW w:w="1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C4E6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社会化管理工作成本</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9BD3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w:t>
            </w:r>
          </w:p>
        </w:tc>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4293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7.69</w:t>
            </w:r>
          </w:p>
        </w:tc>
        <w:tc>
          <w:tcPr>
            <w:tcW w:w="3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046E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万元</w:t>
            </w:r>
          </w:p>
        </w:tc>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80BB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7.69万元</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C30D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CFD8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w:t>
            </w:r>
          </w:p>
        </w:tc>
        <w:tc>
          <w:tcPr>
            <w:tcW w:w="12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1F39A">
            <w:pPr>
              <w:jc w:val="center"/>
              <w:rPr>
                <w:rFonts w:hint="default" w:ascii="Times New Roman" w:hAnsi="Times New Roman" w:eastAsia="微软雅黑" w:cs="Times New Roman"/>
                <w:i/>
                <w:iCs/>
                <w:color w:val="000000"/>
                <w:sz w:val="16"/>
                <w:szCs w:val="16"/>
                <w:u w:val="none"/>
              </w:rPr>
            </w:pPr>
          </w:p>
        </w:tc>
      </w:tr>
      <w:tr w14:paraId="68306F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8" w:hRule="atLeast"/>
        </w:trPr>
        <w:tc>
          <w:tcPr>
            <w:tcW w:w="6202"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46DA146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合计</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CFA3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100</w:t>
            </w:r>
          </w:p>
        </w:tc>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C117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100</w:t>
            </w:r>
          </w:p>
        </w:tc>
        <w:tc>
          <w:tcPr>
            <w:tcW w:w="12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19D2A">
            <w:pPr>
              <w:rPr>
                <w:rFonts w:hint="default" w:ascii="Times New Roman" w:hAnsi="Times New Roman" w:eastAsia="宋体" w:cs="Times New Roman"/>
                <w:i w:val="0"/>
                <w:iCs w:val="0"/>
                <w:color w:val="000000"/>
                <w:sz w:val="18"/>
                <w:szCs w:val="18"/>
                <w:u w:val="none"/>
              </w:rPr>
            </w:pPr>
          </w:p>
        </w:tc>
      </w:tr>
      <w:tr w14:paraId="3CEA2B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7"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1A6E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评价结论</w:t>
            </w:r>
          </w:p>
        </w:tc>
        <w:tc>
          <w:tcPr>
            <w:tcW w:w="7824"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435D543B">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项目自评总分100分，确保社保经办机构代管的省管森工企业离退休人员基本养老金按时足额发放，提升省管森工企业离退休人员社会化管理服务水平。2025年完成支付7.69万元，预算执行率100%。</w:t>
            </w:r>
          </w:p>
        </w:tc>
      </w:tr>
      <w:tr w14:paraId="088610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7"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D77B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存在问题</w:t>
            </w:r>
          </w:p>
        </w:tc>
        <w:tc>
          <w:tcPr>
            <w:tcW w:w="7824"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0A2BC2AF">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无</w:t>
            </w:r>
          </w:p>
        </w:tc>
      </w:tr>
      <w:tr w14:paraId="65E114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6"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C1C8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改进措施</w:t>
            </w:r>
          </w:p>
        </w:tc>
        <w:tc>
          <w:tcPr>
            <w:tcW w:w="7824"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3464E391">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无</w:t>
            </w:r>
          </w:p>
        </w:tc>
      </w:tr>
      <w:tr w14:paraId="2160C7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407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1DA7001">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项目负责人：杨红</w:t>
            </w:r>
          </w:p>
        </w:tc>
        <w:tc>
          <w:tcPr>
            <w:tcW w:w="4329"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6E92AAD">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财务负责人：高礼银</w:t>
            </w:r>
          </w:p>
        </w:tc>
      </w:tr>
    </w:tbl>
    <w:tbl>
      <w:tblPr>
        <w:tblStyle w:val="18"/>
        <w:tblpPr w:leftFromText="180" w:rightFromText="180" w:vertAnchor="text" w:horzAnchor="page" w:tblpX="1868" w:tblpY="681"/>
        <w:tblOverlap w:val="never"/>
        <w:tblW w:w="84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27"/>
        <w:gridCol w:w="728"/>
        <w:gridCol w:w="743"/>
        <w:gridCol w:w="743"/>
        <w:gridCol w:w="699"/>
        <w:gridCol w:w="936"/>
        <w:gridCol w:w="699"/>
        <w:gridCol w:w="936"/>
        <w:gridCol w:w="714"/>
        <w:gridCol w:w="714"/>
        <w:gridCol w:w="801"/>
      </w:tblGrid>
      <w:tr w14:paraId="509B77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93" w:hRule="atLeast"/>
        </w:trPr>
        <w:tc>
          <w:tcPr>
            <w:tcW w:w="8440"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6410D96F">
            <w:pPr>
              <w:keepNext w:val="0"/>
              <w:keepLines w:val="0"/>
              <w:widowControl/>
              <w:suppressLineNumbers w:val="0"/>
              <w:jc w:val="center"/>
              <w:textAlignment w:val="center"/>
              <w:rPr>
                <w:rFonts w:hint="default" w:ascii="Times New Roman" w:hAnsi="Times New Roman" w:eastAsia="黑体" w:cs="Times New Roman"/>
                <w:b/>
                <w:bCs/>
                <w:i w:val="0"/>
                <w:iCs w:val="0"/>
                <w:color w:val="000000"/>
                <w:sz w:val="30"/>
                <w:szCs w:val="30"/>
                <w:u w:val="none"/>
              </w:rPr>
            </w:pPr>
            <w:r>
              <w:rPr>
                <w:rFonts w:hint="default" w:ascii="Times New Roman" w:hAnsi="Times New Roman" w:eastAsia="黑体" w:cs="Times New Roman"/>
                <w:b/>
                <w:bCs/>
                <w:i w:val="0"/>
                <w:iCs w:val="0"/>
                <w:color w:val="000000"/>
                <w:kern w:val="0"/>
                <w:sz w:val="30"/>
                <w:szCs w:val="30"/>
                <w:u w:val="none"/>
                <w:lang w:val="en-US" w:eastAsia="zh-CN" w:bidi="ar"/>
              </w:rPr>
              <w:t>部门预算项目支出绩效自评表（2025年度）</w:t>
            </w:r>
          </w:p>
        </w:tc>
      </w:tr>
      <w:tr w14:paraId="699770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14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77CC4E7">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项目名称</w:t>
            </w:r>
          </w:p>
        </w:tc>
        <w:tc>
          <w:tcPr>
            <w:tcW w:w="6985"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257BC0D1">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51040023T000008702195-入驻政务中心单位租金、物业费及水电费</w:t>
            </w:r>
          </w:p>
        </w:tc>
      </w:tr>
      <w:tr w14:paraId="207013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14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64900E">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主管部门</w:t>
            </w:r>
          </w:p>
        </w:tc>
        <w:tc>
          <w:tcPr>
            <w:tcW w:w="382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69C8AC9">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攀枝花市社会保险事务中心</w:t>
            </w:r>
          </w:p>
        </w:tc>
        <w:tc>
          <w:tcPr>
            <w:tcW w:w="936" w:type="dxa"/>
            <w:tcBorders>
              <w:top w:val="nil"/>
              <w:left w:val="nil"/>
              <w:bottom w:val="nil"/>
              <w:right w:val="nil"/>
            </w:tcBorders>
            <w:shd w:val="clear" w:color="auto" w:fill="auto"/>
            <w:vAlign w:val="center"/>
          </w:tcPr>
          <w:p w14:paraId="2B0F8623">
            <w:pPr>
              <w:keepNext w:val="0"/>
              <w:keepLines w:val="0"/>
              <w:widowControl/>
              <w:suppressLineNumbers w:val="0"/>
              <w:jc w:val="left"/>
              <w:textAlignment w:val="center"/>
              <w:rPr>
                <w:rFonts w:hint="default" w:ascii="Times New Roman" w:hAnsi="Times New Roman" w:eastAsia="黑体" w:cs="Times New Roman"/>
                <w:i w:val="0"/>
                <w:iCs w:val="0"/>
                <w:color w:val="000000"/>
                <w:sz w:val="18"/>
                <w:szCs w:val="18"/>
                <w:u w:val="none"/>
              </w:rPr>
            </w:pPr>
            <w:r>
              <w:rPr>
                <w:rFonts w:hint="default" w:ascii="Times New Roman" w:hAnsi="Times New Roman" w:eastAsia="黑体" w:cs="Times New Roman"/>
                <w:i w:val="0"/>
                <w:iCs w:val="0"/>
                <w:color w:val="000000"/>
                <w:kern w:val="0"/>
                <w:sz w:val="18"/>
                <w:szCs w:val="18"/>
                <w:u w:val="none"/>
                <w:lang w:val="en-US" w:eastAsia="zh-CN" w:bidi="ar"/>
              </w:rPr>
              <w:t>实施单位 （盖章）</w:t>
            </w:r>
          </w:p>
        </w:tc>
        <w:tc>
          <w:tcPr>
            <w:tcW w:w="222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B1FC68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攀枝花市社会保险事务中心</w:t>
            </w:r>
          </w:p>
        </w:tc>
      </w:tr>
      <w:tr w14:paraId="51499E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72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7027689">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项目基本情况</w:t>
            </w:r>
          </w:p>
        </w:tc>
        <w:tc>
          <w:tcPr>
            <w:tcW w:w="72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263F30D">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1.项目年度目标完成情况</w:t>
            </w:r>
          </w:p>
        </w:tc>
        <w:tc>
          <w:tcPr>
            <w:tcW w:w="382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65617D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项目年度目标</w:t>
            </w:r>
          </w:p>
        </w:tc>
        <w:tc>
          <w:tcPr>
            <w:tcW w:w="316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CCDE4C5">
            <w:pPr>
              <w:keepNext w:val="0"/>
              <w:keepLines w:val="0"/>
              <w:widowControl/>
              <w:suppressLineNumbers w:val="0"/>
              <w:jc w:val="center"/>
              <w:textAlignment w:val="center"/>
              <w:rPr>
                <w:rFonts w:hint="default" w:ascii="Times New Roman" w:hAnsi="Times New Roman" w:eastAsia="黑体" w:cs="Times New Roman"/>
                <w:i w:val="0"/>
                <w:iCs w:val="0"/>
                <w:color w:val="000000"/>
                <w:sz w:val="18"/>
                <w:szCs w:val="18"/>
                <w:u w:val="none"/>
              </w:rPr>
            </w:pPr>
            <w:r>
              <w:rPr>
                <w:rFonts w:hint="default" w:ascii="Times New Roman" w:hAnsi="Times New Roman" w:eastAsia="黑体" w:cs="Times New Roman"/>
                <w:i w:val="0"/>
                <w:iCs w:val="0"/>
                <w:color w:val="000000"/>
                <w:kern w:val="0"/>
                <w:sz w:val="18"/>
                <w:szCs w:val="18"/>
                <w:u w:val="none"/>
                <w:lang w:val="en-US" w:eastAsia="zh-CN" w:bidi="ar"/>
              </w:rPr>
              <w:t>年度目标完成情况</w:t>
            </w:r>
          </w:p>
        </w:tc>
      </w:tr>
      <w:tr w14:paraId="66D1D6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2" w:hRule="atLeast"/>
        </w:trPr>
        <w:tc>
          <w:tcPr>
            <w:tcW w:w="7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4E58CD">
            <w:pPr>
              <w:rPr>
                <w:rFonts w:hint="default" w:ascii="Times New Roman" w:hAnsi="Times New Roman" w:eastAsia="宋体" w:cs="Times New Roman"/>
                <w:i w:val="0"/>
                <w:iCs w:val="0"/>
                <w:color w:val="000000"/>
                <w:sz w:val="18"/>
                <w:szCs w:val="18"/>
                <w:u w:val="none"/>
              </w:rPr>
            </w:pPr>
          </w:p>
        </w:tc>
        <w:tc>
          <w:tcPr>
            <w:tcW w:w="7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737247">
            <w:pPr>
              <w:rPr>
                <w:rFonts w:hint="default" w:ascii="Times New Roman" w:hAnsi="Times New Roman" w:eastAsia="宋体" w:cs="Times New Roman"/>
                <w:i w:val="0"/>
                <w:iCs w:val="0"/>
                <w:color w:val="000000"/>
                <w:sz w:val="18"/>
                <w:szCs w:val="18"/>
                <w:u w:val="none"/>
              </w:rPr>
            </w:pPr>
          </w:p>
        </w:tc>
        <w:tc>
          <w:tcPr>
            <w:tcW w:w="382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415E686">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入驻政务中心单位租金、物业费及水电费</w:t>
            </w:r>
          </w:p>
        </w:tc>
        <w:tc>
          <w:tcPr>
            <w:tcW w:w="316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EB111D3">
            <w:pPr>
              <w:keepNext w:val="0"/>
              <w:keepLines w:val="0"/>
              <w:widowControl/>
              <w:suppressLineNumbers w:val="0"/>
              <w:jc w:val="left"/>
              <w:textAlignment w:val="center"/>
              <w:rPr>
                <w:rFonts w:hint="default" w:ascii="Times New Roman" w:hAnsi="Times New Roman" w:eastAsia="黑体" w:cs="Times New Roman"/>
                <w:i w:val="0"/>
                <w:iCs w:val="0"/>
                <w:color w:val="000000"/>
                <w:sz w:val="18"/>
                <w:szCs w:val="18"/>
                <w:u w:val="none"/>
              </w:rPr>
            </w:pPr>
            <w:r>
              <w:rPr>
                <w:rStyle w:val="38"/>
                <w:rFonts w:hint="default" w:ascii="Times New Roman" w:hAnsi="Times New Roman" w:cs="Times New Roman"/>
                <w:lang w:val="en-US" w:eastAsia="zh-CN" w:bidi="ar"/>
              </w:rPr>
              <w:t>完成支付2025年入驻政务中心单位租金、物业费及水电费80.41</w:t>
            </w:r>
            <w:r>
              <w:rPr>
                <w:rStyle w:val="39"/>
                <w:rFonts w:hint="default" w:ascii="Times New Roman" w:hAnsi="Times New Roman" w:cs="Times New Roman"/>
                <w:lang w:val="en-US" w:eastAsia="zh-CN" w:bidi="ar"/>
              </w:rPr>
              <w:t>万元，保障单位正常运转。</w:t>
            </w:r>
          </w:p>
        </w:tc>
      </w:tr>
      <w:tr w14:paraId="103F05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4" w:hRule="atLeast"/>
        </w:trPr>
        <w:tc>
          <w:tcPr>
            <w:tcW w:w="7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17F5D3">
            <w:pPr>
              <w:rPr>
                <w:rFonts w:hint="default" w:ascii="Times New Roman" w:hAnsi="Times New Roman" w:eastAsia="宋体" w:cs="Times New Roman"/>
                <w:i w:val="0"/>
                <w:iCs w:val="0"/>
                <w:color w:val="000000"/>
                <w:sz w:val="18"/>
                <w:szCs w:val="18"/>
                <w:u w:val="none"/>
              </w:rPr>
            </w:pP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FCD0B">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2.项目实施内容及过程概述</w:t>
            </w:r>
          </w:p>
        </w:tc>
        <w:tc>
          <w:tcPr>
            <w:tcW w:w="6985"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32E8DF44">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按规定足额缴纳入驻政务中心单位租金、物业费及水电费。</w:t>
            </w:r>
          </w:p>
        </w:tc>
      </w:tr>
      <w:tr w14:paraId="693EAC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trPr>
        <w:tc>
          <w:tcPr>
            <w:tcW w:w="72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499ACE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预算执行情况（10分）</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7DC0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年度预算数（万元）</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5A58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年初预算</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AD59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调整后预算数</w:t>
            </w:r>
          </w:p>
        </w:tc>
        <w:tc>
          <w:tcPr>
            <w:tcW w:w="23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63DA36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预算执行数</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07A5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预算执行率</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075E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权重</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8062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得分</w:t>
            </w:r>
          </w:p>
        </w:tc>
        <w:tc>
          <w:tcPr>
            <w:tcW w:w="8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3082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原因</w:t>
            </w:r>
          </w:p>
        </w:tc>
      </w:tr>
      <w:tr w14:paraId="2FBCCF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7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12BB9E">
            <w:pPr>
              <w:jc w:val="center"/>
              <w:rPr>
                <w:rFonts w:hint="default" w:ascii="Times New Roman" w:hAnsi="Times New Roman" w:eastAsia="宋体" w:cs="Times New Roman"/>
                <w:i w:val="0"/>
                <w:iCs w:val="0"/>
                <w:color w:val="000000"/>
                <w:sz w:val="18"/>
                <w:szCs w:val="18"/>
                <w:u w:val="none"/>
              </w:rPr>
            </w:pP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ED6E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总额</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7F0C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80.41</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D3FE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80.41</w:t>
            </w:r>
          </w:p>
        </w:tc>
        <w:tc>
          <w:tcPr>
            <w:tcW w:w="23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85B5A3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80.41</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1F00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100.00%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5795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1E1A1">
            <w:pPr>
              <w:jc w:val="center"/>
              <w:rPr>
                <w:rFonts w:hint="default" w:ascii="Times New Roman" w:hAnsi="Times New Roman" w:eastAsia="宋体" w:cs="Times New Roman"/>
                <w:i w:val="0"/>
                <w:iCs w:val="0"/>
                <w:color w:val="000000"/>
                <w:sz w:val="18"/>
                <w:szCs w:val="18"/>
                <w:u w:val="none"/>
              </w:rPr>
            </w:pPr>
          </w:p>
        </w:tc>
        <w:tc>
          <w:tcPr>
            <w:tcW w:w="80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E98DF5A">
            <w:pPr>
              <w:rPr>
                <w:rFonts w:hint="default" w:ascii="Times New Roman" w:hAnsi="Times New Roman" w:eastAsia="黑体" w:cs="Times New Roman"/>
                <w:i/>
                <w:iCs/>
                <w:color w:val="000000"/>
                <w:sz w:val="18"/>
                <w:szCs w:val="18"/>
                <w:u w:val="none"/>
              </w:rPr>
            </w:pPr>
          </w:p>
        </w:tc>
      </w:tr>
      <w:tr w14:paraId="00CA3C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7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5D8A72">
            <w:pPr>
              <w:jc w:val="center"/>
              <w:rPr>
                <w:rFonts w:hint="default" w:ascii="Times New Roman" w:hAnsi="Times New Roman" w:eastAsia="宋体" w:cs="Times New Roman"/>
                <w:i w:val="0"/>
                <w:iCs w:val="0"/>
                <w:color w:val="000000"/>
                <w:sz w:val="18"/>
                <w:szCs w:val="18"/>
                <w:u w:val="none"/>
              </w:rPr>
            </w:pP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69AA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其中：财政资金</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D915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80.41</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2904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80.41</w:t>
            </w:r>
          </w:p>
        </w:tc>
        <w:tc>
          <w:tcPr>
            <w:tcW w:w="23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B0EFDD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80.41</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56F1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100.00%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DE55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6FCD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w:t>
            </w:r>
          </w:p>
        </w:tc>
        <w:tc>
          <w:tcPr>
            <w:tcW w:w="8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6FBD78">
            <w:pPr>
              <w:rPr>
                <w:rFonts w:hint="default" w:ascii="Times New Roman" w:hAnsi="Times New Roman" w:eastAsia="黑体" w:cs="Times New Roman"/>
                <w:i/>
                <w:iCs/>
                <w:color w:val="000000"/>
                <w:sz w:val="18"/>
                <w:szCs w:val="18"/>
                <w:u w:val="none"/>
              </w:rPr>
            </w:pPr>
          </w:p>
        </w:tc>
      </w:tr>
      <w:tr w14:paraId="7FB7ED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7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1D2DC2">
            <w:pPr>
              <w:jc w:val="center"/>
              <w:rPr>
                <w:rFonts w:hint="default" w:ascii="Times New Roman" w:hAnsi="Times New Roman" w:eastAsia="宋体" w:cs="Times New Roman"/>
                <w:i w:val="0"/>
                <w:iCs w:val="0"/>
                <w:color w:val="000000"/>
                <w:sz w:val="18"/>
                <w:szCs w:val="18"/>
                <w:u w:val="none"/>
              </w:rPr>
            </w:pP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D2B2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财政专户管理资金</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48F8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DC3F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w:t>
            </w:r>
          </w:p>
        </w:tc>
        <w:tc>
          <w:tcPr>
            <w:tcW w:w="23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E86500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3C64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0B6B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5F91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w:t>
            </w:r>
          </w:p>
        </w:tc>
        <w:tc>
          <w:tcPr>
            <w:tcW w:w="8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B8D9E9">
            <w:pPr>
              <w:rPr>
                <w:rFonts w:hint="default" w:ascii="Times New Roman" w:hAnsi="Times New Roman" w:eastAsia="黑体" w:cs="Times New Roman"/>
                <w:i/>
                <w:iCs/>
                <w:color w:val="000000"/>
                <w:sz w:val="18"/>
                <w:szCs w:val="18"/>
                <w:u w:val="none"/>
              </w:rPr>
            </w:pPr>
          </w:p>
        </w:tc>
      </w:tr>
      <w:tr w14:paraId="710E97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3" w:hRule="atLeast"/>
        </w:trPr>
        <w:tc>
          <w:tcPr>
            <w:tcW w:w="7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D8BD0C">
            <w:pPr>
              <w:jc w:val="center"/>
              <w:rPr>
                <w:rFonts w:hint="default" w:ascii="Times New Roman" w:hAnsi="Times New Roman" w:eastAsia="宋体" w:cs="Times New Roman"/>
                <w:i w:val="0"/>
                <w:iCs w:val="0"/>
                <w:color w:val="000000"/>
                <w:sz w:val="18"/>
                <w:szCs w:val="18"/>
                <w:u w:val="none"/>
              </w:rPr>
            </w:pP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860A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单位资金</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CAF0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78BB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w:t>
            </w:r>
          </w:p>
        </w:tc>
        <w:tc>
          <w:tcPr>
            <w:tcW w:w="23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599751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FFAD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99E0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5068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w:t>
            </w:r>
          </w:p>
        </w:tc>
        <w:tc>
          <w:tcPr>
            <w:tcW w:w="8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C3A5C7">
            <w:pPr>
              <w:rPr>
                <w:rFonts w:hint="default" w:ascii="Times New Roman" w:hAnsi="Times New Roman" w:eastAsia="黑体" w:cs="Times New Roman"/>
                <w:i/>
                <w:iCs/>
                <w:color w:val="000000"/>
                <w:sz w:val="18"/>
                <w:szCs w:val="18"/>
                <w:u w:val="none"/>
              </w:rPr>
            </w:pPr>
          </w:p>
        </w:tc>
      </w:tr>
      <w:tr w14:paraId="27C160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1" w:hRule="atLeast"/>
        </w:trPr>
        <w:tc>
          <w:tcPr>
            <w:tcW w:w="7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E8CB99">
            <w:pPr>
              <w:jc w:val="center"/>
              <w:rPr>
                <w:rFonts w:hint="default" w:ascii="Times New Roman" w:hAnsi="Times New Roman" w:eastAsia="宋体" w:cs="Times New Roman"/>
                <w:i w:val="0"/>
                <w:iCs w:val="0"/>
                <w:color w:val="000000"/>
                <w:sz w:val="18"/>
                <w:szCs w:val="18"/>
                <w:u w:val="none"/>
              </w:rPr>
            </w:pP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95AB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其他资金</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FA28B">
            <w:pPr>
              <w:jc w:val="center"/>
              <w:rPr>
                <w:rFonts w:hint="default" w:ascii="Times New Roman" w:hAnsi="Times New Roman" w:eastAsia="微软雅黑" w:cs="Times New Roman"/>
                <w:i/>
                <w:iCs/>
                <w:color w:val="000000"/>
                <w:sz w:val="16"/>
                <w:szCs w:val="16"/>
                <w:u w:val="none"/>
              </w:rPr>
            </w:pP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16564">
            <w:pPr>
              <w:jc w:val="center"/>
              <w:rPr>
                <w:rFonts w:hint="default" w:ascii="Times New Roman" w:hAnsi="Times New Roman" w:eastAsia="微软雅黑" w:cs="Times New Roman"/>
                <w:i/>
                <w:iCs/>
                <w:color w:val="000000"/>
                <w:sz w:val="16"/>
                <w:szCs w:val="16"/>
                <w:u w:val="none"/>
              </w:rPr>
            </w:pPr>
          </w:p>
        </w:tc>
        <w:tc>
          <w:tcPr>
            <w:tcW w:w="233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F9826B5">
            <w:pPr>
              <w:jc w:val="center"/>
              <w:rPr>
                <w:rFonts w:hint="default" w:ascii="Times New Roman" w:hAnsi="Times New Roman" w:eastAsia="微软雅黑" w:cs="Times New Roman"/>
                <w:i/>
                <w:iCs/>
                <w:color w:val="000000"/>
                <w:sz w:val="16"/>
                <w:szCs w:val="16"/>
                <w:u w:val="none"/>
              </w:rPr>
            </w:pP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71D73">
            <w:pPr>
              <w:jc w:val="center"/>
              <w:rPr>
                <w:rFonts w:hint="default" w:ascii="Times New Roman" w:hAnsi="Times New Roman" w:eastAsia="微软雅黑" w:cs="Times New Roman"/>
                <w:i/>
                <w:iCs/>
                <w:color w:val="000000"/>
                <w:sz w:val="16"/>
                <w:szCs w:val="16"/>
                <w:u w:val="none"/>
              </w:rPr>
            </w:pP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F6E5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3ACA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w:t>
            </w:r>
          </w:p>
        </w:tc>
        <w:tc>
          <w:tcPr>
            <w:tcW w:w="80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61A95B">
            <w:pPr>
              <w:rPr>
                <w:rFonts w:hint="default" w:ascii="Times New Roman" w:hAnsi="Times New Roman" w:eastAsia="黑体" w:cs="Times New Roman"/>
                <w:i/>
                <w:iCs/>
                <w:color w:val="000000"/>
                <w:sz w:val="18"/>
                <w:szCs w:val="18"/>
                <w:u w:val="none"/>
              </w:rPr>
            </w:pPr>
          </w:p>
        </w:tc>
      </w:tr>
      <w:tr w14:paraId="69815D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72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A3F666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绩效指标（90分）</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3520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一级指标</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23D3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二级指标</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B202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三级指标</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A68D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指标性质</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15AA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指标值</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84F8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度量单位</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F4F6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完成值</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3BF4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权重</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ABF5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得分</w:t>
            </w:r>
          </w:p>
        </w:tc>
        <w:tc>
          <w:tcPr>
            <w:tcW w:w="8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72D1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未完成原因分析</w:t>
            </w:r>
          </w:p>
        </w:tc>
      </w:tr>
      <w:tr w14:paraId="46E0C1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33" w:hRule="atLeast"/>
        </w:trPr>
        <w:tc>
          <w:tcPr>
            <w:tcW w:w="7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2DE455">
            <w:pPr>
              <w:jc w:val="center"/>
              <w:rPr>
                <w:rFonts w:hint="default" w:ascii="Times New Roman" w:hAnsi="Times New Roman" w:eastAsia="宋体" w:cs="Times New Roman"/>
                <w:i w:val="0"/>
                <w:iCs w:val="0"/>
                <w:color w:val="000000"/>
                <w:sz w:val="18"/>
                <w:szCs w:val="18"/>
                <w:u w:val="none"/>
              </w:rPr>
            </w:pPr>
          </w:p>
        </w:tc>
        <w:tc>
          <w:tcPr>
            <w:tcW w:w="72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A6D9CB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产出指标</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448FA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数量指标</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8088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入驻政务中心单位租金、物业费及水电费</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72CA4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CA78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804089.4</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4EA0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元/年</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394D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804089.4元</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C406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AB1A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w:t>
            </w:r>
          </w:p>
        </w:tc>
        <w:tc>
          <w:tcPr>
            <w:tcW w:w="8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FFD20">
            <w:pPr>
              <w:jc w:val="center"/>
              <w:rPr>
                <w:rFonts w:hint="default" w:ascii="Times New Roman" w:hAnsi="Times New Roman" w:eastAsia="微软雅黑" w:cs="Times New Roman"/>
                <w:i/>
                <w:iCs/>
                <w:color w:val="000000"/>
                <w:sz w:val="16"/>
                <w:szCs w:val="16"/>
                <w:u w:val="none"/>
              </w:rPr>
            </w:pPr>
          </w:p>
        </w:tc>
      </w:tr>
      <w:tr w14:paraId="49E76F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1" w:hRule="atLeast"/>
        </w:trPr>
        <w:tc>
          <w:tcPr>
            <w:tcW w:w="7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A4F451">
            <w:pPr>
              <w:jc w:val="center"/>
              <w:rPr>
                <w:rFonts w:hint="default" w:ascii="Times New Roman" w:hAnsi="Times New Roman" w:eastAsia="宋体" w:cs="Times New Roman"/>
                <w:i w:val="0"/>
                <w:iCs w:val="0"/>
                <w:color w:val="000000"/>
                <w:sz w:val="18"/>
                <w:szCs w:val="18"/>
                <w:u w:val="none"/>
              </w:rPr>
            </w:pPr>
          </w:p>
        </w:tc>
        <w:tc>
          <w:tcPr>
            <w:tcW w:w="7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BE8CDD">
            <w:pPr>
              <w:jc w:val="center"/>
              <w:rPr>
                <w:rFonts w:hint="default" w:ascii="Times New Roman" w:hAnsi="Times New Roman" w:eastAsia="宋体" w:cs="Times New Roman"/>
                <w:i w:val="0"/>
                <w:iCs w:val="0"/>
                <w:color w:val="000000"/>
                <w:sz w:val="18"/>
                <w:szCs w:val="18"/>
                <w:u w:val="none"/>
              </w:rPr>
            </w:pP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7FC9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质量指标</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E8E0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按时缴纳</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FD9B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定性</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C9618">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全额缴纳</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4AE93">
            <w:pPr>
              <w:jc w:val="center"/>
              <w:rPr>
                <w:rFonts w:hint="default" w:ascii="Times New Roman" w:hAnsi="Times New Roman" w:eastAsia="宋体" w:cs="Times New Roman"/>
                <w:i w:val="0"/>
                <w:iCs w:val="0"/>
                <w:color w:val="000000"/>
                <w:sz w:val="18"/>
                <w:szCs w:val="18"/>
                <w:u w:val="none"/>
              </w:rPr>
            </w:pP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5155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全额缴纳</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E91C4">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5B11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w:t>
            </w:r>
          </w:p>
        </w:tc>
        <w:tc>
          <w:tcPr>
            <w:tcW w:w="8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643EE">
            <w:pPr>
              <w:jc w:val="center"/>
              <w:rPr>
                <w:rFonts w:hint="default" w:ascii="Times New Roman" w:hAnsi="Times New Roman" w:eastAsia="微软雅黑" w:cs="Times New Roman"/>
                <w:i/>
                <w:iCs/>
                <w:color w:val="000000"/>
                <w:sz w:val="16"/>
                <w:szCs w:val="16"/>
                <w:u w:val="none"/>
              </w:rPr>
            </w:pPr>
          </w:p>
        </w:tc>
      </w:tr>
      <w:tr w14:paraId="60C94B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1" w:hRule="atLeast"/>
        </w:trPr>
        <w:tc>
          <w:tcPr>
            <w:tcW w:w="7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F10227">
            <w:pPr>
              <w:jc w:val="center"/>
              <w:rPr>
                <w:rFonts w:hint="default" w:ascii="Times New Roman" w:hAnsi="Times New Roman" w:eastAsia="宋体" w:cs="Times New Roman"/>
                <w:i w:val="0"/>
                <w:iCs w:val="0"/>
                <w:color w:val="000000"/>
                <w:sz w:val="18"/>
                <w:szCs w:val="18"/>
                <w:u w:val="none"/>
              </w:rPr>
            </w:pPr>
          </w:p>
        </w:tc>
        <w:tc>
          <w:tcPr>
            <w:tcW w:w="7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9062CF">
            <w:pPr>
              <w:jc w:val="center"/>
              <w:rPr>
                <w:rFonts w:hint="default" w:ascii="Times New Roman" w:hAnsi="Times New Roman" w:eastAsia="宋体" w:cs="Times New Roman"/>
                <w:i w:val="0"/>
                <w:iCs w:val="0"/>
                <w:color w:val="000000"/>
                <w:sz w:val="18"/>
                <w:szCs w:val="18"/>
                <w:u w:val="none"/>
              </w:rPr>
            </w:pP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202F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时效指标</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6A2D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完成时间</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9FA7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650DA">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A74B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年</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2811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1年内完成</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9C7E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5629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15</w:t>
            </w:r>
          </w:p>
        </w:tc>
        <w:tc>
          <w:tcPr>
            <w:tcW w:w="8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B5239">
            <w:pPr>
              <w:jc w:val="center"/>
              <w:rPr>
                <w:rFonts w:hint="default" w:ascii="Times New Roman" w:hAnsi="Times New Roman" w:eastAsia="微软雅黑" w:cs="Times New Roman"/>
                <w:i/>
                <w:iCs/>
                <w:color w:val="000000"/>
                <w:sz w:val="16"/>
                <w:szCs w:val="16"/>
                <w:u w:val="none"/>
              </w:rPr>
            </w:pPr>
          </w:p>
        </w:tc>
      </w:tr>
      <w:tr w14:paraId="138B90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7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76CA85">
            <w:pPr>
              <w:jc w:val="center"/>
              <w:rPr>
                <w:rFonts w:hint="default" w:ascii="Times New Roman" w:hAnsi="Times New Roman" w:eastAsia="宋体" w:cs="Times New Roman"/>
                <w:i w:val="0"/>
                <w:iCs w:val="0"/>
                <w:color w:val="000000"/>
                <w:sz w:val="18"/>
                <w:szCs w:val="18"/>
                <w:u w:val="none"/>
              </w:rPr>
            </w:pP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FAE6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效益指标</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71D4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社会效益指标</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6FE8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保障单位正常运转</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4764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定性</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DB28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良好</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2F4A4">
            <w:pPr>
              <w:jc w:val="center"/>
              <w:rPr>
                <w:rFonts w:hint="default" w:ascii="Times New Roman" w:hAnsi="Times New Roman" w:eastAsia="宋体" w:cs="Times New Roman"/>
                <w:i w:val="0"/>
                <w:iCs w:val="0"/>
                <w:color w:val="000000"/>
                <w:sz w:val="18"/>
                <w:szCs w:val="18"/>
                <w:u w:val="none"/>
              </w:rPr>
            </w:pP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79D2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良好</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9291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78F17">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w:t>
            </w:r>
          </w:p>
        </w:tc>
        <w:tc>
          <w:tcPr>
            <w:tcW w:w="8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BFD69">
            <w:pPr>
              <w:jc w:val="center"/>
              <w:rPr>
                <w:rFonts w:hint="default" w:ascii="Times New Roman" w:hAnsi="Times New Roman" w:eastAsia="微软雅黑" w:cs="Times New Roman"/>
                <w:i/>
                <w:iCs/>
                <w:color w:val="000000"/>
                <w:sz w:val="16"/>
                <w:szCs w:val="16"/>
                <w:u w:val="none"/>
              </w:rPr>
            </w:pPr>
          </w:p>
        </w:tc>
      </w:tr>
      <w:tr w14:paraId="7DA505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4" w:hRule="atLeast"/>
        </w:trPr>
        <w:tc>
          <w:tcPr>
            <w:tcW w:w="7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899101">
            <w:pPr>
              <w:jc w:val="center"/>
              <w:rPr>
                <w:rFonts w:hint="default" w:ascii="Times New Roman" w:hAnsi="Times New Roman" w:eastAsia="宋体" w:cs="Times New Roman"/>
                <w:i w:val="0"/>
                <w:iCs w:val="0"/>
                <w:color w:val="000000"/>
                <w:sz w:val="18"/>
                <w:szCs w:val="18"/>
                <w:u w:val="none"/>
              </w:rPr>
            </w:pP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6C9B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满意度指标</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AB59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服务对象满意度指标</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B15B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物业公司</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F2A6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定性</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B4F4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满意</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3F32C">
            <w:pPr>
              <w:jc w:val="center"/>
              <w:rPr>
                <w:rFonts w:hint="default" w:ascii="Times New Roman" w:hAnsi="Times New Roman" w:eastAsia="宋体" w:cs="Times New Roman"/>
                <w:i w:val="0"/>
                <w:iCs w:val="0"/>
                <w:color w:val="000000"/>
                <w:sz w:val="18"/>
                <w:szCs w:val="18"/>
                <w:u w:val="none"/>
              </w:rPr>
            </w:pP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AF37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满意</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9CE2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5144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w:t>
            </w:r>
          </w:p>
        </w:tc>
        <w:tc>
          <w:tcPr>
            <w:tcW w:w="8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91331">
            <w:pPr>
              <w:jc w:val="center"/>
              <w:rPr>
                <w:rFonts w:hint="default" w:ascii="Times New Roman" w:hAnsi="Times New Roman" w:eastAsia="微软雅黑" w:cs="Times New Roman"/>
                <w:i/>
                <w:iCs/>
                <w:color w:val="000000"/>
                <w:sz w:val="16"/>
                <w:szCs w:val="16"/>
                <w:u w:val="none"/>
              </w:rPr>
            </w:pPr>
          </w:p>
        </w:tc>
      </w:tr>
      <w:tr w14:paraId="2367EC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33" w:hRule="atLeast"/>
        </w:trPr>
        <w:tc>
          <w:tcPr>
            <w:tcW w:w="7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9B5D25">
            <w:pPr>
              <w:jc w:val="center"/>
              <w:rPr>
                <w:rFonts w:hint="default" w:ascii="Times New Roman" w:hAnsi="Times New Roman" w:eastAsia="宋体" w:cs="Times New Roman"/>
                <w:i w:val="0"/>
                <w:iCs w:val="0"/>
                <w:color w:val="000000"/>
                <w:sz w:val="18"/>
                <w:szCs w:val="18"/>
                <w:u w:val="none"/>
              </w:rPr>
            </w:pP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3ADD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成本指标</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901C9">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经济成本指标</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F3B8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入驻政务中心单位租金、物业费及水电费</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CD3E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8322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804089.4</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55661">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元/年</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D5B60">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804089.4元</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D26BD">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5FA4C">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20</w:t>
            </w:r>
          </w:p>
        </w:tc>
        <w:tc>
          <w:tcPr>
            <w:tcW w:w="8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EEE11">
            <w:pPr>
              <w:jc w:val="center"/>
              <w:rPr>
                <w:rFonts w:hint="default" w:ascii="Times New Roman" w:hAnsi="Times New Roman" w:eastAsia="微软雅黑" w:cs="Times New Roman"/>
                <w:i/>
                <w:iCs/>
                <w:color w:val="000000"/>
                <w:sz w:val="16"/>
                <w:szCs w:val="16"/>
                <w:u w:val="none"/>
              </w:rPr>
            </w:pPr>
          </w:p>
        </w:tc>
      </w:tr>
      <w:tr w14:paraId="5BAB30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6211"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7F0533B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合计</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4C09B">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100</w:t>
            </w:r>
          </w:p>
        </w:tc>
        <w:tc>
          <w:tcPr>
            <w:tcW w:w="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133F3">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100</w:t>
            </w:r>
          </w:p>
        </w:tc>
        <w:tc>
          <w:tcPr>
            <w:tcW w:w="8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F6CB4">
            <w:pPr>
              <w:rPr>
                <w:rFonts w:hint="default" w:ascii="Times New Roman" w:hAnsi="Times New Roman" w:eastAsia="宋体" w:cs="Times New Roman"/>
                <w:i w:val="0"/>
                <w:iCs w:val="0"/>
                <w:color w:val="000000"/>
                <w:sz w:val="18"/>
                <w:szCs w:val="18"/>
                <w:u w:val="none"/>
              </w:rPr>
            </w:pPr>
          </w:p>
        </w:tc>
      </w:tr>
      <w:tr w14:paraId="0607BF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F725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评价结论</w:t>
            </w:r>
          </w:p>
        </w:tc>
        <w:tc>
          <w:tcPr>
            <w:tcW w:w="7713"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11FED0FE">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项目自评总分100分，按规定足额缴纳入驻政务中心单位租金、物业费及水电费，保障单位正常运转。2025年完成支付入80.41万元，预算执行率100%。</w:t>
            </w:r>
          </w:p>
        </w:tc>
      </w:tr>
      <w:tr w14:paraId="464410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9" w:hRule="atLeast"/>
        </w:trPr>
        <w:tc>
          <w:tcPr>
            <w:tcW w:w="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BC07F">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存在问题</w:t>
            </w:r>
          </w:p>
        </w:tc>
        <w:tc>
          <w:tcPr>
            <w:tcW w:w="7713"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3FA6B4B5">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无</w:t>
            </w:r>
          </w:p>
        </w:tc>
      </w:tr>
      <w:tr w14:paraId="0B2F04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8" w:hRule="atLeast"/>
        </w:trPr>
        <w:tc>
          <w:tcPr>
            <w:tcW w:w="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B710E">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改进措施</w:t>
            </w:r>
          </w:p>
        </w:tc>
        <w:tc>
          <w:tcPr>
            <w:tcW w:w="7713"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6B4C89CA">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无</w:t>
            </w:r>
          </w:p>
        </w:tc>
      </w:tr>
      <w:tr w14:paraId="22FAA9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5" w:hRule="atLeast"/>
        </w:trPr>
        <w:tc>
          <w:tcPr>
            <w:tcW w:w="364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64EC2F4">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项目负责人：杨红</w:t>
            </w:r>
          </w:p>
        </w:tc>
        <w:tc>
          <w:tcPr>
            <w:tcW w:w="4800"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1DC984D1">
            <w:pPr>
              <w:keepNext w:val="0"/>
              <w:keepLines w:val="0"/>
              <w:widowControl/>
              <w:suppressLineNumbers w:val="0"/>
              <w:jc w:val="left"/>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财务负责人：高礼银</w:t>
            </w:r>
          </w:p>
        </w:tc>
      </w:tr>
    </w:tbl>
    <w:p w14:paraId="31A0614D">
      <w:pPr>
        <w:pStyle w:val="7"/>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default" w:ascii="Times New Roman" w:hAnsi="Times New Roman" w:eastAsia="仿宋_GB2312" w:cs="Times New Roman"/>
          <w:b w:val="0"/>
          <w:bCs w:val="0"/>
          <w:kern w:val="0"/>
          <w:position w:val="0"/>
          <w:sz w:val="32"/>
          <w:szCs w:val="32"/>
          <w:highlight w:val="none"/>
          <w:lang w:val="en-US" w:eastAsia="zh-CN" w:bidi="ar-SA"/>
        </w:rPr>
      </w:pPr>
    </w:p>
    <w:p w14:paraId="19F83DF2">
      <w:pPr>
        <w:rPr>
          <w:rFonts w:hint="default" w:ascii="Times New Roman" w:hAnsi="Times New Roman" w:cs="Times New Roman"/>
          <w:lang w:val="en-US" w:eastAsia="zh-CN"/>
        </w:rPr>
      </w:pPr>
    </w:p>
    <w:p w14:paraId="23FA5C78">
      <w:pPr>
        <w:pStyle w:val="7"/>
        <w:keepNext w:val="0"/>
        <w:keepLines w:val="0"/>
        <w:pageBreakBefore w:val="0"/>
        <w:numPr>
          <w:ilvl w:val="0"/>
          <w:numId w:val="0"/>
        </w:numPr>
        <w:kinsoku/>
        <w:wordWrap/>
        <w:overflowPunct/>
        <w:topLinePunct w:val="0"/>
        <w:autoSpaceDE/>
        <w:autoSpaceDN/>
        <w:bidi w:val="0"/>
        <w:spacing w:line="560" w:lineRule="exact"/>
        <w:textAlignment w:val="auto"/>
        <w:rPr>
          <w:rFonts w:hint="default" w:ascii="Times New Roman" w:hAnsi="Times New Roman" w:cs="Times New Roman"/>
          <w:sz w:val="32"/>
          <w:szCs w:val="32"/>
          <w:highlight w:val="yellow"/>
          <w:lang w:val="zh-CN" w:eastAsia="zh-CN"/>
        </w:rPr>
      </w:pPr>
    </w:p>
    <w:p w14:paraId="039380D7">
      <w:pPr>
        <w:pStyle w:val="5"/>
        <w:rPr>
          <w:rFonts w:hint="default" w:ascii="Times New Roman" w:hAnsi="Times New Roman" w:cs="Times New Roman"/>
          <w:color w:val="FF0000"/>
          <w:kern w:val="0"/>
          <w:sz w:val="32"/>
          <w:szCs w:val="32"/>
          <w:highlight w:val="yellow"/>
          <w:shd w:val="clear" w:color="auto" w:fill="FFFFFF"/>
          <w:lang w:val="zh-CN"/>
        </w:rPr>
      </w:pPr>
    </w:p>
    <w:p w14:paraId="33A8F8B9">
      <w:pPr>
        <w:rPr>
          <w:rFonts w:hint="default" w:ascii="Times New Roman" w:hAnsi="Times New Roman" w:eastAsia="黑体" w:cs="Times New Roman"/>
          <w:color w:val="auto"/>
          <w:kern w:val="0"/>
          <w:sz w:val="32"/>
          <w:szCs w:val="32"/>
          <w:highlight w:val="none"/>
          <w:shd w:val="clear" w:color="auto" w:fill="FFFFFF"/>
          <w:lang w:val="zh-CN"/>
        </w:rPr>
      </w:pPr>
      <w:r>
        <w:rPr>
          <w:rFonts w:hint="default" w:ascii="Times New Roman" w:hAnsi="Times New Roman" w:eastAsia="黑体" w:cs="Times New Roman"/>
          <w:color w:val="auto"/>
          <w:kern w:val="0"/>
          <w:sz w:val="32"/>
          <w:szCs w:val="32"/>
          <w:highlight w:val="none"/>
          <w:shd w:val="clear" w:color="auto" w:fill="FFFFFF"/>
          <w:lang w:val="zh-CN"/>
        </w:rPr>
        <w:br w:type="page"/>
      </w:r>
    </w:p>
    <w:p w14:paraId="69A80A1E">
      <w:pPr>
        <w:pStyle w:val="5"/>
        <w:rPr>
          <w:rFonts w:hint="eastAsia" w:ascii="方正黑体_GBK" w:hAnsi="方正黑体_GBK" w:eastAsia="方正黑体_GBK" w:cs="方正黑体_GBK"/>
          <w:color w:val="auto"/>
          <w:sz w:val="32"/>
          <w:szCs w:val="32"/>
          <w:highlight w:val="none"/>
          <w:lang w:val="en-US" w:eastAsia="zh-CN"/>
        </w:rPr>
      </w:pPr>
      <w:r>
        <w:rPr>
          <w:rFonts w:hint="eastAsia" w:ascii="方正黑体_GBK" w:hAnsi="方正黑体_GBK" w:eastAsia="方正黑体_GBK" w:cs="方正黑体_GBK"/>
          <w:color w:val="auto"/>
          <w:kern w:val="0"/>
          <w:sz w:val="32"/>
          <w:szCs w:val="32"/>
          <w:highlight w:val="none"/>
          <w:shd w:val="clear" w:color="auto" w:fill="FFFFFF"/>
          <w:lang w:val="zh-CN"/>
        </w:rPr>
        <w:t>附件</w:t>
      </w:r>
      <w:r>
        <w:rPr>
          <w:rFonts w:hint="eastAsia" w:ascii="方正黑体_GBK" w:hAnsi="方正黑体_GBK" w:eastAsia="方正黑体_GBK" w:cs="方正黑体_GBK"/>
          <w:color w:val="auto"/>
          <w:kern w:val="0"/>
          <w:sz w:val="32"/>
          <w:szCs w:val="32"/>
          <w:highlight w:val="none"/>
          <w:shd w:val="clear" w:color="auto" w:fill="FFFFFF"/>
          <w:lang w:val="en-US" w:eastAsia="zh-CN"/>
        </w:rPr>
        <w:t>2</w:t>
      </w:r>
    </w:p>
    <w:p w14:paraId="07D2DC10">
      <w:pPr>
        <w:pStyle w:val="37"/>
        <w:spacing w:line="600" w:lineRule="exact"/>
        <w:jc w:val="center"/>
        <w:rPr>
          <w:rFonts w:hint="default" w:ascii="Times New Roman" w:hAnsi="Times New Roman" w:eastAsia="方正小标宋简体" w:cs="Times New Roman"/>
          <w:color w:val="auto"/>
          <w:kern w:val="2"/>
          <w:sz w:val="40"/>
          <w:szCs w:val="40"/>
        </w:rPr>
      </w:pPr>
      <w:r>
        <w:rPr>
          <w:rFonts w:hint="default" w:ascii="Times New Roman" w:hAnsi="Times New Roman" w:eastAsia="方正小标宋简体" w:cs="Times New Roman"/>
          <w:color w:val="auto"/>
          <w:kern w:val="2"/>
          <w:sz w:val="40"/>
          <w:szCs w:val="40"/>
        </w:rPr>
        <w:t>攀枝花市社会保险事务中心</w:t>
      </w:r>
    </w:p>
    <w:p w14:paraId="53A81238">
      <w:pPr>
        <w:pStyle w:val="37"/>
        <w:spacing w:line="600" w:lineRule="exact"/>
        <w:jc w:val="center"/>
        <w:rPr>
          <w:rFonts w:hint="default" w:ascii="Times New Roman" w:hAnsi="Times New Roman" w:eastAsia="方正小标宋简体" w:cs="Times New Roman"/>
          <w:sz w:val="44"/>
          <w:szCs w:val="44"/>
          <w:lang w:val="en-US" w:eastAsia="zh-CN"/>
        </w:rPr>
      </w:pPr>
      <w:r>
        <w:rPr>
          <w:rFonts w:hint="default" w:ascii="Times New Roman" w:hAnsi="Times New Roman" w:eastAsia="方正小标宋简体" w:cs="Times New Roman"/>
          <w:color w:val="auto"/>
          <w:kern w:val="2"/>
          <w:sz w:val="40"/>
          <w:szCs w:val="40"/>
          <w:lang w:val="en-US"/>
        </w:rPr>
        <w:t>202</w:t>
      </w:r>
      <w:r>
        <w:rPr>
          <w:rFonts w:hint="default" w:ascii="Times New Roman" w:hAnsi="Times New Roman" w:eastAsia="方正小标宋简体" w:cs="Times New Roman"/>
          <w:color w:val="auto"/>
          <w:kern w:val="2"/>
          <w:sz w:val="40"/>
          <w:szCs w:val="40"/>
          <w:lang w:val="en-US" w:eastAsia="zh-CN"/>
        </w:rPr>
        <w:t>5</w:t>
      </w:r>
      <w:r>
        <w:rPr>
          <w:rFonts w:hint="default" w:ascii="Times New Roman" w:hAnsi="Times New Roman" w:eastAsia="方正小标宋简体" w:cs="Times New Roman"/>
          <w:color w:val="auto"/>
          <w:kern w:val="2"/>
          <w:sz w:val="40"/>
          <w:szCs w:val="40"/>
          <w:lang w:val="en-US"/>
        </w:rPr>
        <w:t>年</w:t>
      </w:r>
      <w:r>
        <w:rPr>
          <w:rFonts w:hint="default" w:ascii="Times New Roman" w:hAnsi="Times New Roman" w:eastAsia="方正小标宋简体" w:cs="Times New Roman"/>
          <w:color w:val="auto"/>
          <w:kern w:val="2"/>
          <w:sz w:val="40"/>
          <w:szCs w:val="40"/>
          <w:lang w:val="en-US" w:eastAsia="zh-CN"/>
        </w:rPr>
        <w:t>省管森工社会化管理工作经费</w:t>
      </w:r>
    </w:p>
    <w:p w14:paraId="1EB17CD3">
      <w:pPr>
        <w:pStyle w:val="37"/>
        <w:spacing w:line="600" w:lineRule="exact"/>
        <w:jc w:val="center"/>
        <w:rPr>
          <w:rFonts w:hint="default" w:ascii="Times New Roman" w:hAnsi="Times New Roman" w:eastAsia="方正小标宋简体" w:cs="Times New Roman"/>
          <w:color w:val="auto"/>
          <w:kern w:val="2"/>
          <w:sz w:val="40"/>
          <w:szCs w:val="40"/>
        </w:rPr>
      </w:pPr>
      <w:r>
        <w:rPr>
          <w:rFonts w:hint="default" w:ascii="Times New Roman" w:hAnsi="Times New Roman" w:eastAsia="方正小标宋简体" w:cs="Times New Roman"/>
          <w:color w:val="auto"/>
          <w:kern w:val="2"/>
          <w:sz w:val="40"/>
          <w:szCs w:val="40"/>
        </w:rPr>
        <w:t>专项预算项目支出绩效自评报告</w:t>
      </w:r>
    </w:p>
    <w:p w14:paraId="62A29D93">
      <w:pPr>
        <w:pStyle w:val="37"/>
        <w:spacing w:line="600" w:lineRule="exact"/>
        <w:ind w:firstLine="640"/>
        <w:jc w:val="center"/>
        <w:rPr>
          <w:rFonts w:hint="default" w:ascii="Times New Roman" w:hAnsi="Times New Roman" w:cs="Times New Roman"/>
          <w:color w:val="auto"/>
          <w:kern w:val="2"/>
          <w:sz w:val="32"/>
          <w:szCs w:val="32"/>
        </w:rPr>
      </w:pPr>
    </w:p>
    <w:p w14:paraId="4924C13A">
      <w:pPr>
        <w:keepNext w:val="0"/>
        <w:keepLines w:val="0"/>
        <w:pageBreakBefore w:val="0"/>
        <w:kinsoku/>
        <w:wordWrap/>
        <w:overflowPunct/>
        <w:topLinePunct w:val="0"/>
        <w:bidi w:val="0"/>
        <w:adjustRightInd w:val="0"/>
        <w:snapToGrid w:val="0"/>
        <w:spacing w:line="600" w:lineRule="exact"/>
        <w:ind w:firstLine="640" w:firstLineChars="200"/>
        <w:textAlignment w:val="auto"/>
        <w:rPr>
          <w:rFonts w:hint="default" w:ascii="Times New Roman" w:hAnsi="Times New Roman" w:eastAsia="黑体" w:cs="Times New Roman"/>
          <w:sz w:val="32"/>
          <w:lang w:val="zh-CN"/>
        </w:rPr>
      </w:pPr>
      <w:r>
        <w:rPr>
          <w:rFonts w:hint="default" w:ascii="Times New Roman" w:hAnsi="Times New Roman" w:eastAsia="黑体" w:cs="Times New Roman"/>
          <w:sz w:val="32"/>
        </w:rPr>
        <w:t>一、</w:t>
      </w:r>
      <w:r>
        <w:rPr>
          <w:rFonts w:hint="default" w:ascii="Times New Roman" w:hAnsi="Times New Roman" w:eastAsia="黑体" w:cs="Times New Roman"/>
          <w:sz w:val="32"/>
          <w:lang w:val="zh-CN"/>
        </w:rPr>
        <w:t>项目概况</w:t>
      </w:r>
    </w:p>
    <w:p w14:paraId="4E1F254B">
      <w:pPr>
        <w:keepNext w:val="0"/>
        <w:keepLines w:val="0"/>
        <w:pageBreakBefore w:val="0"/>
        <w:widowControl/>
        <w:kinsoku/>
        <w:wordWrap/>
        <w:overflowPunct/>
        <w:topLinePunct w:val="0"/>
        <w:autoSpaceDE/>
        <w:autoSpaceDN/>
        <w:bidi w:val="0"/>
        <w:adjustRightInd w:val="0"/>
        <w:snapToGrid w:val="0"/>
        <w:spacing w:line="600" w:lineRule="exact"/>
        <w:ind w:firstLine="643" w:firstLineChars="200"/>
        <w:contextualSpacing/>
        <w:jc w:val="left"/>
        <w:textAlignment w:val="auto"/>
        <w:rPr>
          <w:rFonts w:hint="default" w:ascii="Times New Roman" w:hAnsi="Times New Roman" w:eastAsia="楷体_GB2312" w:cs="Times New Roman"/>
          <w:b/>
          <w:bCs/>
          <w:color w:val="000000"/>
          <w:kern w:val="0"/>
          <w:sz w:val="32"/>
          <w:szCs w:val="32"/>
          <w:shd w:val="clear" w:color="auto" w:fill="FFFFFF"/>
          <w:lang w:val="zh-CN"/>
        </w:rPr>
      </w:pPr>
      <w:r>
        <w:rPr>
          <w:rFonts w:hint="default" w:ascii="Times New Roman" w:hAnsi="Times New Roman" w:eastAsia="楷体_GB2312" w:cs="Times New Roman"/>
          <w:b/>
          <w:bCs/>
          <w:color w:val="000000"/>
          <w:kern w:val="0"/>
          <w:sz w:val="32"/>
          <w:szCs w:val="32"/>
          <w:shd w:val="clear" w:color="auto" w:fill="FFFFFF"/>
          <w:lang w:val="zh-CN"/>
        </w:rPr>
        <w:t>（一）项目基本情况</w:t>
      </w:r>
    </w:p>
    <w:p w14:paraId="2AD20B99">
      <w:pPr>
        <w:keepNext w:val="0"/>
        <w:keepLines w:val="0"/>
        <w:pageBreakBefore w:val="0"/>
        <w:widowControl/>
        <w:kinsoku/>
        <w:wordWrap/>
        <w:overflowPunct/>
        <w:topLinePunct w:val="0"/>
        <w:autoSpaceDE/>
        <w:autoSpaceDN/>
        <w:bidi w:val="0"/>
        <w:adjustRightInd w:val="0"/>
        <w:snapToGrid w:val="0"/>
        <w:spacing w:line="600" w:lineRule="exact"/>
        <w:ind w:firstLine="643" w:firstLineChars="200"/>
        <w:contextualSpacing/>
        <w:jc w:val="left"/>
        <w:textAlignment w:val="auto"/>
        <w:rPr>
          <w:rFonts w:hint="default" w:ascii="Times New Roman" w:hAnsi="Times New Roman" w:eastAsia="仿宋_GB2312" w:cs="Times New Roman"/>
          <w:color w:val="auto"/>
          <w:kern w:val="0"/>
          <w:sz w:val="32"/>
          <w:szCs w:val="32"/>
          <w:lang w:val="zh-CN" w:eastAsia="zh-CN" w:bidi="ar-SA"/>
        </w:rPr>
      </w:pPr>
      <w:r>
        <w:rPr>
          <w:rFonts w:hint="eastAsia" w:eastAsia="仿宋_GB2312" w:cs="Times New Roman"/>
          <w:b/>
          <w:bCs/>
          <w:color w:val="auto"/>
          <w:kern w:val="0"/>
          <w:sz w:val="32"/>
          <w:szCs w:val="32"/>
          <w:lang w:val="en-US" w:eastAsia="zh-CN" w:bidi="ar-SA"/>
        </w:rPr>
        <w:t>1.</w:t>
      </w:r>
      <w:r>
        <w:rPr>
          <w:rFonts w:hint="default" w:ascii="Times New Roman" w:hAnsi="Times New Roman" w:eastAsia="仿宋_GB2312" w:cs="Times New Roman"/>
          <w:b/>
          <w:bCs/>
          <w:color w:val="auto"/>
          <w:kern w:val="0"/>
          <w:sz w:val="32"/>
          <w:szCs w:val="32"/>
          <w:lang w:val="zh-CN" w:eastAsia="zh-CN" w:bidi="ar-SA"/>
        </w:rPr>
        <w:t>在该项目管理中的职能</w:t>
      </w:r>
    </w:p>
    <w:p w14:paraId="48BF45D7">
      <w:pPr>
        <w:pageBreakBefore w:val="0"/>
        <w:kinsoku/>
        <w:wordWrap/>
        <w:overflowPunct/>
        <w:topLinePunct w:val="0"/>
        <w:autoSpaceDE/>
        <w:autoSpaceDN/>
        <w:bidi w:val="0"/>
        <w:adjustRightInd/>
        <w:snapToGrid/>
        <w:spacing w:line="360" w:lineRule="auto"/>
        <w:ind w:firstLine="640" w:firstLineChars="200"/>
        <w:jc w:val="both"/>
        <w:textAlignment w:val="auto"/>
        <w:rPr>
          <w:rFonts w:hint="default" w:ascii="Times New Roman" w:hAnsi="Times New Roman" w:eastAsia="仿宋_GB2312" w:cs="Times New Roman"/>
          <w:kern w:val="0"/>
          <w:sz w:val="32"/>
          <w:szCs w:val="32"/>
          <w:lang w:eastAsia="zh-CN"/>
        </w:rPr>
      </w:pPr>
      <w:r>
        <w:rPr>
          <w:rFonts w:hint="default" w:ascii="Times New Roman" w:hAnsi="Times New Roman" w:eastAsia="仿宋_GB2312" w:cs="Times New Roman"/>
          <w:color w:val="auto"/>
          <w:kern w:val="0"/>
          <w:sz w:val="32"/>
          <w:szCs w:val="32"/>
          <w:lang w:val="en-US" w:eastAsia="zh-CN" w:bidi="ar-SA"/>
        </w:rPr>
        <w:t>攀枝花市社会保险事务中心是“省管森工社会化管理工作经费”项目的实施主体，负责项目的实施、监督、管理等工作。</w:t>
      </w:r>
      <w:r>
        <w:rPr>
          <w:rFonts w:hint="default" w:ascii="Times New Roman" w:hAnsi="Times New Roman" w:eastAsia="仿宋_GB2312" w:cs="Times New Roman"/>
          <w:kern w:val="0"/>
          <w:sz w:val="32"/>
          <w:szCs w:val="32"/>
          <w:lang w:eastAsia="zh-CN"/>
        </w:rPr>
        <w:t>承担城镇企业职工、灵活就业人员、机关事业单位职工养老保险以及工伤保险参保登记、申报工作；</w:t>
      </w:r>
      <w:r>
        <w:rPr>
          <w:rFonts w:hint="default" w:ascii="Times New Roman" w:hAnsi="Times New Roman" w:eastAsia="仿宋_GB2312" w:cs="Times New Roman"/>
          <w:kern w:val="0"/>
          <w:sz w:val="32"/>
          <w:szCs w:val="32"/>
          <w:lang w:val="en-US" w:eastAsia="zh-CN"/>
        </w:rPr>
        <w:t>负责</w:t>
      </w:r>
      <w:r>
        <w:rPr>
          <w:rFonts w:hint="default" w:ascii="Times New Roman" w:hAnsi="Times New Roman" w:eastAsia="仿宋_GB2312" w:cs="Times New Roman"/>
          <w:kern w:val="0"/>
          <w:sz w:val="32"/>
          <w:szCs w:val="32"/>
          <w:lang w:eastAsia="zh-CN"/>
        </w:rPr>
        <w:t>个人权益记录、核定并按时支付各类人员养老保险及工伤保险待遇；负责城镇各类用人单位职工基本养老、工伤的稽核及待遇支付等工作；负责组织实施全市征地农转非人员社会保障工作；承担工伤保险经办及劳动能力鉴定服务工作；指导各县（区）社保经办机构开展相关工作。</w:t>
      </w:r>
    </w:p>
    <w:p w14:paraId="6BF9749A">
      <w:pPr>
        <w:keepNext w:val="0"/>
        <w:keepLines w:val="0"/>
        <w:pageBreakBefore w:val="0"/>
        <w:widowControl/>
        <w:kinsoku/>
        <w:wordWrap/>
        <w:overflowPunct/>
        <w:topLinePunct w:val="0"/>
        <w:autoSpaceDE/>
        <w:autoSpaceDN/>
        <w:bidi w:val="0"/>
        <w:adjustRightInd w:val="0"/>
        <w:snapToGrid w:val="0"/>
        <w:spacing w:line="600" w:lineRule="exact"/>
        <w:ind w:firstLine="643" w:firstLineChars="200"/>
        <w:contextualSpacing/>
        <w:jc w:val="both"/>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b/>
          <w:bCs/>
          <w:color w:val="auto"/>
          <w:kern w:val="0"/>
          <w:sz w:val="32"/>
          <w:szCs w:val="32"/>
          <w:lang w:val="en-US" w:eastAsia="zh-CN" w:bidi="ar-SA"/>
        </w:rPr>
        <w:t>2.</w:t>
      </w:r>
      <w:r>
        <w:rPr>
          <w:rFonts w:hint="default" w:ascii="Times New Roman" w:hAnsi="Times New Roman" w:eastAsia="仿宋_GB2312" w:cs="Times New Roman"/>
          <w:b/>
          <w:bCs/>
          <w:color w:val="auto"/>
          <w:kern w:val="0"/>
          <w:sz w:val="32"/>
          <w:szCs w:val="32"/>
          <w:lang w:val="zh-CN" w:eastAsia="zh-CN" w:bidi="ar-SA"/>
        </w:rPr>
        <w:t>项目立项、资金申报的依据</w:t>
      </w:r>
    </w:p>
    <w:p w14:paraId="78158FE5">
      <w:pPr>
        <w:keepNext w:val="0"/>
        <w:keepLines w:val="0"/>
        <w:pageBreakBefore w:val="0"/>
        <w:widowControl/>
        <w:kinsoku/>
        <w:wordWrap/>
        <w:overflowPunct/>
        <w:topLinePunct w:val="0"/>
        <w:autoSpaceDE/>
        <w:autoSpaceDN/>
        <w:bidi w:val="0"/>
        <w:adjustRightInd w:val="0"/>
        <w:snapToGrid w:val="0"/>
        <w:spacing w:line="600" w:lineRule="exact"/>
        <w:ind w:firstLine="640" w:firstLineChars="200"/>
        <w:contextualSpacing/>
        <w:jc w:val="left"/>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color w:val="auto"/>
          <w:kern w:val="0"/>
          <w:sz w:val="32"/>
          <w:szCs w:val="32"/>
          <w:lang w:val="zh-CN" w:eastAsia="zh-CN" w:bidi="ar-SA"/>
        </w:rPr>
        <w:t>“省管森工社会化管理工作经费”项目资金由省级财政下拨，市级财政年中下达指标。</w:t>
      </w:r>
    </w:p>
    <w:p w14:paraId="7292B595">
      <w:pPr>
        <w:keepNext w:val="0"/>
        <w:keepLines w:val="0"/>
        <w:pageBreakBefore w:val="0"/>
        <w:widowControl/>
        <w:kinsoku/>
        <w:wordWrap/>
        <w:overflowPunct/>
        <w:topLinePunct w:val="0"/>
        <w:autoSpaceDE/>
        <w:autoSpaceDN/>
        <w:bidi w:val="0"/>
        <w:adjustRightInd w:val="0"/>
        <w:snapToGrid w:val="0"/>
        <w:spacing w:line="600" w:lineRule="exact"/>
        <w:ind w:firstLine="643" w:firstLineChars="200"/>
        <w:contextualSpacing/>
        <w:jc w:val="left"/>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b/>
          <w:bCs/>
          <w:color w:val="auto"/>
          <w:kern w:val="0"/>
          <w:sz w:val="32"/>
          <w:szCs w:val="32"/>
          <w:lang w:val="en-US" w:eastAsia="zh-CN" w:bidi="ar-SA"/>
        </w:rPr>
        <w:t>3.</w:t>
      </w:r>
      <w:r>
        <w:rPr>
          <w:rFonts w:hint="default" w:ascii="Times New Roman" w:hAnsi="Times New Roman" w:eastAsia="仿宋_GB2312" w:cs="Times New Roman"/>
          <w:b/>
          <w:bCs/>
          <w:color w:val="auto"/>
          <w:kern w:val="0"/>
          <w:sz w:val="32"/>
          <w:szCs w:val="32"/>
          <w:lang w:val="zh-CN" w:eastAsia="zh-CN" w:bidi="ar-SA"/>
        </w:rPr>
        <w:t>资金管理办法制定情况，资金支持具体项目的条件、范围与支持方式概况</w:t>
      </w:r>
    </w:p>
    <w:p w14:paraId="7EA2B6EC">
      <w:pPr>
        <w:keepNext w:val="0"/>
        <w:keepLines w:val="0"/>
        <w:pageBreakBefore w:val="0"/>
        <w:widowControl/>
        <w:kinsoku/>
        <w:wordWrap/>
        <w:overflowPunct/>
        <w:topLinePunct w:val="0"/>
        <w:autoSpaceDE/>
        <w:autoSpaceDN/>
        <w:bidi w:val="0"/>
        <w:adjustRightInd w:val="0"/>
        <w:snapToGrid w:val="0"/>
        <w:spacing w:line="600" w:lineRule="exact"/>
        <w:ind w:firstLine="640" w:firstLineChars="200"/>
        <w:contextualSpacing/>
        <w:jc w:val="left"/>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color w:val="auto"/>
          <w:kern w:val="0"/>
          <w:sz w:val="32"/>
          <w:szCs w:val="32"/>
          <w:lang w:val="zh-CN" w:eastAsia="zh-CN" w:bidi="ar-SA"/>
        </w:rPr>
        <w:t>为进一步规范省管森工社会化管理工作经费管理，提高资金使用绩效，严格按照《四川省财政厅四川省人力资源和社会保障厅关于印发〈森工人员退休管理专项资金管理办法〉的通知》（川财社〔201</w:t>
      </w:r>
      <w:r>
        <w:rPr>
          <w:rFonts w:hint="default" w:ascii="Times New Roman" w:hAnsi="Times New Roman" w:eastAsia="仿宋_GB2312" w:cs="Times New Roman"/>
          <w:color w:val="auto"/>
          <w:kern w:val="0"/>
          <w:sz w:val="32"/>
          <w:szCs w:val="32"/>
          <w:lang w:val="en-US" w:eastAsia="zh-CN" w:bidi="ar-SA"/>
        </w:rPr>
        <w:t>7〕</w:t>
      </w:r>
      <w:r>
        <w:rPr>
          <w:rFonts w:hint="default" w:ascii="Times New Roman" w:hAnsi="Times New Roman" w:eastAsia="仿宋_GB2312" w:cs="Times New Roman"/>
          <w:color w:val="auto"/>
          <w:kern w:val="0"/>
          <w:sz w:val="32"/>
          <w:szCs w:val="32"/>
          <w:lang w:val="zh-CN" w:eastAsia="zh-CN" w:bidi="ar-SA"/>
        </w:rPr>
        <w:t>7号）文件要求使用资金。</w:t>
      </w:r>
    </w:p>
    <w:p w14:paraId="0436DB20">
      <w:pPr>
        <w:keepNext w:val="0"/>
        <w:keepLines w:val="0"/>
        <w:pageBreakBefore w:val="0"/>
        <w:widowControl/>
        <w:kinsoku/>
        <w:wordWrap/>
        <w:overflowPunct/>
        <w:topLinePunct w:val="0"/>
        <w:autoSpaceDE/>
        <w:autoSpaceDN/>
        <w:bidi w:val="0"/>
        <w:adjustRightInd w:val="0"/>
        <w:snapToGrid w:val="0"/>
        <w:spacing w:line="600" w:lineRule="exact"/>
        <w:ind w:firstLine="643" w:firstLineChars="200"/>
        <w:contextualSpacing/>
        <w:jc w:val="left"/>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b/>
          <w:bCs/>
          <w:color w:val="auto"/>
          <w:kern w:val="0"/>
          <w:sz w:val="32"/>
          <w:szCs w:val="32"/>
          <w:lang w:val="en-US" w:eastAsia="zh-CN" w:bidi="ar-SA"/>
        </w:rPr>
        <w:t>4.</w:t>
      </w:r>
      <w:r>
        <w:rPr>
          <w:rFonts w:hint="default" w:ascii="Times New Roman" w:hAnsi="Times New Roman" w:eastAsia="仿宋_GB2312" w:cs="Times New Roman"/>
          <w:b/>
          <w:bCs/>
          <w:color w:val="auto"/>
          <w:kern w:val="0"/>
          <w:sz w:val="32"/>
          <w:szCs w:val="32"/>
          <w:lang w:val="zh-CN" w:eastAsia="zh-CN" w:bidi="ar-SA"/>
        </w:rPr>
        <w:t>资金分配的原则及考虑因素</w:t>
      </w:r>
    </w:p>
    <w:p w14:paraId="439F9207">
      <w:pPr>
        <w:keepNext w:val="0"/>
        <w:keepLines w:val="0"/>
        <w:pageBreakBefore w:val="0"/>
        <w:widowControl/>
        <w:kinsoku/>
        <w:wordWrap/>
        <w:overflowPunct/>
        <w:topLinePunct w:val="0"/>
        <w:autoSpaceDE/>
        <w:autoSpaceDN/>
        <w:bidi w:val="0"/>
        <w:adjustRightInd w:val="0"/>
        <w:snapToGrid w:val="0"/>
        <w:spacing w:line="600" w:lineRule="exact"/>
        <w:ind w:firstLine="640" w:firstLineChars="200"/>
        <w:contextualSpacing/>
        <w:jc w:val="both"/>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color w:val="auto"/>
          <w:kern w:val="0"/>
          <w:sz w:val="32"/>
          <w:szCs w:val="32"/>
          <w:lang w:val="zh-CN" w:eastAsia="zh-CN" w:bidi="ar-SA"/>
        </w:rPr>
        <w:t>四川省社会保险管理局根据相关基础数据和人均标准，研究提出资金分配方案，经人力资源社会保障厅、财政厅审核并按规定程序报批后，由财政厅、省社保局联合下达预算。</w:t>
      </w:r>
    </w:p>
    <w:p w14:paraId="736882B9">
      <w:pPr>
        <w:keepNext w:val="0"/>
        <w:keepLines w:val="0"/>
        <w:pageBreakBefore w:val="0"/>
        <w:kinsoku/>
        <w:wordWrap/>
        <w:overflowPunct/>
        <w:topLinePunct w:val="0"/>
        <w:bidi w:val="0"/>
        <w:adjustRightInd w:val="0"/>
        <w:snapToGrid w:val="0"/>
        <w:spacing w:line="600" w:lineRule="exact"/>
        <w:ind w:firstLine="643" w:firstLineChars="200"/>
        <w:textAlignment w:val="auto"/>
        <w:rPr>
          <w:rFonts w:hint="default" w:ascii="Times New Roman" w:hAnsi="Times New Roman" w:eastAsia="楷体_GB2312" w:cs="Times New Roman"/>
          <w:b/>
          <w:lang w:val="zh-CN"/>
        </w:rPr>
      </w:pPr>
      <w:r>
        <w:rPr>
          <w:rFonts w:hint="default" w:ascii="Times New Roman" w:hAnsi="Times New Roman" w:eastAsia="楷体_GB2312" w:cs="Times New Roman"/>
          <w:b/>
          <w:bCs/>
          <w:color w:val="000000"/>
          <w:kern w:val="0"/>
          <w:sz w:val="32"/>
          <w:szCs w:val="32"/>
          <w:shd w:val="clear" w:color="auto" w:fill="FFFFFF"/>
          <w:lang w:val="zh-CN"/>
        </w:rPr>
        <w:t>（二）项目绩效目标</w:t>
      </w:r>
    </w:p>
    <w:p w14:paraId="2C6019CB">
      <w:pPr>
        <w:keepNext w:val="0"/>
        <w:keepLines w:val="0"/>
        <w:pageBreakBefore w:val="0"/>
        <w:widowControl/>
        <w:kinsoku/>
        <w:wordWrap/>
        <w:overflowPunct/>
        <w:topLinePunct w:val="0"/>
        <w:autoSpaceDE/>
        <w:autoSpaceDN/>
        <w:bidi w:val="0"/>
        <w:adjustRightInd w:val="0"/>
        <w:snapToGrid w:val="0"/>
        <w:spacing w:line="600" w:lineRule="exact"/>
        <w:ind w:firstLine="643" w:firstLineChars="200"/>
        <w:contextualSpacing/>
        <w:jc w:val="left"/>
        <w:textAlignment w:val="auto"/>
        <w:rPr>
          <w:rFonts w:hint="default" w:ascii="Times New Roman" w:hAnsi="Times New Roman" w:eastAsia="仿宋_GB2312" w:cs="Times New Roman"/>
          <w:color w:val="auto"/>
          <w:kern w:val="0"/>
          <w:sz w:val="32"/>
          <w:szCs w:val="32"/>
          <w:lang w:val="zh-CN" w:eastAsia="zh-CN" w:bidi="ar-SA"/>
        </w:rPr>
      </w:pPr>
      <w:r>
        <w:rPr>
          <w:rFonts w:hint="eastAsia" w:eastAsia="仿宋_GB2312" w:cs="Times New Roman"/>
          <w:b/>
          <w:bCs/>
          <w:color w:val="auto"/>
          <w:kern w:val="0"/>
          <w:sz w:val="32"/>
          <w:szCs w:val="32"/>
          <w:lang w:val="en-US" w:eastAsia="zh-CN" w:bidi="ar-SA"/>
        </w:rPr>
        <w:t>1.</w:t>
      </w:r>
      <w:r>
        <w:rPr>
          <w:rFonts w:hint="default" w:ascii="Times New Roman" w:hAnsi="Times New Roman" w:eastAsia="仿宋_GB2312" w:cs="Times New Roman"/>
          <w:b/>
          <w:bCs/>
          <w:color w:val="auto"/>
          <w:kern w:val="0"/>
          <w:sz w:val="32"/>
          <w:szCs w:val="32"/>
          <w:lang w:val="zh-CN" w:eastAsia="zh-CN" w:bidi="ar-SA"/>
        </w:rPr>
        <w:t>项目主要内容</w:t>
      </w:r>
    </w:p>
    <w:p w14:paraId="333958D8">
      <w:pPr>
        <w:keepNext w:val="0"/>
        <w:keepLines w:val="0"/>
        <w:pageBreakBefore w:val="0"/>
        <w:widowControl/>
        <w:kinsoku/>
        <w:wordWrap/>
        <w:overflowPunct/>
        <w:topLinePunct w:val="0"/>
        <w:autoSpaceDE/>
        <w:autoSpaceDN/>
        <w:bidi w:val="0"/>
        <w:adjustRightInd w:val="0"/>
        <w:snapToGrid w:val="0"/>
        <w:spacing w:line="600" w:lineRule="exact"/>
        <w:ind w:firstLine="640" w:firstLineChars="200"/>
        <w:contextualSpacing/>
        <w:jc w:val="both"/>
        <w:textAlignment w:val="auto"/>
        <w:rPr>
          <w:rFonts w:hint="default" w:ascii="Times New Roman" w:hAnsi="Times New Roman" w:eastAsia="仿宋_GB2312" w:cs="Times New Roman"/>
          <w:color w:val="auto"/>
          <w:kern w:val="0"/>
          <w:sz w:val="32"/>
          <w:szCs w:val="32"/>
          <w:lang w:val="en-US" w:eastAsia="zh-CN" w:bidi="ar-SA"/>
        </w:rPr>
      </w:pPr>
      <w:r>
        <w:rPr>
          <w:rFonts w:hint="default" w:ascii="Times New Roman" w:hAnsi="Times New Roman" w:eastAsia="仿宋_GB2312" w:cs="Times New Roman"/>
          <w:color w:val="auto"/>
          <w:kern w:val="0"/>
          <w:sz w:val="32"/>
          <w:szCs w:val="32"/>
          <w:lang w:val="en-US" w:eastAsia="zh-CN" w:bidi="ar-SA"/>
        </w:rPr>
        <w:t>“省管森工企业离退休人员社会化管理经费”项目资金主要用于确保全市社保经办机构代管的省管森工企业离退休人员基本养老金按时足额发放，提升省管森工企业离退休人员社会化管理服务水平。</w:t>
      </w:r>
    </w:p>
    <w:p w14:paraId="3DF50DFE">
      <w:pPr>
        <w:keepNext w:val="0"/>
        <w:keepLines w:val="0"/>
        <w:pageBreakBefore w:val="0"/>
        <w:widowControl/>
        <w:kinsoku/>
        <w:wordWrap/>
        <w:overflowPunct/>
        <w:topLinePunct w:val="0"/>
        <w:autoSpaceDE/>
        <w:autoSpaceDN/>
        <w:bidi w:val="0"/>
        <w:adjustRightInd w:val="0"/>
        <w:snapToGrid w:val="0"/>
        <w:spacing w:line="600" w:lineRule="exact"/>
        <w:ind w:firstLine="643" w:firstLineChars="200"/>
        <w:contextualSpacing/>
        <w:jc w:val="both"/>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b/>
          <w:bCs/>
          <w:color w:val="auto"/>
          <w:kern w:val="0"/>
          <w:sz w:val="32"/>
          <w:szCs w:val="32"/>
          <w:lang w:val="en-US" w:eastAsia="zh-CN" w:bidi="ar-SA"/>
        </w:rPr>
        <w:t>2.</w:t>
      </w:r>
      <w:r>
        <w:rPr>
          <w:rFonts w:hint="default" w:ascii="Times New Roman" w:hAnsi="Times New Roman" w:eastAsia="仿宋_GB2312" w:cs="Times New Roman"/>
          <w:b/>
          <w:bCs/>
          <w:color w:val="auto"/>
          <w:kern w:val="0"/>
          <w:sz w:val="32"/>
          <w:szCs w:val="32"/>
          <w:lang w:val="zh-CN" w:eastAsia="zh-CN" w:bidi="ar-SA"/>
        </w:rPr>
        <w:t>项目应实现的具体绩效目标，包括目标的量化、细化情况以及项目实施进度计划等</w:t>
      </w:r>
    </w:p>
    <w:p w14:paraId="6816D280">
      <w:pPr>
        <w:keepNext w:val="0"/>
        <w:keepLines w:val="0"/>
        <w:pageBreakBefore w:val="0"/>
        <w:widowControl/>
        <w:kinsoku/>
        <w:wordWrap/>
        <w:overflowPunct/>
        <w:topLinePunct w:val="0"/>
        <w:autoSpaceDE/>
        <w:autoSpaceDN/>
        <w:bidi w:val="0"/>
        <w:adjustRightInd w:val="0"/>
        <w:snapToGrid w:val="0"/>
        <w:spacing w:line="600" w:lineRule="exact"/>
        <w:ind w:firstLine="640" w:firstLineChars="200"/>
        <w:contextualSpacing/>
        <w:jc w:val="left"/>
        <w:textAlignment w:val="auto"/>
        <w:rPr>
          <w:rFonts w:hint="default" w:ascii="Times New Roman" w:hAnsi="Times New Roman" w:eastAsia="仿宋_GB2312" w:cs="Times New Roman"/>
          <w:color w:val="auto"/>
          <w:kern w:val="0"/>
          <w:sz w:val="32"/>
          <w:szCs w:val="32"/>
          <w:lang w:val="en-US" w:eastAsia="zh-CN" w:bidi="ar-SA"/>
        </w:rPr>
      </w:pPr>
      <w:r>
        <w:rPr>
          <w:rFonts w:hint="eastAsia" w:eastAsia="仿宋_GB2312" w:cs="Times New Roman"/>
          <w:color w:val="auto"/>
          <w:kern w:val="0"/>
          <w:sz w:val="32"/>
          <w:szCs w:val="32"/>
          <w:lang w:val="en-US" w:eastAsia="zh-CN" w:bidi="ar-SA"/>
        </w:rPr>
        <w:t>（1）</w:t>
      </w:r>
      <w:r>
        <w:rPr>
          <w:rFonts w:hint="default" w:ascii="Times New Roman" w:hAnsi="Times New Roman" w:eastAsia="仿宋_GB2312" w:cs="Times New Roman"/>
          <w:color w:val="auto"/>
          <w:kern w:val="0"/>
          <w:sz w:val="32"/>
          <w:szCs w:val="32"/>
          <w:lang w:val="en-US" w:eastAsia="zh-CN" w:bidi="ar-SA"/>
        </w:rPr>
        <w:t>质量指标：按时足额发放率达到100%。</w:t>
      </w:r>
    </w:p>
    <w:p w14:paraId="58EC081F">
      <w:pPr>
        <w:keepNext w:val="0"/>
        <w:keepLines w:val="0"/>
        <w:pageBreakBefore w:val="0"/>
        <w:widowControl/>
        <w:kinsoku/>
        <w:wordWrap/>
        <w:overflowPunct/>
        <w:topLinePunct w:val="0"/>
        <w:autoSpaceDE/>
        <w:autoSpaceDN/>
        <w:bidi w:val="0"/>
        <w:adjustRightInd w:val="0"/>
        <w:snapToGrid w:val="0"/>
        <w:spacing w:line="600" w:lineRule="exact"/>
        <w:ind w:firstLine="640" w:firstLineChars="200"/>
        <w:contextualSpacing/>
        <w:jc w:val="left"/>
        <w:textAlignment w:val="auto"/>
        <w:rPr>
          <w:rFonts w:hint="default" w:ascii="Times New Roman" w:hAnsi="Times New Roman" w:eastAsia="仿宋_GB2312" w:cs="Times New Roman"/>
          <w:color w:val="auto"/>
          <w:kern w:val="0"/>
          <w:sz w:val="32"/>
          <w:szCs w:val="32"/>
          <w:lang w:val="en-US" w:eastAsia="zh-CN" w:bidi="ar-SA"/>
        </w:rPr>
      </w:pPr>
      <w:r>
        <w:rPr>
          <w:rFonts w:hint="eastAsia" w:eastAsia="仿宋_GB2312" w:cs="Times New Roman"/>
          <w:color w:val="auto"/>
          <w:kern w:val="0"/>
          <w:sz w:val="32"/>
          <w:szCs w:val="32"/>
          <w:lang w:val="en-US" w:eastAsia="zh-CN" w:bidi="ar-SA"/>
        </w:rPr>
        <w:t>（2）</w:t>
      </w:r>
      <w:r>
        <w:rPr>
          <w:rFonts w:hint="default" w:ascii="Times New Roman" w:hAnsi="Times New Roman" w:eastAsia="仿宋_GB2312" w:cs="Times New Roman"/>
          <w:color w:val="auto"/>
          <w:kern w:val="0"/>
          <w:sz w:val="32"/>
          <w:szCs w:val="32"/>
          <w:lang w:val="en-US" w:eastAsia="zh-CN" w:bidi="ar-SA"/>
        </w:rPr>
        <w:t>数量指标：森工企业退休人员数量≥750人。</w:t>
      </w:r>
    </w:p>
    <w:p w14:paraId="23EF10E2">
      <w:pPr>
        <w:keepNext w:val="0"/>
        <w:keepLines w:val="0"/>
        <w:pageBreakBefore w:val="0"/>
        <w:widowControl/>
        <w:kinsoku/>
        <w:wordWrap/>
        <w:overflowPunct/>
        <w:topLinePunct w:val="0"/>
        <w:autoSpaceDE/>
        <w:autoSpaceDN/>
        <w:bidi w:val="0"/>
        <w:adjustRightInd w:val="0"/>
        <w:snapToGrid w:val="0"/>
        <w:spacing w:line="600" w:lineRule="exact"/>
        <w:ind w:firstLine="640" w:firstLineChars="200"/>
        <w:contextualSpacing/>
        <w:jc w:val="left"/>
        <w:textAlignment w:val="auto"/>
        <w:rPr>
          <w:rFonts w:hint="default" w:ascii="Times New Roman" w:hAnsi="Times New Roman" w:eastAsia="仿宋_GB2312" w:cs="Times New Roman"/>
          <w:color w:val="auto"/>
          <w:kern w:val="0"/>
          <w:sz w:val="32"/>
          <w:szCs w:val="32"/>
          <w:lang w:val="en-US" w:eastAsia="zh-CN" w:bidi="ar-SA"/>
        </w:rPr>
      </w:pPr>
      <w:r>
        <w:rPr>
          <w:rFonts w:hint="default" w:ascii="Times New Roman" w:hAnsi="Times New Roman" w:eastAsia="仿宋_GB2312" w:cs="Times New Roman"/>
          <w:color w:val="auto"/>
          <w:kern w:val="0"/>
          <w:sz w:val="32"/>
          <w:szCs w:val="32"/>
          <w:lang w:val="en-US" w:eastAsia="zh-CN" w:bidi="ar-SA"/>
        </w:rPr>
        <w:t>（3）时效指标：资金支付及时率100%。</w:t>
      </w:r>
    </w:p>
    <w:p w14:paraId="5E3C6C8A">
      <w:pPr>
        <w:keepNext w:val="0"/>
        <w:keepLines w:val="0"/>
        <w:pageBreakBefore w:val="0"/>
        <w:widowControl/>
        <w:kinsoku/>
        <w:wordWrap/>
        <w:overflowPunct/>
        <w:topLinePunct w:val="0"/>
        <w:autoSpaceDE/>
        <w:autoSpaceDN/>
        <w:bidi w:val="0"/>
        <w:adjustRightInd w:val="0"/>
        <w:snapToGrid w:val="0"/>
        <w:spacing w:line="600" w:lineRule="exact"/>
        <w:ind w:firstLine="640" w:firstLineChars="200"/>
        <w:contextualSpacing/>
        <w:jc w:val="left"/>
        <w:textAlignment w:val="auto"/>
        <w:rPr>
          <w:rFonts w:hint="default" w:ascii="Times New Roman" w:hAnsi="Times New Roman" w:eastAsia="仿宋_GB2312" w:cs="Times New Roman"/>
          <w:color w:val="auto"/>
          <w:kern w:val="0"/>
          <w:sz w:val="32"/>
          <w:szCs w:val="32"/>
          <w:lang w:val="en-US" w:eastAsia="zh-CN" w:bidi="ar-SA"/>
        </w:rPr>
      </w:pPr>
      <w:r>
        <w:rPr>
          <w:rFonts w:hint="default" w:ascii="Times New Roman" w:hAnsi="Times New Roman" w:eastAsia="仿宋_GB2312" w:cs="Times New Roman"/>
          <w:color w:val="auto"/>
          <w:kern w:val="0"/>
          <w:sz w:val="32"/>
          <w:szCs w:val="32"/>
          <w:lang w:val="en-US" w:eastAsia="zh-CN" w:bidi="ar-SA"/>
        </w:rPr>
        <w:t>（4）成本指标：社会化管理工作成本7.69万元。</w:t>
      </w:r>
    </w:p>
    <w:p w14:paraId="0C94167A">
      <w:pPr>
        <w:keepNext w:val="0"/>
        <w:keepLines w:val="0"/>
        <w:pageBreakBefore w:val="0"/>
        <w:widowControl/>
        <w:kinsoku/>
        <w:wordWrap/>
        <w:overflowPunct/>
        <w:topLinePunct w:val="0"/>
        <w:autoSpaceDE/>
        <w:autoSpaceDN/>
        <w:bidi w:val="0"/>
        <w:adjustRightInd w:val="0"/>
        <w:snapToGrid w:val="0"/>
        <w:spacing w:line="600" w:lineRule="exact"/>
        <w:ind w:firstLine="640" w:firstLineChars="200"/>
        <w:contextualSpacing/>
        <w:jc w:val="left"/>
        <w:textAlignment w:val="auto"/>
        <w:rPr>
          <w:rFonts w:hint="default" w:ascii="Times New Roman" w:hAnsi="Times New Roman" w:eastAsia="仿宋_GB2312" w:cs="Times New Roman"/>
          <w:color w:val="auto"/>
          <w:kern w:val="0"/>
          <w:sz w:val="32"/>
          <w:szCs w:val="32"/>
          <w:lang w:val="en-US" w:eastAsia="zh-CN" w:bidi="ar-SA"/>
        </w:rPr>
      </w:pPr>
      <w:r>
        <w:rPr>
          <w:rFonts w:hint="default" w:ascii="Times New Roman" w:hAnsi="Times New Roman" w:eastAsia="仿宋_GB2312" w:cs="Times New Roman"/>
          <w:color w:val="auto"/>
          <w:kern w:val="0"/>
          <w:sz w:val="32"/>
          <w:szCs w:val="32"/>
          <w:lang w:val="en-US" w:eastAsia="zh-CN" w:bidi="ar-SA"/>
        </w:rPr>
        <w:t>（5）社会效益指标：维护社会稳定。</w:t>
      </w:r>
    </w:p>
    <w:p w14:paraId="569846E9">
      <w:pPr>
        <w:keepNext w:val="0"/>
        <w:keepLines w:val="0"/>
        <w:pageBreakBefore w:val="0"/>
        <w:widowControl/>
        <w:kinsoku/>
        <w:wordWrap/>
        <w:overflowPunct/>
        <w:topLinePunct w:val="0"/>
        <w:autoSpaceDE/>
        <w:autoSpaceDN/>
        <w:bidi w:val="0"/>
        <w:adjustRightInd w:val="0"/>
        <w:snapToGrid w:val="0"/>
        <w:spacing w:line="600" w:lineRule="exact"/>
        <w:ind w:firstLine="640" w:firstLineChars="200"/>
        <w:contextualSpacing/>
        <w:jc w:val="left"/>
        <w:textAlignment w:val="auto"/>
        <w:rPr>
          <w:rFonts w:hint="default" w:ascii="Times New Roman" w:hAnsi="Times New Roman" w:eastAsia="仿宋_GB2312" w:cs="Times New Roman"/>
          <w:color w:val="auto"/>
          <w:kern w:val="0"/>
          <w:sz w:val="32"/>
          <w:szCs w:val="32"/>
          <w:lang w:val="en-US" w:eastAsia="zh-CN" w:bidi="ar-SA"/>
        </w:rPr>
      </w:pPr>
      <w:r>
        <w:rPr>
          <w:rFonts w:hint="default" w:ascii="Times New Roman" w:hAnsi="Times New Roman" w:eastAsia="仿宋_GB2312" w:cs="Times New Roman"/>
          <w:color w:val="auto"/>
          <w:kern w:val="0"/>
          <w:sz w:val="32"/>
          <w:szCs w:val="32"/>
          <w:lang w:val="en-US" w:eastAsia="zh-CN" w:bidi="ar-SA"/>
        </w:rPr>
        <w:t>（6）满意度指标：森工退休人员满意度≥95%。</w:t>
      </w:r>
    </w:p>
    <w:p w14:paraId="1EA0FB92">
      <w:pPr>
        <w:keepNext w:val="0"/>
        <w:keepLines w:val="0"/>
        <w:pageBreakBefore w:val="0"/>
        <w:widowControl/>
        <w:kinsoku/>
        <w:wordWrap/>
        <w:overflowPunct/>
        <w:topLinePunct w:val="0"/>
        <w:autoSpaceDE/>
        <w:autoSpaceDN/>
        <w:bidi w:val="0"/>
        <w:adjustRightInd w:val="0"/>
        <w:snapToGrid w:val="0"/>
        <w:spacing w:line="600" w:lineRule="exact"/>
        <w:ind w:firstLine="643" w:firstLineChars="200"/>
        <w:contextualSpacing/>
        <w:jc w:val="left"/>
        <w:textAlignment w:val="auto"/>
        <w:rPr>
          <w:rFonts w:hint="default" w:ascii="Times New Roman" w:hAnsi="Times New Roman" w:eastAsia="仿宋_GB2312" w:cs="Times New Roman"/>
          <w:b/>
          <w:bCs/>
          <w:color w:val="auto"/>
          <w:kern w:val="0"/>
          <w:sz w:val="32"/>
          <w:szCs w:val="32"/>
          <w:lang w:val="zh-CN" w:eastAsia="zh-CN" w:bidi="ar-SA"/>
        </w:rPr>
      </w:pPr>
      <w:r>
        <w:rPr>
          <w:rFonts w:hint="default" w:ascii="Times New Roman" w:hAnsi="Times New Roman" w:eastAsia="仿宋_GB2312" w:cs="Times New Roman"/>
          <w:b/>
          <w:bCs/>
          <w:color w:val="auto"/>
          <w:kern w:val="0"/>
          <w:sz w:val="32"/>
          <w:szCs w:val="32"/>
          <w:lang w:val="en-US" w:eastAsia="zh-CN" w:bidi="ar-SA"/>
        </w:rPr>
        <w:t>3.</w:t>
      </w:r>
      <w:r>
        <w:rPr>
          <w:rFonts w:hint="default" w:ascii="Times New Roman" w:hAnsi="Times New Roman" w:eastAsia="仿宋_GB2312" w:cs="Times New Roman"/>
          <w:b/>
          <w:bCs/>
          <w:color w:val="auto"/>
          <w:kern w:val="0"/>
          <w:sz w:val="32"/>
          <w:szCs w:val="32"/>
          <w:lang w:val="zh-CN" w:eastAsia="zh-CN" w:bidi="ar-SA"/>
        </w:rPr>
        <w:t>分析评价申报内容是否与实际相符，申报目标是否合理可行</w:t>
      </w:r>
    </w:p>
    <w:p w14:paraId="7CF197D4">
      <w:pPr>
        <w:keepNext w:val="0"/>
        <w:keepLines w:val="0"/>
        <w:pageBreakBefore w:val="0"/>
        <w:widowControl/>
        <w:kinsoku/>
        <w:wordWrap/>
        <w:overflowPunct/>
        <w:topLinePunct w:val="0"/>
        <w:autoSpaceDE/>
        <w:autoSpaceDN/>
        <w:bidi w:val="0"/>
        <w:adjustRightInd w:val="0"/>
        <w:snapToGrid w:val="0"/>
        <w:spacing w:line="600" w:lineRule="exact"/>
        <w:ind w:firstLine="640" w:firstLineChars="200"/>
        <w:contextualSpacing/>
        <w:jc w:val="left"/>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color w:val="auto"/>
          <w:kern w:val="0"/>
          <w:sz w:val="32"/>
          <w:szCs w:val="32"/>
          <w:lang w:val="zh-CN" w:eastAsia="zh-CN" w:bidi="ar-SA"/>
        </w:rPr>
        <w:t>市社会保险事务中心按照20</w:t>
      </w:r>
      <w:r>
        <w:rPr>
          <w:rFonts w:hint="default" w:ascii="Times New Roman" w:hAnsi="Times New Roman" w:eastAsia="仿宋_GB2312" w:cs="Times New Roman"/>
          <w:color w:val="auto"/>
          <w:kern w:val="0"/>
          <w:sz w:val="32"/>
          <w:szCs w:val="32"/>
          <w:lang w:val="en-US" w:eastAsia="zh-CN" w:bidi="ar-SA"/>
        </w:rPr>
        <w:t>25</w:t>
      </w:r>
      <w:r>
        <w:rPr>
          <w:rFonts w:hint="default" w:ascii="Times New Roman" w:hAnsi="Times New Roman" w:eastAsia="仿宋_GB2312" w:cs="Times New Roman"/>
          <w:color w:val="auto"/>
          <w:kern w:val="0"/>
          <w:sz w:val="32"/>
          <w:szCs w:val="32"/>
          <w:lang w:val="zh-CN" w:eastAsia="zh-CN" w:bidi="ar-SA"/>
        </w:rPr>
        <w:t>年目标任务制定绩效目标，申报内容与实际相符，申报目标合理可行。</w:t>
      </w:r>
    </w:p>
    <w:p w14:paraId="11694F57">
      <w:pPr>
        <w:keepNext w:val="0"/>
        <w:keepLines w:val="0"/>
        <w:pageBreakBefore w:val="0"/>
        <w:kinsoku/>
        <w:wordWrap/>
        <w:overflowPunct/>
        <w:topLinePunct w:val="0"/>
        <w:bidi w:val="0"/>
        <w:adjustRightInd w:val="0"/>
        <w:snapToGrid w:val="0"/>
        <w:spacing w:line="600" w:lineRule="exact"/>
        <w:ind w:firstLine="643" w:firstLineChars="200"/>
        <w:textAlignment w:val="auto"/>
        <w:rPr>
          <w:rFonts w:hint="default" w:ascii="Times New Roman" w:hAnsi="Times New Roman" w:eastAsia="楷体_GB2312" w:cs="Times New Roman"/>
          <w:b/>
          <w:bCs/>
          <w:color w:val="000000"/>
          <w:kern w:val="0"/>
          <w:sz w:val="32"/>
          <w:szCs w:val="32"/>
          <w:shd w:val="clear" w:color="auto" w:fill="FFFFFF"/>
          <w:lang w:val="zh-CN"/>
        </w:rPr>
      </w:pPr>
      <w:r>
        <w:rPr>
          <w:rFonts w:hint="default" w:ascii="Times New Roman" w:hAnsi="Times New Roman" w:eastAsia="楷体_GB2312" w:cs="Times New Roman"/>
          <w:b/>
          <w:bCs/>
          <w:color w:val="000000"/>
          <w:kern w:val="0"/>
          <w:sz w:val="32"/>
          <w:szCs w:val="32"/>
          <w:shd w:val="clear" w:color="auto" w:fill="FFFFFF"/>
          <w:lang w:val="zh-CN"/>
        </w:rPr>
        <w:t>（三）项目自评步骤及方法</w:t>
      </w:r>
    </w:p>
    <w:p w14:paraId="0AEC748F">
      <w:pPr>
        <w:keepNext w:val="0"/>
        <w:keepLines w:val="0"/>
        <w:pageBreakBefore w:val="0"/>
        <w:widowControl/>
        <w:kinsoku/>
        <w:wordWrap/>
        <w:overflowPunct/>
        <w:topLinePunct w:val="0"/>
        <w:autoSpaceDE/>
        <w:autoSpaceDN/>
        <w:bidi w:val="0"/>
        <w:adjustRightInd w:val="0"/>
        <w:snapToGrid w:val="0"/>
        <w:spacing w:line="600" w:lineRule="exact"/>
        <w:ind w:firstLine="640" w:firstLineChars="200"/>
        <w:contextualSpacing/>
        <w:jc w:val="both"/>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color w:val="auto"/>
          <w:kern w:val="0"/>
          <w:sz w:val="32"/>
          <w:szCs w:val="32"/>
          <w:lang w:val="zh-CN" w:eastAsia="zh-CN" w:bidi="ar-SA"/>
        </w:rPr>
        <w:t>市社会保险事务中心项目绩效评价按照前期准备阶段、自评阶段、实施评价阶段、报告撰写阶段、结果运用阶段五个阶段的工作流程。办公室成立项目评价小组对项目资金执行情况进行自查自评。</w:t>
      </w:r>
    </w:p>
    <w:p w14:paraId="2189D17A">
      <w:pPr>
        <w:keepNext w:val="0"/>
        <w:keepLines w:val="0"/>
        <w:pageBreakBefore w:val="0"/>
        <w:kinsoku/>
        <w:wordWrap/>
        <w:overflowPunct/>
        <w:topLinePunct w:val="0"/>
        <w:bidi w:val="0"/>
        <w:adjustRightInd w:val="0"/>
        <w:snapToGrid w:val="0"/>
        <w:spacing w:line="600" w:lineRule="exact"/>
        <w:ind w:firstLine="640" w:firstLineChars="200"/>
        <w:textAlignment w:val="auto"/>
        <w:rPr>
          <w:rFonts w:hint="default" w:ascii="Times New Roman" w:hAnsi="Times New Roman" w:eastAsia="黑体" w:cs="Times New Roman"/>
          <w:sz w:val="32"/>
        </w:rPr>
      </w:pPr>
      <w:r>
        <w:rPr>
          <w:rFonts w:hint="default" w:ascii="Times New Roman" w:hAnsi="Times New Roman" w:eastAsia="黑体" w:cs="Times New Roman"/>
          <w:sz w:val="32"/>
        </w:rPr>
        <w:t>二、项目资金申报及使用情况</w:t>
      </w:r>
    </w:p>
    <w:p w14:paraId="3A5F1BFF">
      <w:pPr>
        <w:keepNext w:val="0"/>
        <w:keepLines w:val="0"/>
        <w:pageBreakBefore w:val="0"/>
        <w:widowControl/>
        <w:kinsoku/>
        <w:wordWrap/>
        <w:overflowPunct/>
        <w:topLinePunct w:val="0"/>
        <w:autoSpaceDE/>
        <w:autoSpaceDN/>
        <w:bidi w:val="0"/>
        <w:adjustRightInd w:val="0"/>
        <w:snapToGrid w:val="0"/>
        <w:spacing w:line="600" w:lineRule="exact"/>
        <w:ind w:firstLine="640" w:firstLineChars="200"/>
        <w:contextualSpacing/>
        <w:jc w:val="left"/>
        <w:textAlignment w:val="auto"/>
        <w:rPr>
          <w:rFonts w:hint="default" w:ascii="Times New Roman" w:hAnsi="Times New Roman" w:eastAsia="仿宋_GB2312" w:cs="Times New Roman"/>
          <w:sz w:val="32"/>
          <w:szCs w:val="32"/>
          <w:lang w:val="zh-CN"/>
        </w:rPr>
      </w:pPr>
      <w:r>
        <w:rPr>
          <w:rFonts w:hint="default" w:ascii="Times New Roman" w:hAnsi="Times New Roman" w:eastAsia="仿宋_GB2312" w:cs="Times New Roman"/>
          <w:color w:val="auto"/>
          <w:kern w:val="0"/>
          <w:sz w:val="32"/>
          <w:szCs w:val="32"/>
          <w:lang w:val="zh-CN" w:eastAsia="zh-CN" w:bidi="ar-SA"/>
        </w:rPr>
        <w:t>“省管森工社会化管理工作经费”项目资金共</w:t>
      </w:r>
      <w:r>
        <w:rPr>
          <w:rFonts w:hint="default" w:ascii="Times New Roman" w:hAnsi="Times New Roman" w:eastAsia="仿宋_GB2312" w:cs="Times New Roman"/>
          <w:color w:val="auto"/>
          <w:kern w:val="0"/>
          <w:sz w:val="32"/>
          <w:szCs w:val="32"/>
          <w:lang w:val="en-US" w:eastAsia="zh-CN" w:bidi="ar-SA"/>
        </w:rPr>
        <w:t>7.69</w:t>
      </w:r>
      <w:r>
        <w:rPr>
          <w:rFonts w:hint="default" w:ascii="Times New Roman" w:hAnsi="Times New Roman" w:eastAsia="仿宋_GB2312" w:cs="Times New Roman"/>
          <w:color w:val="auto"/>
          <w:kern w:val="0"/>
          <w:sz w:val="32"/>
          <w:szCs w:val="32"/>
          <w:lang w:val="zh-CN" w:eastAsia="zh-CN" w:bidi="ar-SA"/>
        </w:rPr>
        <w:t>万元，资金支付完成100%。</w:t>
      </w:r>
    </w:p>
    <w:p w14:paraId="1BDD2530">
      <w:pPr>
        <w:keepNext w:val="0"/>
        <w:keepLines w:val="0"/>
        <w:pageBreakBefore w:val="0"/>
        <w:kinsoku/>
        <w:wordWrap/>
        <w:overflowPunct/>
        <w:topLinePunct w:val="0"/>
        <w:bidi w:val="0"/>
        <w:adjustRightInd w:val="0"/>
        <w:snapToGrid w:val="0"/>
        <w:spacing w:line="600" w:lineRule="exact"/>
        <w:ind w:firstLine="643" w:firstLineChars="200"/>
        <w:textAlignment w:val="auto"/>
        <w:rPr>
          <w:rFonts w:hint="default" w:ascii="Times New Roman" w:hAnsi="Times New Roman" w:eastAsia="楷体_GB2312" w:cs="Times New Roman"/>
          <w:b/>
          <w:bCs/>
          <w:color w:val="000000"/>
          <w:kern w:val="0"/>
          <w:sz w:val="32"/>
          <w:szCs w:val="32"/>
          <w:shd w:val="clear" w:color="auto" w:fill="FFFFFF"/>
          <w:lang w:val="zh-CN"/>
        </w:rPr>
      </w:pPr>
      <w:r>
        <w:rPr>
          <w:rFonts w:hint="default" w:ascii="Times New Roman" w:hAnsi="Times New Roman" w:eastAsia="楷体_GB2312" w:cs="Times New Roman"/>
          <w:b/>
          <w:bCs/>
          <w:color w:val="000000"/>
          <w:kern w:val="0"/>
          <w:sz w:val="32"/>
          <w:szCs w:val="32"/>
          <w:shd w:val="clear" w:color="auto" w:fill="FFFFFF"/>
          <w:lang w:val="zh-CN"/>
        </w:rPr>
        <w:t>（一）项目资金申报及批复情况</w:t>
      </w:r>
    </w:p>
    <w:p w14:paraId="079E72B6">
      <w:pPr>
        <w:keepNext w:val="0"/>
        <w:keepLines w:val="0"/>
        <w:pageBreakBefore w:val="0"/>
        <w:widowControl/>
        <w:kinsoku/>
        <w:wordWrap/>
        <w:overflowPunct/>
        <w:topLinePunct w:val="0"/>
        <w:autoSpaceDE/>
        <w:autoSpaceDN/>
        <w:bidi w:val="0"/>
        <w:adjustRightInd w:val="0"/>
        <w:snapToGrid w:val="0"/>
        <w:spacing w:line="600" w:lineRule="exact"/>
        <w:ind w:firstLine="640" w:firstLineChars="200"/>
        <w:contextualSpacing/>
        <w:jc w:val="left"/>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color w:val="auto"/>
          <w:kern w:val="0"/>
          <w:sz w:val="32"/>
          <w:szCs w:val="32"/>
          <w:lang w:val="zh-CN" w:eastAsia="zh-CN" w:bidi="ar-SA"/>
        </w:rPr>
        <w:t>“省管森工社会化管理工作经费”项目资金由省级财政下拨，市社会保险事务中心在“预算管理一体化系统”中申报项目资金，市级财政完成批复并下达指标。</w:t>
      </w:r>
    </w:p>
    <w:p w14:paraId="5E0430C9">
      <w:pPr>
        <w:keepNext w:val="0"/>
        <w:keepLines w:val="0"/>
        <w:pageBreakBefore w:val="0"/>
        <w:kinsoku/>
        <w:wordWrap/>
        <w:overflowPunct/>
        <w:topLinePunct w:val="0"/>
        <w:bidi w:val="0"/>
        <w:adjustRightInd w:val="0"/>
        <w:snapToGrid w:val="0"/>
        <w:spacing w:line="600" w:lineRule="exact"/>
        <w:ind w:firstLine="643" w:firstLineChars="200"/>
        <w:textAlignment w:val="auto"/>
        <w:rPr>
          <w:rFonts w:hint="default" w:ascii="Times New Roman" w:hAnsi="Times New Roman" w:eastAsia="楷体_GB2312" w:cs="Times New Roman"/>
          <w:b/>
          <w:bCs/>
          <w:color w:val="000000"/>
          <w:kern w:val="0"/>
          <w:sz w:val="32"/>
          <w:szCs w:val="32"/>
          <w:shd w:val="clear" w:color="auto" w:fill="FFFFFF"/>
          <w:lang w:val="zh-CN"/>
        </w:rPr>
      </w:pPr>
      <w:r>
        <w:rPr>
          <w:rFonts w:hint="default" w:ascii="Times New Roman" w:hAnsi="Times New Roman" w:eastAsia="楷体_GB2312" w:cs="Times New Roman"/>
          <w:b/>
          <w:bCs/>
          <w:color w:val="000000"/>
          <w:kern w:val="0"/>
          <w:sz w:val="32"/>
          <w:szCs w:val="32"/>
          <w:shd w:val="clear" w:color="auto" w:fill="FFFFFF"/>
          <w:lang w:val="zh-CN"/>
        </w:rPr>
        <w:t>（二）资金计划、到位及使用情况</w:t>
      </w:r>
    </w:p>
    <w:p w14:paraId="7AF4A5B9">
      <w:pPr>
        <w:keepNext w:val="0"/>
        <w:keepLines w:val="0"/>
        <w:pageBreakBefore w:val="0"/>
        <w:widowControl/>
        <w:kinsoku/>
        <w:wordWrap/>
        <w:overflowPunct/>
        <w:topLinePunct w:val="0"/>
        <w:autoSpaceDE/>
        <w:autoSpaceDN/>
        <w:bidi w:val="0"/>
        <w:adjustRightInd w:val="0"/>
        <w:snapToGrid w:val="0"/>
        <w:spacing w:line="600" w:lineRule="exact"/>
        <w:ind w:firstLine="643" w:firstLineChars="200"/>
        <w:contextualSpacing/>
        <w:jc w:val="left"/>
        <w:textAlignment w:val="auto"/>
        <w:rPr>
          <w:rFonts w:hint="default" w:ascii="Times New Roman" w:hAnsi="Times New Roman" w:eastAsia="仿宋_GB2312" w:cs="Times New Roman"/>
          <w:color w:val="auto"/>
          <w:kern w:val="0"/>
          <w:sz w:val="32"/>
          <w:szCs w:val="32"/>
          <w:lang w:val="zh-CN" w:eastAsia="zh-CN" w:bidi="ar-SA"/>
        </w:rPr>
      </w:pPr>
      <w:r>
        <w:rPr>
          <w:rFonts w:hint="eastAsia" w:eastAsia="仿宋_GB2312" w:cs="Times New Roman"/>
          <w:b/>
          <w:bCs/>
          <w:color w:val="auto"/>
          <w:kern w:val="0"/>
          <w:sz w:val="32"/>
          <w:szCs w:val="32"/>
          <w:lang w:val="en-US" w:eastAsia="zh-CN" w:bidi="ar-SA"/>
        </w:rPr>
        <w:t>1.</w:t>
      </w:r>
      <w:r>
        <w:rPr>
          <w:rFonts w:hint="default" w:ascii="Times New Roman" w:hAnsi="Times New Roman" w:eastAsia="仿宋_GB2312" w:cs="Times New Roman"/>
          <w:b/>
          <w:bCs/>
          <w:color w:val="auto"/>
          <w:kern w:val="0"/>
          <w:sz w:val="32"/>
          <w:szCs w:val="32"/>
          <w:lang w:val="zh-CN" w:eastAsia="zh-CN" w:bidi="ar-SA"/>
        </w:rPr>
        <w:t>资金计划</w:t>
      </w:r>
    </w:p>
    <w:p w14:paraId="34E56303">
      <w:pPr>
        <w:keepNext w:val="0"/>
        <w:keepLines w:val="0"/>
        <w:pageBreakBefore w:val="0"/>
        <w:widowControl/>
        <w:kinsoku/>
        <w:wordWrap/>
        <w:overflowPunct/>
        <w:topLinePunct w:val="0"/>
        <w:autoSpaceDE/>
        <w:autoSpaceDN/>
        <w:bidi w:val="0"/>
        <w:adjustRightInd w:val="0"/>
        <w:snapToGrid w:val="0"/>
        <w:spacing w:line="600" w:lineRule="exact"/>
        <w:ind w:firstLine="640" w:firstLineChars="200"/>
        <w:contextualSpacing/>
        <w:jc w:val="left"/>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color w:val="auto"/>
          <w:kern w:val="0"/>
          <w:sz w:val="32"/>
          <w:szCs w:val="32"/>
          <w:lang w:val="zh-CN" w:eastAsia="zh-CN" w:bidi="ar-SA"/>
        </w:rPr>
        <w:t>此项目资金</w:t>
      </w:r>
      <w:r>
        <w:rPr>
          <w:rFonts w:hint="default" w:ascii="Times New Roman" w:hAnsi="Times New Roman" w:eastAsia="仿宋_GB2312" w:cs="Times New Roman"/>
          <w:color w:val="auto"/>
          <w:kern w:val="0"/>
          <w:sz w:val="32"/>
          <w:szCs w:val="32"/>
          <w:lang w:val="en-US" w:eastAsia="zh-CN" w:bidi="ar-SA"/>
        </w:rPr>
        <w:t>7.69</w:t>
      </w:r>
      <w:r>
        <w:rPr>
          <w:rFonts w:hint="default" w:ascii="Times New Roman" w:hAnsi="Times New Roman" w:eastAsia="仿宋_GB2312" w:cs="Times New Roman"/>
          <w:color w:val="auto"/>
          <w:kern w:val="0"/>
          <w:sz w:val="32"/>
          <w:szCs w:val="32"/>
          <w:lang w:val="zh-CN" w:eastAsia="zh-CN" w:bidi="ar-SA"/>
        </w:rPr>
        <w:t>万元，主要用于开展省管重点森工企业离退休人员基本养老保险待遇发放和领取资格认证工作。</w:t>
      </w:r>
    </w:p>
    <w:p w14:paraId="39BF943C">
      <w:pPr>
        <w:keepNext w:val="0"/>
        <w:keepLines w:val="0"/>
        <w:pageBreakBefore w:val="0"/>
        <w:widowControl/>
        <w:kinsoku/>
        <w:wordWrap/>
        <w:overflowPunct/>
        <w:topLinePunct w:val="0"/>
        <w:autoSpaceDE/>
        <w:autoSpaceDN/>
        <w:bidi w:val="0"/>
        <w:adjustRightInd w:val="0"/>
        <w:snapToGrid w:val="0"/>
        <w:spacing w:line="600" w:lineRule="exact"/>
        <w:ind w:firstLine="643" w:firstLineChars="200"/>
        <w:contextualSpacing/>
        <w:jc w:val="left"/>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b/>
          <w:bCs/>
          <w:color w:val="auto"/>
          <w:kern w:val="0"/>
          <w:sz w:val="32"/>
          <w:szCs w:val="32"/>
          <w:lang w:val="en-US" w:eastAsia="zh-CN" w:bidi="ar-SA"/>
        </w:rPr>
        <w:t>2.</w:t>
      </w:r>
      <w:r>
        <w:rPr>
          <w:rFonts w:hint="default" w:ascii="Times New Roman" w:hAnsi="Times New Roman" w:eastAsia="仿宋_GB2312" w:cs="Times New Roman"/>
          <w:b/>
          <w:bCs/>
          <w:color w:val="auto"/>
          <w:kern w:val="0"/>
          <w:sz w:val="32"/>
          <w:szCs w:val="32"/>
          <w:lang w:val="zh-CN" w:eastAsia="zh-CN" w:bidi="ar-SA"/>
        </w:rPr>
        <w:t>资金到位</w:t>
      </w:r>
    </w:p>
    <w:p w14:paraId="1E1A5032">
      <w:pPr>
        <w:keepNext w:val="0"/>
        <w:keepLines w:val="0"/>
        <w:pageBreakBefore w:val="0"/>
        <w:widowControl/>
        <w:kinsoku/>
        <w:wordWrap/>
        <w:overflowPunct/>
        <w:topLinePunct w:val="0"/>
        <w:autoSpaceDE/>
        <w:autoSpaceDN/>
        <w:bidi w:val="0"/>
        <w:adjustRightInd w:val="0"/>
        <w:snapToGrid w:val="0"/>
        <w:spacing w:line="600" w:lineRule="exact"/>
        <w:ind w:firstLine="640" w:firstLineChars="200"/>
        <w:contextualSpacing/>
        <w:jc w:val="left"/>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color w:val="auto"/>
          <w:kern w:val="0"/>
          <w:sz w:val="32"/>
          <w:szCs w:val="32"/>
          <w:lang w:val="zh-CN" w:eastAsia="zh-CN" w:bidi="ar-SA"/>
        </w:rPr>
        <w:t>此项目资金</w:t>
      </w:r>
      <w:r>
        <w:rPr>
          <w:rFonts w:hint="default" w:ascii="Times New Roman" w:hAnsi="Times New Roman" w:eastAsia="仿宋_GB2312" w:cs="Times New Roman"/>
          <w:color w:val="auto"/>
          <w:kern w:val="0"/>
          <w:sz w:val="32"/>
          <w:szCs w:val="32"/>
          <w:lang w:val="en-US" w:eastAsia="zh-CN" w:bidi="ar-SA"/>
        </w:rPr>
        <w:t>7.69</w:t>
      </w:r>
      <w:r>
        <w:rPr>
          <w:rFonts w:hint="default" w:ascii="Times New Roman" w:hAnsi="Times New Roman" w:eastAsia="仿宋_GB2312" w:cs="Times New Roman"/>
          <w:color w:val="auto"/>
          <w:kern w:val="0"/>
          <w:sz w:val="32"/>
          <w:szCs w:val="32"/>
          <w:lang w:val="zh-CN" w:eastAsia="zh-CN" w:bidi="ar-SA"/>
        </w:rPr>
        <w:t>万元，于202</w:t>
      </w:r>
      <w:r>
        <w:rPr>
          <w:rFonts w:hint="default" w:ascii="Times New Roman" w:hAnsi="Times New Roman" w:eastAsia="仿宋_GB2312" w:cs="Times New Roman"/>
          <w:color w:val="auto"/>
          <w:kern w:val="0"/>
          <w:sz w:val="32"/>
          <w:szCs w:val="32"/>
          <w:lang w:val="en-US" w:eastAsia="zh-CN" w:bidi="ar-SA"/>
        </w:rPr>
        <w:t>5</w:t>
      </w:r>
      <w:r>
        <w:rPr>
          <w:rFonts w:hint="default" w:ascii="Times New Roman" w:hAnsi="Times New Roman" w:eastAsia="仿宋_GB2312" w:cs="Times New Roman"/>
          <w:color w:val="auto"/>
          <w:kern w:val="0"/>
          <w:sz w:val="32"/>
          <w:szCs w:val="32"/>
          <w:lang w:val="zh-CN" w:eastAsia="zh-CN" w:bidi="ar-SA"/>
        </w:rPr>
        <w:t>年中由市级财政批复并下达预算指标，到位率100%。</w:t>
      </w:r>
    </w:p>
    <w:p w14:paraId="786D54CF">
      <w:pPr>
        <w:keepNext w:val="0"/>
        <w:keepLines w:val="0"/>
        <w:pageBreakBefore w:val="0"/>
        <w:widowControl/>
        <w:kinsoku/>
        <w:wordWrap/>
        <w:overflowPunct/>
        <w:topLinePunct w:val="0"/>
        <w:autoSpaceDE/>
        <w:autoSpaceDN/>
        <w:bidi w:val="0"/>
        <w:adjustRightInd w:val="0"/>
        <w:snapToGrid w:val="0"/>
        <w:spacing w:line="600" w:lineRule="exact"/>
        <w:ind w:firstLine="643" w:firstLineChars="200"/>
        <w:contextualSpacing/>
        <w:jc w:val="left"/>
        <w:textAlignment w:val="auto"/>
        <w:rPr>
          <w:rFonts w:hint="default" w:ascii="Times New Roman" w:hAnsi="Times New Roman" w:eastAsia="仿宋_GB2312" w:cs="Times New Roman"/>
          <w:color w:val="auto"/>
          <w:kern w:val="0"/>
          <w:sz w:val="32"/>
          <w:szCs w:val="32"/>
          <w:lang w:val="zh-CN" w:eastAsia="zh-CN" w:bidi="ar-SA"/>
        </w:rPr>
      </w:pPr>
      <w:r>
        <w:rPr>
          <w:rFonts w:hint="eastAsia" w:eastAsia="仿宋_GB2312" w:cs="Times New Roman"/>
          <w:b/>
          <w:bCs/>
          <w:color w:val="auto"/>
          <w:kern w:val="0"/>
          <w:sz w:val="32"/>
          <w:szCs w:val="32"/>
          <w:lang w:val="en-US" w:eastAsia="zh-CN" w:bidi="ar-SA"/>
        </w:rPr>
        <w:t>3.</w:t>
      </w:r>
      <w:r>
        <w:rPr>
          <w:rFonts w:hint="default" w:ascii="Times New Roman" w:hAnsi="Times New Roman" w:eastAsia="仿宋_GB2312" w:cs="Times New Roman"/>
          <w:b/>
          <w:bCs/>
          <w:color w:val="auto"/>
          <w:kern w:val="0"/>
          <w:sz w:val="32"/>
          <w:szCs w:val="32"/>
          <w:lang w:val="zh-CN" w:eastAsia="zh-CN" w:bidi="ar-SA"/>
        </w:rPr>
        <w:t>资金使用</w:t>
      </w:r>
    </w:p>
    <w:p w14:paraId="5BFFC8FD">
      <w:pPr>
        <w:keepNext w:val="0"/>
        <w:keepLines w:val="0"/>
        <w:pageBreakBefore w:val="0"/>
        <w:widowControl/>
        <w:kinsoku/>
        <w:wordWrap/>
        <w:overflowPunct/>
        <w:topLinePunct w:val="0"/>
        <w:autoSpaceDE/>
        <w:autoSpaceDN/>
        <w:bidi w:val="0"/>
        <w:adjustRightInd w:val="0"/>
        <w:snapToGrid w:val="0"/>
        <w:spacing w:line="600" w:lineRule="exact"/>
        <w:ind w:firstLine="640" w:firstLineChars="200"/>
        <w:contextualSpacing/>
        <w:jc w:val="both"/>
        <w:textAlignment w:val="auto"/>
        <w:rPr>
          <w:rFonts w:hint="default" w:ascii="Times New Roman" w:hAnsi="Times New Roman" w:eastAsia="仿宋_GB2312" w:cs="Times New Roman"/>
          <w:color w:val="auto"/>
          <w:kern w:val="0"/>
          <w:sz w:val="32"/>
          <w:szCs w:val="32"/>
          <w:lang w:val="en-US" w:eastAsia="zh-CN" w:bidi="ar-SA"/>
        </w:rPr>
      </w:pPr>
      <w:r>
        <w:rPr>
          <w:rFonts w:hint="default" w:ascii="Times New Roman" w:hAnsi="Times New Roman" w:eastAsia="仿宋_GB2312" w:cs="Times New Roman"/>
          <w:color w:val="auto"/>
          <w:kern w:val="0"/>
          <w:sz w:val="32"/>
          <w:szCs w:val="32"/>
          <w:lang w:val="en-US" w:eastAsia="zh-CN" w:bidi="ar-SA"/>
        </w:rPr>
        <w:t>此项目资金主要</w:t>
      </w:r>
      <w:r>
        <w:rPr>
          <w:rFonts w:hint="default" w:ascii="Times New Roman" w:hAnsi="Times New Roman" w:eastAsia="仿宋_GB2312" w:cs="Times New Roman"/>
          <w:color w:val="auto"/>
          <w:kern w:val="0"/>
          <w:sz w:val="32"/>
          <w:szCs w:val="32"/>
          <w:lang w:val="zh-CN" w:eastAsia="zh-CN" w:bidi="ar-SA"/>
        </w:rPr>
        <w:t>用于市社会保险事务中心确</w:t>
      </w:r>
      <w:r>
        <w:rPr>
          <w:rFonts w:hint="default" w:ascii="Times New Roman" w:hAnsi="Times New Roman" w:eastAsia="仿宋_GB2312" w:cs="Times New Roman"/>
          <w:color w:val="auto"/>
          <w:kern w:val="0"/>
          <w:sz w:val="32"/>
          <w:szCs w:val="32"/>
          <w:lang w:val="en-US" w:eastAsia="zh-CN" w:bidi="ar-SA"/>
        </w:rPr>
        <w:t>保全市社保经办机构代管的省管森工企业离退休人员基本养老金按时足额发放，提升省管森工企业离退休人员社会化管理服务水平。</w:t>
      </w:r>
      <w:r>
        <w:rPr>
          <w:rFonts w:hint="default" w:ascii="Times New Roman" w:hAnsi="Times New Roman" w:eastAsia="仿宋_GB2312" w:cs="Times New Roman"/>
          <w:color w:val="auto"/>
          <w:kern w:val="0"/>
          <w:sz w:val="32"/>
          <w:szCs w:val="32"/>
          <w:lang w:val="zh-CN" w:eastAsia="zh-CN" w:bidi="ar-SA"/>
        </w:rPr>
        <w:t>资金</w:t>
      </w:r>
      <w:r>
        <w:rPr>
          <w:rFonts w:hint="default" w:ascii="Times New Roman" w:hAnsi="Times New Roman" w:eastAsia="仿宋_GB2312" w:cs="Times New Roman"/>
          <w:color w:val="auto"/>
          <w:kern w:val="0"/>
          <w:sz w:val="32"/>
          <w:szCs w:val="32"/>
          <w:lang w:val="en-US" w:eastAsia="zh-CN" w:bidi="ar-SA"/>
        </w:rPr>
        <w:t>到位后，市社会保险事务中心严格按财经纪律、财务管理等相关规定，严格审核各项支出，及时支付，资金支付完成100%。</w:t>
      </w:r>
    </w:p>
    <w:p w14:paraId="73ABE6A3">
      <w:pPr>
        <w:keepNext w:val="0"/>
        <w:keepLines w:val="0"/>
        <w:pageBreakBefore w:val="0"/>
        <w:kinsoku/>
        <w:wordWrap/>
        <w:overflowPunct/>
        <w:topLinePunct w:val="0"/>
        <w:bidi w:val="0"/>
        <w:adjustRightInd w:val="0"/>
        <w:snapToGrid w:val="0"/>
        <w:spacing w:line="600" w:lineRule="exact"/>
        <w:ind w:firstLine="643" w:firstLineChars="200"/>
        <w:textAlignment w:val="auto"/>
        <w:rPr>
          <w:rFonts w:hint="default" w:ascii="Times New Roman" w:hAnsi="Times New Roman" w:eastAsia="楷体_GB2312" w:cs="Times New Roman"/>
          <w:b/>
          <w:bCs/>
          <w:color w:val="000000"/>
          <w:kern w:val="0"/>
          <w:sz w:val="32"/>
          <w:szCs w:val="32"/>
          <w:shd w:val="clear" w:color="auto" w:fill="FFFFFF"/>
          <w:lang w:val="zh-CN"/>
        </w:rPr>
      </w:pPr>
      <w:r>
        <w:rPr>
          <w:rFonts w:hint="default" w:ascii="Times New Roman" w:hAnsi="Times New Roman" w:eastAsia="楷体_GB2312" w:cs="Times New Roman"/>
          <w:b/>
          <w:bCs/>
          <w:color w:val="000000"/>
          <w:kern w:val="0"/>
          <w:sz w:val="32"/>
          <w:szCs w:val="32"/>
          <w:shd w:val="clear" w:color="auto" w:fill="FFFFFF"/>
          <w:lang w:val="zh-CN"/>
        </w:rPr>
        <w:t>（三）项目财务管理情况</w:t>
      </w:r>
    </w:p>
    <w:p w14:paraId="0D90742B">
      <w:pPr>
        <w:keepNext w:val="0"/>
        <w:keepLines w:val="0"/>
        <w:pageBreakBefore w:val="0"/>
        <w:widowControl/>
        <w:kinsoku/>
        <w:wordWrap/>
        <w:overflowPunct/>
        <w:topLinePunct w:val="0"/>
        <w:autoSpaceDE/>
        <w:autoSpaceDN/>
        <w:bidi w:val="0"/>
        <w:adjustRightInd w:val="0"/>
        <w:snapToGrid w:val="0"/>
        <w:spacing w:line="600" w:lineRule="exact"/>
        <w:ind w:firstLine="640" w:firstLineChars="200"/>
        <w:contextualSpacing/>
        <w:jc w:val="both"/>
        <w:textAlignment w:val="auto"/>
        <w:rPr>
          <w:rFonts w:hint="default" w:ascii="Times New Roman" w:hAnsi="Times New Roman" w:eastAsia="仿宋_GB2312" w:cs="Times New Roman"/>
          <w:sz w:val="32"/>
          <w:szCs w:val="32"/>
          <w:lang w:val="zh-CN"/>
        </w:rPr>
      </w:pPr>
      <w:r>
        <w:rPr>
          <w:rFonts w:hint="default" w:ascii="Times New Roman" w:hAnsi="Times New Roman" w:eastAsia="仿宋_GB2312" w:cs="Times New Roman"/>
          <w:color w:val="auto"/>
          <w:kern w:val="0"/>
          <w:sz w:val="32"/>
          <w:szCs w:val="32"/>
          <w:lang w:val="zh-CN" w:eastAsia="zh-CN" w:bidi="ar-SA"/>
        </w:rPr>
        <w:t>市社会保险事务中心建立了财务管理制度，由办公室统一管理</w:t>
      </w:r>
      <w:r>
        <w:rPr>
          <w:rFonts w:hint="default" w:ascii="Times New Roman" w:hAnsi="Times New Roman" w:eastAsia="仿宋_GB2312" w:cs="Times New Roman"/>
          <w:color w:val="auto"/>
          <w:kern w:val="0"/>
          <w:sz w:val="32"/>
          <w:szCs w:val="32"/>
          <w:lang w:val="en-US" w:eastAsia="zh-CN" w:bidi="ar-SA"/>
        </w:rPr>
        <w:t xml:space="preserve"> </w:t>
      </w:r>
      <w:r>
        <w:rPr>
          <w:rFonts w:hint="default" w:ascii="Times New Roman" w:hAnsi="Times New Roman" w:eastAsia="仿宋_GB2312" w:cs="Times New Roman"/>
          <w:color w:val="auto"/>
          <w:kern w:val="0"/>
          <w:sz w:val="32"/>
          <w:szCs w:val="32"/>
          <w:lang w:val="zh-CN" w:eastAsia="zh-CN" w:bidi="ar-SA"/>
        </w:rPr>
        <w:t>“省管森工社会化管理工作经费”项目资金，严格按照上级要求上报资金使用计划，并在实施过程中做到资金专项专用。所有支出严格按照财务会计管理规定，做到资金使用有计划、审批有手续、支出合理规范。并及时进行账务处理和会计核算，按财政要求及时编制和公开项目资金绩效目标。</w:t>
      </w:r>
    </w:p>
    <w:p w14:paraId="1E7B801B">
      <w:pPr>
        <w:keepNext w:val="0"/>
        <w:keepLines w:val="0"/>
        <w:pageBreakBefore w:val="0"/>
        <w:kinsoku/>
        <w:wordWrap/>
        <w:overflowPunct/>
        <w:topLinePunct w:val="0"/>
        <w:bidi w:val="0"/>
        <w:adjustRightInd w:val="0"/>
        <w:snapToGrid w:val="0"/>
        <w:spacing w:line="600" w:lineRule="exact"/>
        <w:ind w:firstLine="640" w:firstLineChars="200"/>
        <w:textAlignment w:val="auto"/>
        <w:rPr>
          <w:rFonts w:hint="default" w:ascii="Times New Roman" w:hAnsi="Times New Roman" w:eastAsia="黑体" w:cs="Times New Roman"/>
          <w:sz w:val="32"/>
        </w:rPr>
      </w:pPr>
      <w:r>
        <w:rPr>
          <w:rFonts w:hint="default" w:ascii="Times New Roman" w:hAnsi="Times New Roman" w:eastAsia="黑体" w:cs="Times New Roman"/>
          <w:sz w:val="32"/>
        </w:rPr>
        <w:t>三、项目实施及管理情况</w:t>
      </w:r>
    </w:p>
    <w:p w14:paraId="092039CF">
      <w:pPr>
        <w:keepNext w:val="0"/>
        <w:keepLines w:val="0"/>
        <w:pageBreakBefore w:val="0"/>
        <w:kinsoku/>
        <w:wordWrap/>
        <w:overflowPunct/>
        <w:topLinePunct w:val="0"/>
        <w:bidi w:val="0"/>
        <w:adjustRightInd w:val="0"/>
        <w:snapToGrid w:val="0"/>
        <w:spacing w:line="600" w:lineRule="exact"/>
        <w:ind w:firstLine="643" w:firstLineChars="200"/>
        <w:textAlignment w:val="auto"/>
        <w:rPr>
          <w:rFonts w:hint="default" w:ascii="Times New Roman" w:hAnsi="Times New Roman" w:eastAsia="楷体_GB2312" w:cs="Times New Roman"/>
          <w:b/>
          <w:bCs/>
          <w:color w:val="000000"/>
          <w:kern w:val="0"/>
          <w:sz w:val="32"/>
          <w:szCs w:val="32"/>
          <w:shd w:val="clear" w:color="auto" w:fill="FFFFFF"/>
          <w:lang w:val="zh-CN"/>
        </w:rPr>
      </w:pPr>
      <w:r>
        <w:rPr>
          <w:rFonts w:hint="default" w:ascii="Times New Roman" w:hAnsi="Times New Roman" w:eastAsia="楷体_GB2312" w:cs="Times New Roman"/>
          <w:b/>
          <w:bCs/>
          <w:color w:val="000000"/>
          <w:kern w:val="0"/>
          <w:sz w:val="32"/>
          <w:szCs w:val="32"/>
          <w:shd w:val="clear" w:color="auto" w:fill="FFFFFF"/>
          <w:lang w:val="zh-CN"/>
        </w:rPr>
        <w:t>（一）项目组织架构及实施流程</w:t>
      </w:r>
    </w:p>
    <w:p w14:paraId="035750D3">
      <w:pPr>
        <w:keepNext w:val="0"/>
        <w:keepLines w:val="0"/>
        <w:pageBreakBefore w:val="0"/>
        <w:widowControl/>
        <w:kinsoku/>
        <w:wordWrap/>
        <w:overflowPunct/>
        <w:topLinePunct w:val="0"/>
        <w:autoSpaceDE/>
        <w:autoSpaceDN/>
        <w:bidi w:val="0"/>
        <w:adjustRightInd w:val="0"/>
        <w:snapToGrid w:val="0"/>
        <w:spacing w:line="600" w:lineRule="exact"/>
        <w:ind w:firstLine="640" w:firstLineChars="200"/>
        <w:contextualSpacing/>
        <w:jc w:val="both"/>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color w:val="auto"/>
          <w:kern w:val="0"/>
          <w:sz w:val="32"/>
          <w:szCs w:val="32"/>
          <w:lang w:val="zh-CN" w:eastAsia="zh-CN" w:bidi="ar-SA"/>
        </w:rPr>
        <w:t>办公室在部门预算中申报项目资金，并制定绩效目标；按照项目执行情况在“预算管理一体化系统”中完成资金的申请和支付。</w:t>
      </w:r>
      <w:r>
        <w:rPr>
          <w:rFonts w:hint="default" w:ascii="Times New Roman" w:hAnsi="Times New Roman" w:eastAsia="仿宋_GB2312" w:cs="Times New Roman"/>
          <w:color w:val="auto"/>
          <w:kern w:val="0"/>
          <w:sz w:val="32"/>
          <w:szCs w:val="32"/>
          <w:lang w:val="en-US" w:eastAsia="zh-CN" w:bidi="ar-SA"/>
        </w:rPr>
        <w:t>稽核科成立项目督导检查工作小组，不定期对项目执行进度情况进行督导检查</w:t>
      </w:r>
      <w:r>
        <w:rPr>
          <w:rFonts w:hint="default" w:ascii="Times New Roman" w:hAnsi="Times New Roman" w:eastAsia="仿宋_GB2312" w:cs="Times New Roman"/>
          <w:color w:val="auto"/>
          <w:kern w:val="0"/>
          <w:sz w:val="32"/>
          <w:szCs w:val="32"/>
          <w:lang w:val="zh-CN" w:eastAsia="zh-CN" w:bidi="ar-SA"/>
        </w:rPr>
        <w:t>。</w:t>
      </w:r>
    </w:p>
    <w:p w14:paraId="4ACE1B4D">
      <w:pPr>
        <w:keepNext w:val="0"/>
        <w:keepLines w:val="0"/>
        <w:pageBreakBefore w:val="0"/>
        <w:kinsoku/>
        <w:wordWrap/>
        <w:overflowPunct/>
        <w:topLinePunct w:val="0"/>
        <w:bidi w:val="0"/>
        <w:adjustRightInd w:val="0"/>
        <w:snapToGrid w:val="0"/>
        <w:spacing w:line="600" w:lineRule="exact"/>
        <w:ind w:firstLine="643" w:firstLineChars="200"/>
        <w:textAlignment w:val="auto"/>
        <w:rPr>
          <w:rFonts w:hint="default" w:ascii="Times New Roman" w:hAnsi="Times New Roman" w:eastAsia="楷体_GB2312" w:cs="Times New Roman"/>
          <w:b/>
          <w:bCs/>
          <w:color w:val="000000"/>
          <w:kern w:val="0"/>
          <w:sz w:val="32"/>
          <w:szCs w:val="32"/>
          <w:shd w:val="clear" w:color="auto" w:fill="FFFFFF"/>
          <w:lang w:val="zh-CN"/>
        </w:rPr>
      </w:pPr>
      <w:r>
        <w:rPr>
          <w:rFonts w:hint="default" w:ascii="Times New Roman" w:hAnsi="Times New Roman" w:eastAsia="楷体_GB2312" w:cs="Times New Roman"/>
          <w:b/>
          <w:bCs/>
          <w:color w:val="000000"/>
          <w:kern w:val="0"/>
          <w:sz w:val="32"/>
          <w:szCs w:val="32"/>
          <w:shd w:val="clear" w:color="auto" w:fill="FFFFFF"/>
          <w:lang w:val="zh-CN"/>
        </w:rPr>
        <w:t>（二）项目管理情况</w:t>
      </w:r>
    </w:p>
    <w:p w14:paraId="71FF0FBE">
      <w:pPr>
        <w:keepNext w:val="0"/>
        <w:keepLines w:val="0"/>
        <w:pageBreakBefore w:val="0"/>
        <w:widowControl/>
        <w:kinsoku/>
        <w:wordWrap/>
        <w:overflowPunct/>
        <w:topLinePunct w:val="0"/>
        <w:autoSpaceDE/>
        <w:autoSpaceDN/>
        <w:bidi w:val="0"/>
        <w:adjustRightInd w:val="0"/>
        <w:snapToGrid w:val="0"/>
        <w:spacing w:line="600" w:lineRule="exact"/>
        <w:ind w:firstLine="640" w:firstLineChars="200"/>
        <w:contextualSpacing/>
        <w:jc w:val="left"/>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color w:val="auto"/>
          <w:kern w:val="0"/>
          <w:sz w:val="32"/>
          <w:szCs w:val="32"/>
          <w:lang w:val="zh-CN" w:eastAsia="zh-CN" w:bidi="ar-SA"/>
        </w:rPr>
        <w:t>严格按照《四川省财政厅四川省人力资源和社会保障厅关于印发〈森工人员退休管理专项资金管理办法〉的通知》（川财社〔201</w:t>
      </w:r>
      <w:r>
        <w:rPr>
          <w:rFonts w:hint="default" w:ascii="Times New Roman" w:hAnsi="Times New Roman" w:eastAsia="仿宋_GB2312" w:cs="Times New Roman"/>
          <w:color w:val="auto"/>
          <w:kern w:val="0"/>
          <w:sz w:val="32"/>
          <w:szCs w:val="32"/>
          <w:lang w:val="en-US" w:eastAsia="zh-CN" w:bidi="ar-SA"/>
        </w:rPr>
        <w:t>7〕</w:t>
      </w:r>
      <w:r>
        <w:rPr>
          <w:rFonts w:hint="default" w:ascii="Times New Roman" w:hAnsi="Times New Roman" w:eastAsia="仿宋_GB2312" w:cs="Times New Roman"/>
          <w:color w:val="auto"/>
          <w:kern w:val="0"/>
          <w:sz w:val="32"/>
          <w:szCs w:val="32"/>
          <w:lang w:val="zh-CN" w:eastAsia="zh-CN" w:bidi="ar-SA"/>
        </w:rPr>
        <w:t>7号）文件要求使用项目资金。</w:t>
      </w:r>
    </w:p>
    <w:p w14:paraId="0232BB51">
      <w:pPr>
        <w:keepNext w:val="0"/>
        <w:keepLines w:val="0"/>
        <w:pageBreakBefore w:val="0"/>
        <w:kinsoku/>
        <w:wordWrap/>
        <w:overflowPunct/>
        <w:topLinePunct w:val="0"/>
        <w:bidi w:val="0"/>
        <w:adjustRightInd w:val="0"/>
        <w:snapToGrid w:val="0"/>
        <w:spacing w:line="600" w:lineRule="exact"/>
        <w:ind w:firstLine="643" w:firstLineChars="200"/>
        <w:textAlignment w:val="auto"/>
        <w:rPr>
          <w:rFonts w:hint="default" w:ascii="Times New Roman" w:hAnsi="Times New Roman" w:eastAsia="楷体_GB2312" w:cs="Times New Roman"/>
          <w:b/>
          <w:bCs/>
          <w:color w:val="000000"/>
          <w:kern w:val="0"/>
          <w:sz w:val="32"/>
          <w:szCs w:val="32"/>
          <w:shd w:val="clear" w:color="auto" w:fill="FFFFFF"/>
          <w:lang w:val="zh-CN"/>
        </w:rPr>
      </w:pPr>
      <w:r>
        <w:rPr>
          <w:rFonts w:hint="default" w:ascii="Times New Roman" w:hAnsi="Times New Roman" w:eastAsia="楷体_GB2312" w:cs="Times New Roman"/>
          <w:b/>
          <w:bCs/>
          <w:color w:val="000000"/>
          <w:kern w:val="0"/>
          <w:sz w:val="32"/>
          <w:szCs w:val="32"/>
          <w:shd w:val="clear" w:color="auto" w:fill="FFFFFF"/>
          <w:lang w:val="zh-CN"/>
        </w:rPr>
        <w:t>（三）项目监管情况</w:t>
      </w:r>
    </w:p>
    <w:p w14:paraId="58096BA7">
      <w:pPr>
        <w:pStyle w:val="17"/>
        <w:keepNext w:val="0"/>
        <w:keepLines w:val="0"/>
        <w:pageBreakBefore w:val="0"/>
        <w:widowControl/>
        <w:suppressLineNumbers w:val="0"/>
        <w:pBdr>
          <w:bottom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40" w:firstLineChars="200"/>
        <w:jc w:val="both"/>
        <w:textAlignment w:val="auto"/>
        <w:rPr>
          <w:rFonts w:hint="default" w:ascii="Times New Roman" w:hAnsi="Times New Roman" w:eastAsia="仿宋_GB2312" w:cs="Times New Roman"/>
          <w:color w:val="auto"/>
          <w:kern w:val="2"/>
          <w:sz w:val="32"/>
          <w:szCs w:val="32"/>
          <w:lang w:val="en-US" w:eastAsia="zh-CN" w:bidi="ar-SA"/>
        </w:rPr>
      </w:pPr>
      <w:r>
        <w:rPr>
          <w:rFonts w:hint="default" w:ascii="Times New Roman" w:hAnsi="Times New Roman" w:eastAsia="仿宋_GB2312" w:cs="Times New Roman"/>
          <w:color w:val="auto"/>
          <w:kern w:val="2"/>
          <w:sz w:val="32"/>
          <w:szCs w:val="32"/>
          <w:lang w:val="en-US" w:eastAsia="zh-CN" w:bidi="ar-SA"/>
        </w:rPr>
        <w:t>市社会保险事务中心稽核科成立项目督导检查工作小组，不定期对项目执行进度情况进行督导检查，对检查过程中发现的问题及时督促整改，确保了项目按时保质完成。</w:t>
      </w:r>
    </w:p>
    <w:p w14:paraId="34581DE4">
      <w:pPr>
        <w:keepNext w:val="0"/>
        <w:keepLines w:val="0"/>
        <w:pageBreakBefore w:val="0"/>
        <w:kinsoku/>
        <w:wordWrap/>
        <w:overflowPunct/>
        <w:topLinePunct w:val="0"/>
        <w:bidi w:val="0"/>
        <w:adjustRightInd w:val="0"/>
        <w:snapToGrid w:val="0"/>
        <w:spacing w:line="600" w:lineRule="exact"/>
        <w:ind w:firstLine="640" w:firstLineChars="200"/>
        <w:textAlignment w:val="auto"/>
        <w:rPr>
          <w:rFonts w:hint="default" w:ascii="Times New Roman" w:hAnsi="Times New Roman" w:eastAsia="黑体" w:cs="Times New Roman"/>
          <w:sz w:val="32"/>
          <w:lang w:val="zh-CN"/>
        </w:rPr>
      </w:pPr>
      <w:r>
        <w:rPr>
          <w:rFonts w:hint="default" w:ascii="Times New Roman" w:hAnsi="Times New Roman" w:eastAsia="黑体" w:cs="Times New Roman"/>
          <w:sz w:val="32"/>
        </w:rPr>
        <w:t>四、项目绩效情况</w:t>
      </w:r>
      <w:r>
        <w:rPr>
          <w:rFonts w:hint="default" w:ascii="Times New Roman" w:hAnsi="Times New Roman" w:eastAsia="黑体" w:cs="Times New Roman"/>
          <w:sz w:val="32"/>
          <w:lang w:val="zh-CN"/>
        </w:rPr>
        <w:tab/>
      </w:r>
    </w:p>
    <w:p w14:paraId="250B1F49">
      <w:pPr>
        <w:keepNext w:val="0"/>
        <w:keepLines w:val="0"/>
        <w:pageBreakBefore w:val="0"/>
        <w:kinsoku/>
        <w:wordWrap/>
        <w:overflowPunct/>
        <w:topLinePunct w:val="0"/>
        <w:bidi w:val="0"/>
        <w:adjustRightInd w:val="0"/>
        <w:snapToGrid w:val="0"/>
        <w:spacing w:line="600" w:lineRule="exact"/>
        <w:ind w:firstLine="643" w:firstLineChars="200"/>
        <w:textAlignment w:val="auto"/>
        <w:rPr>
          <w:rFonts w:hint="default" w:ascii="Times New Roman" w:hAnsi="Times New Roman" w:eastAsia="楷体_GB2312" w:cs="Times New Roman"/>
          <w:b/>
          <w:bCs/>
          <w:color w:val="000000"/>
          <w:kern w:val="0"/>
          <w:sz w:val="32"/>
          <w:szCs w:val="32"/>
          <w:shd w:val="clear" w:color="auto" w:fill="FFFFFF"/>
          <w:lang w:val="zh-CN"/>
        </w:rPr>
      </w:pPr>
      <w:r>
        <w:rPr>
          <w:rFonts w:hint="default" w:ascii="Times New Roman" w:hAnsi="Times New Roman" w:eastAsia="楷体_GB2312" w:cs="Times New Roman"/>
          <w:b/>
          <w:bCs/>
          <w:color w:val="000000"/>
          <w:kern w:val="0"/>
          <w:sz w:val="32"/>
          <w:szCs w:val="32"/>
          <w:shd w:val="clear" w:color="auto" w:fill="FFFFFF"/>
          <w:lang w:val="zh-CN"/>
        </w:rPr>
        <w:t>（一）项目完成情况</w:t>
      </w:r>
    </w:p>
    <w:p w14:paraId="2BBB5FCF">
      <w:pPr>
        <w:keepNext w:val="0"/>
        <w:keepLines w:val="0"/>
        <w:pageBreakBefore w:val="0"/>
        <w:kinsoku/>
        <w:wordWrap/>
        <w:overflowPunct/>
        <w:topLinePunct w:val="0"/>
        <w:autoSpaceDE w:val="0"/>
        <w:autoSpaceDN w:val="0"/>
        <w:bidi w:val="0"/>
        <w:adjustRightInd w:val="0"/>
        <w:spacing w:line="600" w:lineRule="exact"/>
        <w:ind w:firstLine="640" w:firstLineChars="200"/>
        <w:jc w:val="left"/>
        <w:textAlignment w:val="auto"/>
        <w:rPr>
          <w:rFonts w:hint="default" w:ascii="Times New Roman" w:hAnsi="Times New Roman" w:eastAsia="仿宋_GB2312" w:cs="Times New Roman"/>
          <w:color w:val="auto"/>
          <w:kern w:val="2"/>
          <w:sz w:val="32"/>
          <w:szCs w:val="32"/>
          <w:lang w:val="en-US" w:eastAsia="zh-CN" w:bidi="ar-SA"/>
        </w:rPr>
      </w:pPr>
      <w:r>
        <w:rPr>
          <w:rFonts w:hint="default" w:ascii="Times New Roman" w:hAnsi="Times New Roman" w:eastAsia="仿宋_GB2312" w:cs="Times New Roman"/>
          <w:color w:val="auto"/>
          <w:kern w:val="2"/>
          <w:sz w:val="32"/>
          <w:szCs w:val="32"/>
          <w:lang w:val="en-US" w:eastAsia="zh-CN" w:bidi="ar-SA"/>
        </w:rPr>
        <w:t>“省管森工社会化管理工作经费”项目在当期完成了项目的总体实施，执行率100%。确保代管的省管森工企业离退休人员基本养老金按时足额发放，提升省管森工企业离退休人员社会化管理服务水平。</w:t>
      </w:r>
    </w:p>
    <w:p w14:paraId="07CF6145">
      <w:pPr>
        <w:keepNext w:val="0"/>
        <w:keepLines w:val="0"/>
        <w:pageBreakBefore w:val="0"/>
        <w:numPr>
          <w:ilvl w:val="-1"/>
          <w:numId w:val="0"/>
        </w:numPr>
        <w:kinsoku/>
        <w:wordWrap/>
        <w:overflowPunct/>
        <w:topLinePunct w:val="0"/>
        <w:bidi w:val="0"/>
        <w:spacing w:line="600" w:lineRule="exact"/>
        <w:ind w:left="0" w:leftChars="0" w:firstLine="640" w:firstLineChars="200"/>
        <w:jc w:val="both"/>
        <w:textAlignment w:val="auto"/>
        <w:rPr>
          <w:rFonts w:hint="default" w:ascii="Times New Roman" w:hAnsi="Times New Roman" w:eastAsia="仿宋_GB2312" w:cs="Times New Roman"/>
          <w:color w:val="auto"/>
          <w:kern w:val="2"/>
          <w:sz w:val="32"/>
          <w:szCs w:val="32"/>
          <w:lang w:val="en-US" w:eastAsia="zh-CN" w:bidi="ar-SA"/>
        </w:rPr>
      </w:pPr>
      <w:r>
        <w:rPr>
          <w:rFonts w:hint="eastAsia" w:eastAsia="仿宋_GB2312" w:cs="Times New Roman"/>
          <w:color w:val="auto"/>
          <w:kern w:val="2"/>
          <w:sz w:val="32"/>
          <w:szCs w:val="32"/>
          <w:lang w:val="en-US" w:eastAsia="zh-CN" w:bidi="ar-SA"/>
        </w:rPr>
        <w:t>1.</w:t>
      </w:r>
      <w:r>
        <w:rPr>
          <w:rFonts w:hint="default" w:ascii="Times New Roman" w:hAnsi="Times New Roman" w:eastAsia="仿宋_GB2312" w:cs="Times New Roman"/>
          <w:color w:val="auto"/>
          <w:kern w:val="2"/>
          <w:sz w:val="32"/>
          <w:szCs w:val="32"/>
          <w:lang w:val="en-US" w:eastAsia="zh-CN" w:bidi="ar-SA"/>
        </w:rPr>
        <w:t>质量指标：按时足额发放率达到100%。</w:t>
      </w:r>
    </w:p>
    <w:p w14:paraId="358D6397">
      <w:pPr>
        <w:keepNext w:val="0"/>
        <w:keepLines w:val="0"/>
        <w:pageBreakBefore w:val="0"/>
        <w:numPr>
          <w:ilvl w:val="-1"/>
          <w:numId w:val="0"/>
        </w:numPr>
        <w:kinsoku/>
        <w:wordWrap/>
        <w:overflowPunct/>
        <w:topLinePunct w:val="0"/>
        <w:bidi w:val="0"/>
        <w:spacing w:line="600" w:lineRule="exact"/>
        <w:ind w:left="0" w:leftChars="0" w:firstLine="640" w:firstLineChars="200"/>
        <w:jc w:val="both"/>
        <w:textAlignment w:val="auto"/>
        <w:rPr>
          <w:rFonts w:hint="default" w:ascii="Times New Roman" w:hAnsi="Times New Roman" w:eastAsia="仿宋_GB2312" w:cs="Times New Roman"/>
          <w:color w:val="auto"/>
          <w:kern w:val="2"/>
          <w:sz w:val="32"/>
          <w:szCs w:val="32"/>
          <w:lang w:val="en-US" w:eastAsia="zh-CN" w:bidi="ar-SA"/>
        </w:rPr>
      </w:pPr>
      <w:r>
        <w:rPr>
          <w:rFonts w:hint="eastAsia" w:eastAsia="仿宋_GB2312" w:cs="Times New Roman"/>
          <w:color w:val="auto"/>
          <w:kern w:val="2"/>
          <w:sz w:val="32"/>
          <w:szCs w:val="32"/>
          <w:lang w:val="en-US" w:eastAsia="zh-CN" w:bidi="ar-SA"/>
        </w:rPr>
        <w:t>2.</w:t>
      </w:r>
      <w:r>
        <w:rPr>
          <w:rFonts w:hint="default" w:ascii="Times New Roman" w:hAnsi="Times New Roman" w:eastAsia="仿宋_GB2312" w:cs="Times New Roman"/>
          <w:color w:val="auto"/>
          <w:kern w:val="2"/>
          <w:sz w:val="32"/>
          <w:szCs w:val="32"/>
          <w:lang w:val="en-US" w:eastAsia="zh-CN" w:bidi="ar-SA"/>
        </w:rPr>
        <w:t>数量指标：森工企业退休人员数量≥750人。</w:t>
      </w:r>
    </w:p>
    <w:p w14:paraId="232B3B6A">
      <w:pPr>
        <w:keepNext w:val="0"/>
        <w:keepLines w:val="0"/>
        <w:pageBreakBefore w:val="0"/>
        <w:widowControl/>
        <w:numPr>
          <w:ilvl w:val="-1"/>
          <w:numId w:val="0"/>
        </w:numPr>
        <w:kinsoku/>
        <w:wordWrap/>
        <w:overflowPunct/>
        <w:topLinePunct w:val="0"/>
        <w:bidi w:val="0"/>
        <w:spacing w:line="600" w:lineRule="exact"/>
        <w:ind w:left="0" w:leftChars="0" w:firstLine="640" w:firstLineChars="200"/>
        <w:jc w:val="both"/>
        <w:textAlignment w:val="auto"/>
        <w:rPr>
          <w:rFonts w:hint="default" w:ascii="Times New Roman" w:hAnsi="Times New Roman" w:eastAsia="仿宋_GB2312" w:cs="Times New Roman"/>
          <w:color w:val="auto"/>
          <w:kern w:val="2"/>
          <w:sz w:val="32"/>
          <w:szCs w:val="32"/>
          <w:lang w:val="en-US" w:eastAsia="zh-CN" w:bidi="ar-SA"/>
        </w:rPr>
      </w:pPr>
      <w:r>
        <w:rPr>
          <w:rFonts w:hint="eastAsia" w:eastAsia="仿宋_GB2312" w:cs="Times New Roman"/>
          <w:color w:val="auto"/>
          <w:kern w:val="2"/>
          <w:sz w:val="32"/>
          <w:szCs w:val="32"/>
          <w:lang w:val="en-US" w:eastAsia="zh-CN" w:bidi="ar-SA"/>
        </w:rPr>
        <w:t>3.</w:t>
      </w:r>
      <w:r>
        <w:rPr>
          <w:rFonts w:hint="default" w:ascii="Times New Roman" w:hAnsi="Times New Roman" w:eastAsia="仿宋_GB2312" w:cs="Times New Roman"/>
          <w:color w:val="auto"/>
          <w:kern w:val="2"/>
          <w:sz w:val="32"/>
          <w:szCs w:val="32"/>
          <w:lang w:val="en-US" w:eastAsia="zh-CN" w:bidi="ar-SA"/>
        </w:rPr>
        <w:t>时效指标：资金支付及时率100%。</w:t>
      </w:r>
    </w:p>
    <w:p w14:paraId="52EE889E">
      <w:pPr>
        <w:keepNext w:val="0"/>
        <w:keepLines w:val="0"/>
        <w:pageBreakBefore w:val="0"/>
        <w:widowControl/>
        <w:numPr>
          <w:ilvl w:val="-1"/>
          <w:numId w:val="0"/>
        </w:numPr>
        <w:kinsoku/>
        <w:wordWrap/>
        <w:overflowPunct/>
        <w:topLinePunct w:val="0"/>
        <w:bidi w:val="0"/>
        <w:spacing w:line="600" w:lineRule="exact"/>
        <w:ind w:left="0" w:leftChars="0" w:firstLine="640" w:firstLineChars="200"/>
        <w:jc w:val="left"/>
        <w:textAlignment w:val="auto"/>
        <w:rPr>
          <w:rFonts w:hint="default" w:ascii="Times New Roman" w:hAnsi="Times New Roman" w:eastAsia="仿宋_GB2312" w:cs="Times New Roman"/>
          <w:color w:val="auto"/>
          <w:kern w:val="2"/>
          <w:sz w:val="32"/>
          <w:szCs w:val="32"/>
          <w:lang w:val="en-US" w:eastAsia="zh-CN" w:bidi="ar-SA"/>
        </w:rPr>
      </w:pPr>
      <w:r>
        <w:rPr>
          <w:rFonts w:hint="eastAsia" w:eastAsia="仿宋_GB2312" w:cs="Times New Roman"/>
          <w:color w:val="auto"/>
          <w:kern w:val="2"/>
          <w:sz w:val="32"/>
          <w:szCs w:val="32"/>
          <w:lang w:val="en-US" w:eastAsia="zh-CN" w:bidi="ar-SA"/>
        </w:rPr>
        <w:t>4.</w:t>
      </w:r>
      <w:r>
        <w:rPr>
          <w:rFonts w:hint="default" w:ascii="Times New Roman" w:hAnsi="Times New Roman" w:eastAsia="仿宋_GB2312" w:cs="Times New Roman"/>
          <w:color w:val="auto"/>
          <w:kern w:val="2"/>
          <w:sz w:val="32"/>
          <w:szCs w:val="32"/>
          <w:lang w:val="en-US" w:eastAsia="zh-CN" w:bidi="ar-SA"/>
        </w:rPr>
        <w:t>成本指标：社会化管理工作成本7.69万元。</w:t>
      </w:r>
    </w:p>
    <w:p w14:paraId="5890E798">
      <w:pPr>
        <w:keepNext w:val="0"/>
        <w:keepLines w:val="0"/>
        <w:pageBreakBefore w:val="0"/>
        <w:widowControl/>
        <w:numPr>
          <w:ilvl w:val="-1"/>
          <w:numId w:val="0"/>
        </w:numPr>
        <w:kinsoku/>
        <w:wordWrap/>
        <w:overflowPunct/>
        <w:topLinePunct w:val="0"/>
        <w:bidi w:val="0"/>
        <w:spacing w:line="600" w:lineRule="exact"/>
        <w:ind w:left="0" w:leftChars="0" w:firstLine="640" w:firstLineChars="200"/>
        <w:jc w:val="left"/>
        <w:textAlignment w:val="auto"/>
        <w:rPr>
          <w:rFonts w:hint="default" w:ascii="Times New Roman" w:hAnsi="Times New Roman" w:eastAsia="仿宋_GB2312" w:cs="Times New Roman"/>
          <w:color w:val="auto"/>
          <w:kern w:val="2"/>
          <w:sz w:val="32"/>
          <w:szCs w:val="32"/>
          <w:lang w:val="en-US" w:eastAsia="zh-CN" w:bidi="ar-SA"/>
        </w:rPr>
      </w:pPr>
      <w:r>
        <w:rPr>
          <w:rFonts w:hint="eastAsia" w:eastAsia="仿宋_GB2312" w:cs="Times New Roman"/>
          <w:color w:val="auto"/>
          <w:kern w:val="2"/>
          <w:sz w:val="32"/>
          <w:szCs w:val="32"/>
          <w:lang w:val="en-US" w:eastAsia="zh-CN" w:bidi="ar-SA"/>
        </w:rPr>
        <w:t>5.</w:t>
      </w:r>
      <w:r>
        <w:rPr>
          <w:rFonts w:hint="default" w:ascii="Times New Roman" w:hAnsi="Times New Roman" w:eastAsia="仿宋_GB2312" w:cs="Times New Roman"/>
          <w:color w:val="auto"/>
          <w:kern w:val="2"/>
          <w:sz w:val="32"/>
          <w:szCs w:val="32"/>
          <w:lang w:val="en-US" w:eastAsia="zh-CN" w:bidi="ar-SA"/>
        </w:rPr>
        <w:t>社会效益指标：维护社会稳定。</w:t>
      </w:r>
    </w:p>
    <w:p w14:paraId="1A3A32A6">
      <w:pPr>
        <w:pStyle w:val="9"/>
        <w:keepNext w:val="0"/>
        <w:keepLines w:val="0"/>
        <w:pageBreakBefore w:val="0"/>
        <w:numPr>
          <w:ilvl w:val="-1"/>
          <w:numId w:val="0"/>
        </w:numPr>
        <w:kinsoku/>
        <w:wordWrap/>
        <w:overflowPunct/>
        <w:topLinePunct w:val="0"/>
        <w:bidi w:val="0"/>
        <w:spacing w:line="600" w:lineRule="exact"/>
        <w:ind w:left="0" w:leftChars="0" w:firstLine="640" w:firstLineChars="200"/>
        <w:jc w:val="both"/>
        <w:textAlignment w:val="auto"/>
        <w:rPr>
          <w:rFonts w:hint="default" w:ascii="Times New Roman" w:hAnsi="Times New Roman" w:eastAsia="仿宋_GB2312" w:cs="Times New Roman"/>
          <w:color w:val="auto"/>
          <w:kern w:val="2"/>
          <w:sz w:val="32"/>
          <w:szCs w:val="32"/>
          <w:lang w:val="en-US" w:eastAsia="zh-CN" w:bidi="ar-SA"/>
        </w:rPr>
      </w:pPr>
      <w:r>
        <w:rPr>
          <w:rFonts w:hint="eastAsia" w:ascii="Times New Roman" w:hAnsi="Times New Roman" w:eastAsia="仿宋_GB2312" w:cs="Times New Roman"/>
          <w:color w:val="auto"/>
          <w:kern w:val="2"/>
          <w:sz w:val="32"/>
          <w:szCs w:val="32"/>
          <w:lang w:val="en-US" w:eastAsia="zh-CN" w:bidi="ar-SA"/>
        </w:rPr>
        <w:t>6.</w:t>
      </w:r>
      <w:r>
        <w:rPr>
          <w:rFonts w:hint="default" w:ascii="Times New Roman" w:hAnsi="Times New Roman" w:eastAsia="仿宋_GB2312" w:cs="Times New Roman"/>
          <w:color w:val="auto"/>
          <w:kern w:val="2"/>
          <w:sz w:val="32"/>
          <w:szCs w:val="32"/>
          <w:lang w:val="en-US" w:eastAsia="zh-CN" w:bidi="ar-SA"/>
        </w:rPr>
        <w:t>满意度指标：森工退休人员满意度≥95%。</w:t>
      </w:r>
    </w:p>
    <w:p w14:paraId="5727B00C">
      <w:pPr>
        <w:keepNext w:val="0"/>
        <w:keepLines w:val="0"/>
        <w:pageBreakBefore w:val="0"/>
        <w:kinsoku/>
        <w:wordWrap/>
        <w:overflowPunct/>
        <w:topLinePunct w:val="0"/>
        <w:bidi w:val="0"/>
        <w:adjustRightInd w:val="0"/>
        <w:snapToGrid w:val="0"/>
        <w:spacing w:line="600" w:lineRule="exact"/>
        <w:ind w:firstLine="643" w:firstLineChars="200"/>
        <w:textAlignment w:val="auto"/>
        <w:rPr>
          <w:rFonts w:hint="default" w:ascii="Times New Roman" w:hAnsi="Times New Roman" w:eastAsia="楷体_GB2312" w:cs="Times New Roman"/>
          <w:b/>
          <w:bCs/>
          <w:color w:val="000000"/>
          <w:kern w:val="0"/>
          <w:sz w:val="32"/>
          <w:szCs w:val="32"/>
          <w:shd w:val="clear" w:color="auto" w:fill="FFFFFF"/>
          <w:lang w:val="zh-CN"/>
        </w:rPr>
      </w:pPr>
      <w:r>
        <w:rPr>
          <w:rFonts w:hint="default" w:ascii="Times New Roman" w:hAnsi="Times New Roman" w:eastAsia="楷体_GB2312" w:cs="Times New Roman"/>
          <w:b/>
          <w:bCs/>
          <w:color w:val="000000"/>
          <w:kern w:val="0"/>
          <w:sz w:val="32"/>
          <w:szCs w:val="32"/>
          <w:shd w:val="clear" w:color="auto" w:fill="FFFFFF"/>
          <w:lang w:val="zh-CN"/>
        </w:rPr>
        <w:t>（二）项目效益情况</w:t>
      </w:r>
    </w:p>
    <w:p w14:paraId="6C5C0974">
      <w:pPr>
        <w:keepNext w:val="0"/>
        <w:keepLines w:val="0"/>
        <w:pageBreakBefore w:val="0"/>
        <w:kinsoku/>
        <w:wordWrap/>
        <w:overflowPunct/>
        <w:topLinePunct w:val="0"/>
        <w:autoSpaceDE w:val="0"/>
        <w:autoSpaceDN w:val="0"/>
        <w:bidi w:val="0"/>
        <w:adjustRightInd w:val="0"/>
        <w:spacing w:line="600" w:lineRule="exact"/>
        <w:ind w:firstLine="640" w:firstLineChars="200"/>
        <w:jc w:val="both"/>
        <w:textAlignment w:val="auto"/>
        <w:rPr>
          <w:rFonts w:hint="default" w:ascii="Times New Roman" w:hAnsi="Times New Roman" w:eastAsia="仿宋_GB2312" w:cs="Times New Roman"/>
          <w:color w:val="auto"/>
          <w:kern w:val="2"/>
          <w:sz w:val="32"/>
          <w:szCs w:val="32"/>
          <w:lang w:val="en-US" w:eastAsia="zh-CN" w:bidi="ar-SA"/>
        </w:rPr>
      </w:pPr>
      <w:r>
        <w:rPr>
          <w:rFonts w:hint="default" w:ascii="Times New Roman" w:hAnsi="Times New Roman" w:eastAsia="仿宋_GB2312" w:cs="Times New Roman"/>
          <w:color w:val="auto"/>
          <w:kern w:val="2"/>
          <w:sz w:val="32"/>
          <w:szCs w:val="32"/>
          <w:lang w:val="en-US" w:eastAsia="zh-CN" w:bidi="ar-SA"/>
        </w:rPr>
        <w:t>市社会保险事务中心</w:t>
      </w:r>
      <w:r>
        <w:rPr>
          <w:rFonts w:hint="default" w:ascii="Times New Roman" w:hAnsi="Times New Roman" w:eastAsia="仿宋_GB2312" w:cs="Times New Roman"/>
          <w:color w:val="auto"/>
          <w:kern w:val="2"/>
          <w:sz w:val="32"/>
          <w:szCs w:val="32"/>
          <w:lang w:val="zh-CN" w:eastAsia="zh-CN" w:bidi="ar-SA"/>
        </w:rPr>
        <w:t>按照</w:t>
      </w:r>
      <w:r>
        <w:rPr>
          <w:rFonts w:hint="default" w:ascii="Times New Roman" w:hAnsi="Times New Roman" w:eastAsia="仿宋_GB2312" w:cs="Times New Roman"/>
          <w:color w:val="auto"/>
          <w:kern w:val="2"/>
          <w:sz w:val="32"/>
          <w:szCs w:val="32"/>
          <w:lang w:val="en-US" w:eastAsia="zh-CN" w:bidi="ar-SA"/>
        </w:rPr>
        <w:t>人力资源社会保障</w:t>
      </w:r>
      <w:r>
        <w:rPr>
          <w:rFonts w:hint="default" w:ascii="Times New Roman" w:hAnsi="Times New Roman" w:eastAsia="仿宋_GB2312" w:cs="Times New Roman"/>
          <w:color w:val="auto"/>
          <w:kern w:val="2"/>
          <w:sz w:val="32"/>
          <w:szCs w:val="32"/>
          <w:lang w:val="zh-CN" w:eastAsia="zh-CN" w:bidi="ar-SA"/>
        </w:rPr>
        <w:t>厅、省</w:t>
      </w:r>
      <w:r>
        <w:rPr>
          <w:rFonts w:hint="default" w:ascii="Times New Roman" w:hAnsi="Times New Roman" w:eastAsia="仿宋_GB2312" w:cs="Times New Roman"/>
          <w:color w:val="auto"/>
          <w:kern w:val="2"/>
          <w:sz w:val="32"/>
          <w:szCs w:val="32"/>
          <w:lang w:val="en-US" w:eastAsia="zh-CN" w:bidi="ar-SA"/>
        </w:rPr>
        <w:t>社会保险管理</w:t>
      </w:r>
      <w:r>
        <w:rPr>
          <w:rFonts w:hint="default" w:ascii="Times New Roman" w:hAnsi="Times New Roman" w:eastAsia="仿宋_GB2312" w:cs="Times New Roman"/>
          <w:color w:val="auto"/>
          <w:kern w:val="2"/>
          <w:sz w:val="32"/>
          <w:szCs w:val="32"/>
          <w:lang w:val="zh-CN" w:eastAsia="zh-CN" w:bidi="ar-SA"/>
        </w:rPr>
        <w:t>局当年下达的绩效目标，严格执行，提高财政资金使用效益，确保202</w:t>
      </w:r>
      <w:r>
        <w:rPr>
          <w:rFonts w:hint="default" w:ascii="Times New Roman" w:hAnsi="Times New Roman" w:eastAsia="仿宋_GB2312" w:cs="Times New Roman"/>
          <w:color w:val="auto"/>
          <w:kern w:val="2"/>
          <w:sz w:val="32"/>
          <w:szCs w:val="32"/>
          <w:lang w:val="en-US" w:eastAsia="zh-CN" w:bidi="ar-SA"/>
        </w:rPr>
        <w:t>5</w:t>
      </w:r>
      <w:r>
        <w:rPr>
          <w:rFonts w:hint="default" w:ascii="Times New Roman" w:hAnsi="Times New Roman" w:eastAsia="仿宋_GB2312" w:cs="Times New Roman"/>
          <w:color w:val="auto"/>
          <w:kern w:val="2"/>
          <w:sz w:val="32"/>
          <w:szCs w:val="32"/>
          <w:lang w:val="zh-CN" w:eastAsia="zh-CN" w:bidi="ar-SA"/>
        </w:rPr>
        <w:t>年度绩效目标如期完成。</w:t>
      </w:r>
      <w:r>
        <w:rPr>
          <w:rFonts w:hint="default" w:ascii="Times New Roman" w:hAnsi="Times New Roman" w:eastAsia="仿宋_GB2312" w:cs="Times New Roman"/>
          <w:color w:val="auto"/>
          <w:kern w:val="2"/>
          <w:sz w:val="32"/>
          <w:szCs w:val="32"/>
          <w:lang w:val="en-US" w:eastAsia="zh-CN" w:bidi="ar-SA"/>
        </w:rPr>
        <w:t>确保了全市社保经办机构代管的省管森工企业离退休人员基本养老金按时足额发放，提升了省管森工企业离退休人员社会化管理服务水平，省管森工离退休人员满意度≥95%。</w:t>
      </w:r>
    </w:p>
    <w:p w14:paraId="5B222455">
      <w:pPr>
        <w:keepNext w:val="0"/>
        <w:keepLines w:val="0"/>
        <w:pageBreakBefore w:val="0"/>
        <w:kinsoku/>
        <w:wordWrap/>
        <w:overflowPunct/>
        <w:topLinePunct w:val="0"/>
        <w:bidi w:val="0"/>
        <w:adjustRightInd w:val="0"/>
        <w:snapToGrid w:val="0"/>
        <w:spacing w:line="600" w:lineRule="exact"/>
        <w:ind w:firstLine="640" w:firstLineChars="200"/>
        <w:textAlignment w:val="auto"/>
        <w:rPr>
          <w:rFonts w:hint="default" w:ascii="Times New Roman" w:hAnsi="Times New Roman" w:eastAsia="黑体" w:cs="Times New Roman"/>
          <w:sz w:val="32"/>
        </w:rPr>
      </w:pPr>
      <w:r>
        <w:rPr>
          <w:rFonts w:hint="default" w:ascii="Times New Roman" w:hAnsi="Times New Roman" w:eastAsia="黑体" w:cs="Times New Roman"/>
          <w:sz w:val="32"/>
        </w:rPr>
        <w:t>五、评价结论及建议</w:t>
      </w:r>
    </w:p>
    <w:p w14:paraId="16CE00A1">
      <w:pPr>
        <w:keepNext w:val="0"/>
        <w:keepLines w:val="0"/>
        <w:pageBreakBefore w:val="0"/>
        <w:kinsoku/>
        <w:wordWrap/>
        <w:overflowPunct/>
        <w:topLinePunct w:val="0"/>
        <w:bidi w:val="0"/>
        <w:adjustRightInd w:val="0"/>
        <w:snapToGrid w:val="0"/>
        <w:spacing w:line="600" w:lineRule="exact"/>
        <w:ind w:firstLine="643" w:firstLineChars="200"/>
        <w:textAlignment w:val="auto"/>
        <w:rPr>
          <w:rFonts w:hint="default" w:ascii="Times New Roman" w:hAnsi="Times New Roman" w:eastAsia="楷体_GB2312" w:cs="Times New Roman"/>
          <w:b/>
          <w:bCs/>
          <w:color w:val="000000"/>
          <w:kern w:val="0"/>
          <w:sz w:val="32"/>
          <w:szCs w:val="32"/>
          <w:shd w:val="clear" w:color="auto" w:fill="FFFFFF"/>
          <w:lang w:val="zh-CN"/>
        </w:rPr>
      </w:pPr>
      <w:r>
        <w:rPr>
          <w:rFonts w:hint="default" w:ascii="Times New Roman" w:hAnsi="Times New Roman" w:eastAsia="楷体_GB2312" w:cs="Times New Roman"/>
          <w:b/>
          <w:bCs/>
          <w:color w:val="000000"/>
          <w:kern w:val="0"/>
          <w:sz w:val="32"/>
          <w:szCs w:val="32"/>
          <w:shd w:val="clear" w:color="auto" w:fill="FFFFFF"/>
          <w:lang w:val="zh-CN"/>
        </w:rPr>
        <w:t>（一）评价结论</w:t>
      </w:r>
    </w:p>
    <w:p w14:paraId="1D561EAB">
      <w:pPr>
        <w:keepNext w:val="0"/>
        <w:keepLines w:val="0"/>
        <w:pageBreakBefore w:val="0"/>
        <w:kinsoku/>
        <w:wordWrap/>
        <w:overflowPunct/>
        <w:topLinePunct w:val="0"/>
        <w:autoSpaceDE w:val="0"/>
        <w:autoSpaceDN w:val="0"/>
        <w:bidi w:val="0"/>
        <w:adjustRightInd w:val="0"/>
        <w:spacing w:line="600" w:lineRule="exact"/>
        <w:ind w:firstLine="643" w:firstLineChars="200"/>
        <w:jc w:val="both"/>
        <w:textAlignment w:val="auto"/>
        <w:rPr>
          <w:rFonts w:hint="default" w:ascii="Times New Roman" w:hAnsi="Times New Roman" w:eastAsia="仿宋_GB2312" w:cs="Times New Roman"/>
          <w:color w:val="auto"/>
          <w:kern w:val="2"/>
          <w:sz w:val="32"/>
          <w:szCs w:val="32"/>
          <w:lang w:val="en-US" w:eastAsia="zh-CN" w:bidi="ar-SA"/>
        </w:rPr>
      </w:pPr>
      <w:r>
        <w:rPr>
          <w:rFonts w:hint="default" w:ascii="Times New Roman" w:hAnsi="Times New Roman" w:eastAsia="仿宋_GB2312" w:cs="Times New Roman"/>
          <w:b/>
          <w:bCs/>
          <w:color w:val="auto"/>
          <w:kern w:val="2"/>
          <w:sz w:val="32"/>
          <w:szCs w:val="32"/>
          <w:lang w:val="en-US" w:eastAsia="zh-CN" w:bidi="ar-SA"/>
        </w:rPr>
        <w:t>1.</w:t>
      </w:r>
      <w:r>
        <w:rPr>
          <w:rFonts w:hint="default" w:ascii="Times New Roman" w:hAnsi="Times New Roman" w:eastAsia="仿宋_GB2312" w:cs="Times New Roman"/>
          <w:b/>
          <w:bCs/>
          <w:color w:val="auto"/>
          <w:kern w:val="2"/>
          <w:sz w:val="32"/>
          <w:szCs w:val="32"/>
          <w:lang w:val="zh-CN" w:eastAsia="zh-CN" w:bidi="ar-SA"/>
        </w:rPr>
        <w:t>项目决策</w:t>
      </w:r>
    </w:p>
    <w:p w14:paraId="6A422D98">
      <w:pPr>
        <w:keepNext w:val="0"/>
        <w:keepLines w:val="0"/>
        <w:pageBreakBefore w:val="0"/>
        <w:kinsoku/>
        <w:wordWrap/>
        <w:overflowPunct/>
        <w:topLinePunct w:val="0"/>
        <w:autoSpaceDE w:val="0"/>
        <w:autoSpaceDN w:val="0"/>
        <w:bidi w:val="0"/>
        <w:adjustRightInd w:val="0"/>
        <w:spacing w:line="600" w:lineRule="exact"/>
        <w:ind w:firstLine="640" w:firstLineChars="200"/>
        <w:jc w:val="both"/>
        <w:textAlignment w:val="auto"/>
        <w:rPr>
          <w:rFonts w:hint="default" w:ascii="Times New Roman" w:hAnsi="Times New Roman" w:eastAsia="仿宋_GB2312" w:cs="Times New Roman"/>
          <w:color w:val="auto"/>
          <w:kern w:val="2"/>
          <w:sz w:val="32"/>
          <w:szCs w:val="32"/>
          <w:lang w:val="en-US" w:eastAsia="zh-CN" w:bidi="ar-SA"/>
        </w:rPr>
      </w:pPr>
      <w:r>
        <w:rPr>
          <w:rFonts w:hint="default" w:ascii="Times New Roman" w:hAnsi="Times New Roman" w:eastAsia="仿宋_GB2312" w:cs="Times New Roman"/>
          <w:color w:val="auto"/>
          <w:kern w:val="2"/>
          <w:sz w:val="32"/>
          <w:szCs w:val="32"/>
          <w:lang w:val="en-US" w:eastAsia="zh-CN" w:bidi="ar-SA"/>
        </w:rPr>
        <w:t>项目设立、调整延续等方面符合资金管理基本规范和决策程序要求，项目规划论证符合中省要求，项目绩效目标设置是否科学合理，属于政府支持范围，且符合财政事权支出责任划分规定，资金投向与项目总体规划、相关行业事业发展相匹配，项目制度办法体系健全、要素完备。</w:t>
      </w:r>
    </w:p>
    <w:p w14:paraId="4CD93C6C">
      <w:pPr>
        <w:keepNext w:val="0"/>
        <w:keepLines w:val="0"/>
        <w:pageBreakBefore w:val="0"/>
        <w:kinsoku/>
        <w:wordWrap/>
        <w:overflowPunct/>
        <w:topLinePunct w:val="0"/>
        <w:autoSpaceDE w:val="0"/>
        <w:autoSpaceDN w:val="0"/>
        <w:bidi w:val="0"/>
        <w:adjustRightInd w:val="0"/>
        <w:spacing w:line="600" w:lineRule="exact"/>
        <w:ind w:firstLine="643" w:firstLineChars="200"/>
        <w:jc w:val="both"/>
        <w:textAlignment w:val="auto"/>
        <w:rPr>
          <w:rFonts w:hint="default" w:ascii="Times New Roman" w:hAnsi="Times New Roman" w:eastAsia="仿宋_GB2312" w:cs="Times New Roman"/>
          <w:color w:val="auto"/>
          <w:kern w:val="2"/>
          <w:sz w:val="32"/>
          <w:szCs w:val="32"/>
          <w:lang w:val="en-US" w:eastAsia="zh-CN" w:bidi="ar-SA"/>
        </w:rPr>
      </w:pPr>
      <w:r>
        <w:rPr>
          <w:rFonts w:hint="default" w:ascii="Times New Roman" w:hAnsi="Times New Roman" w:eastAsia="仿宋_GB2312" w:cs="Times New Roman"/>
          <w:b/>
          <w:bCs/>
          <w:color w:val="auto"/>
          <w:kern w:val="2"/>
          <w:sz w:val="32"/>
          <w:szCs w:val="32"/>
          <w:lang w:val="en-US" w:eastAsia="zh-CN" w:bidi="ar-SA"/>
        </w:rPr>
        <w:t>2.项目管理</w:t>
      </w:r>
    </w:p>
    <w:p w14:paraId="3325650A">
      <w:pPr>
        <w:keepNext w:val="0"/>
        <w:keepLines w:val="0"/>
        <w:pageBreakBefore w:val="0"/>
        <w:kinsoku/>
        <w:wordWrap/>
        <w:overflowPunct/>
        <w:topLinePunct w:val="0"/>
        <w:autoSpaceDE w:val="0"/>
        <w:autoSpaceDN w:val="0"/>
        <w:bidi w:val="0"/>
        <w:adjustRightInd w:val="0"/>
        <w:spacing w:line="600" w:lineRule="exact"/>
        <w:ind w:firstLine="640" w:firstLineChars="200"/>
        <w:jc w:val="both"/>
        <w:textAlignment w:val="auto"/>
        <w:rPr>
          <w:rFonts w:hint="default" w:ascii="Times New Roman" w:hAnsi="Times New Roman" w:eastAsia="仿宋_GB2312" w:cs="Times New Roman"/>
          <w:color w:val="auto"/>
          <w:kern w:val="2"/>
          <w:sz w:val="32"/>
          <w:szCs w:val="32"/>
          <w:lang w:val="en-US" w:eastAsia="zh-CN" w:bidi="ar-SA"/>
        </w:rPr>
      </w:pPr>
      <w:r>
        <w:rPr>
          <w:rFonts w:hint="default" w:ascii="Times New Roman" w:hAnsi="Times New Roman" w:eastAsia="仿宋_GB2312" w:cs="Times New Roman"/>
          <w:color w:val="auto"/>
          <w:kern w:val="2"/>
          <w:sz w:val="32"/>
          <w:szCs w:val="32"/>
          <w:lang w:val="en-US" w:eastAsia="zh-CN" w:bidi="ar-SA"/>
        </w:rPr>
        <w:t>按实际区域分配结果选择客观因素测算验证资金分配科学合理、均衡公平。资金实际支持对象符合管理要求，符合支持对象范围。</w:t>
      </w:r>
    </w:p>
    <w:p w14:paraId="567B4817">
      <w:pPr>
        <w:keepNext w:val="0"/>
        <w:keepLines w:val="0"/>
        <w:pageBreakBefore w:val="0"/>
        <w:kinsoku/>
        <w:wordWrap/>
        <w:overflowPunct/>
        <w:topLinePunct w:val="0"/>
        <w:autoSpaceDE w:val="0"/>
        <w:autoSpaceDN w:val="0"/>
        <w:bidi w:val="0"/>
        <w:adjustRightInd w:val="0"/>
        <w:spacing w:line="600" w:lineRule="exact"/>
        <w:ind w:firstLine="643" w:firstLineChars="200"/>
        <w:jc w:val="both"/>
        <w:textAlignment w:val="auto"/>
        <w:rPr>
          <w:rFonts w:hint="default" w:ascii="Times New Roman" w:hAnsi="Times New Roman" w:eastAsia="仿宋_GB2312" w:cs="Times New Roman"/>
          <w:color w:val="auto"/>
          <w:kern w:val="2"/>
          <w:sz w:val="32"/>
          <w:szCs w:val="32"/>
          <w:lang w:val="en-US" w:eastAsia="zh-CN" w:bidi="ar-SA"/>
        </w:rPr>
      </w:pPr>
      <w:r>
        <w:rPr>
          <w:rFonts w:hint="default" w:ascii="Times New Roman" w:hAnsi="Times New Roman" w:eastAsia="仿宋_GB2312" w:cs="Times New Roman"/>
          <w:b/>
          <w:bCs/>
          <w:color w:val="auto"/>
          <w:kern w:val="2"/>
          <w:sz w:val="32"/>
          <w:szCs w:val="32"/>
          <w:lang w:val="en-US" w:eastAsia="zh-CN" w:bidi="ar-SA"/>
        </w:rPr>
        <w:t>3.项目实施</w:t>
      </w:r>
    </w:p>
    <w:p w14:paraId="2ED8E9F7">
      <w:pPr>
        <w:keepNext w:val="0"/>
        <w:keepLines w:val="0"/>
        <w:pageBreakBefore w:val="0"/>
        <w:kinsoku/>
        <w:wordWrap/>
        <w:overflowPunct/>
        <w:topLinePunct w:val="0"/>
        <w:autoSpaceDE w:val="0"/>
        <w:autoSpaceDN w:val="0"/>
        <w:bidi w:val="0"/>
        <w:adjustRightInd w:val="0"/>
        <w:spacing w:line="600" w:lineRule="exact"/>
        <w:ind w:firstLine="640" w:firstLineChars="200"/>
        <w:jc w:val="both"/>
        <w:textAlignment w:val="auto"/>
        <w:rPr>
          <w:rFonts w:hint="default" w:ascii="Times New Roman" w:hAnsi="Times New Roman" w:eastAsia="仿宋_GB2312" w:cs="Times New Roman"/>
          <w:color w:val="auto"/>
          <w:kern w:val="2"/>
          <w:sz w:val="32"/>
          <w:szCs w:val="32"/>
          <w:lang w:val="zh-CN" w:eastAsia="zh-CN" w:bidi="ar-SA"/>
        </w:rPr>
      </w:pPr>
      <w:r>
        <w:rPr>
          <w:rFonts w:hint="default" w:ascii="Times New Roman" w:hAnsi="Times New Roman" w:eastAsia="仿宋_GB2312" w:cs="Times New Roman"/>
          <w:color w:val="auto"/>
          <w:kern w:val="2"/>
          <w:sz w:val="32"/>
          <w:szCs w:val="32"/>
          <w:lang w:val="en-US" w:eastAsia="zh-CN" w:bidi="ar-SA"/>
        </w:rPr>
        <w:t>此项目资金7.69万元，2025年中由市级财政下达预算指标，</w:t>
      </w:r>
      <w:r>
        <w:rPr>
          <w:rFonts w:hint="default" w:ascii="Times New Roman" w:hAnsi="Times New Roman" w:eastAsia="仿宋_GB2312" w:cs="Times New Roman"/>
          <w:color w:val="auto"/>
          <w:kern w:val="2"/>
          <w:sz w:val="32"/>
          <w:szCs w:val="32"/>
          <w:lang w:val="zh-CN" w:eastAsia="zh-CN" w:bidi="ar-SA"/>
        </w:rPr>
        <w:t>到位率100%。</w:t>
      </w:r>
      <w:r>
        <w:rPr>
          <w:rFonts w:hint="default" w:ascii="Times New Roman" w:hAnsi="Times New Roman" w:eastAsia="仿宋_GB2312" w:cs="Times New Roman"/>
          <w:color w:val="auto"/>
          <w:kern w:val="2"/>
          <w:sz w:val="32"/>
          <w:szCs w:val="32"/>
          <w:lang w:val="en-US" w:eastAsia="zh-CN" w:bidi="ar-SA"/>
        </w:rPr>
        <w:t>主要</w:t>
      </w:r>
      <w:r>
        <w:rPr>
          <w:rFonts w:hint="default" w:ascii="Times New Roman" w:hAnsi="Times New Roman" w:eastAsia="仿宋_GB2312" w:cs="Times New Roman"/>
          <w:color w:val="auto"/>
          <w:kern w:val="2"/>
          <w:sz w:val="32"/>
          <w:szCs w:val="32"/>
          <w:lang w:val="zh-CN" w:eastAsia="zh-CN" w:bidi="ar-SA"/>
        </w:rPr>
        <w:t>用于确</w:t>
      </w:r>
      <w:r>
        <w:rPr>
          <w:rFonts w:hint="default" w:ascii="Times New Roman" w:hAnsi="Times New Roman" w:eastAsia="仿宋_GB2312" w:cs="Times New Roman"/>
          <w:color w:val="auto"/>
          <w:kern w:val="2"/>
          <w:sz w:val="32"/>
          <w:szCs w:val="32"/>
          <w:lang w:val="en-US" w:eastAsia="zh-CN" w:bidi="ar-SA"/>
        </w:rPr>
        <w:t>保全市社保经办机构代管的省管森工企业离退休人员基本养老金按时足额发放，提升省管森工企业离退休人员社会化管理服务水平。</w:t>
      </w:r>
      <w:r>
        <w:rPr>
          <w:rFonts w:hint="default" w:ascii="Times New Roman" w:hAnsi="Times New Roman" w:eastAsia="仿宋_GB2312" w:cs="Times New Roman"/>
          <w:color w:val="auto"/>
          <w:kern w:val="2"/>
          <w:sz w:val="32"/>
          <w:szCs w:val="32"/>
          <w:lang w:val="zh-CN" w:eastAsia="zh-CN" w:bidi="ar-SA"/>
        </w:rPr>
        <w:t>资金</w:t>
      </w:r>
      <w:r>
        <w:rPr>
          <w:rFonts w:hint="default" w:ascii="Times New Roman" w:hAnsi="Times New Roman" w:eastAsia="仿宋_GB2312" w:cs="Times New Roman"/>
          <w:color w:val="auto"/>
          <w:kern w:val="2"/>
          <w:sz w:val="32"/>
          <w:szCs w:val="32"/>
          <w:lang w:val="en-US" w:eastAsia="zh-CN" w:bidi="ar-SA"/>
        </w:rPr>
        <w:t>到位后，市社会保险事务中心严格按财经纪律、财务管理等相关规定，严格审核各项支出，及时支付，资金支付完成100%。</w:t>
      </w:r>
    </w:p>
    <w:p w14:paraId="36ED2EA4">
      <w:pPr>
        <w:keepNext w:val="0"/>
        <w:keepLines w:val="0"/>
        <w:pageBreakBefore w:val="0"/>
        <w:kinsoku/>
        <w:wordWrap/>
        <w:overflowPunct/>
        <w:topLinePunct w:val="0"/>
        <w:autoSpaceDE w:val="0"/>
        <w:autoSpaceDN w:val="0"/>
        <w:bidi w:val="0"/>
        <w:adjustRightInd w:val="0"/>
        <w:spacing w:line="600" w:lineRule="exact"/>
        <w:ind w:firstLine="643" w:firstLineChars="200"/>
        <w:jc w:val="both"/>
        <w:textAlignment w:val="auto"/>
        <w:rPr>
          <w:rFonts w:hint="default" w:ascii="Times New Roman" w:hAnsi="Times New Roman" w:eastAsia="仿宋_GB2312" w:cs="Times New Roman"/>
          <w:color w:val="auto"/>
          <w:kern w:val="2"/>
          <w:sz w:val="32"/>
          <w:szCs w:val="32"/>
          <w:lang w:val="en-US" w:eastAsia="zh-CN" w:bidi="ar-SA"/>
        </w:rPr>
      </w:pPr>
      <w:r>
        <w:rPr>
          <w:rFonts w:hint="default" w:ascii="Times New Roman" w:hAnsi="Times New Roman" w:eastAsia="仿宋_GB2312" w:cs="Times New Roman"/>
          <w:b/>
          <w:bCs/>
          <w:color w:val="auto"/>
          <w:kern w:val="2"/>
          <w:sz w:val="32"/>
          <w:szCs w:val="32"/>
          <w:lang w:val="en-US" w:eastAsia="zh-CN" w:bidi="ar-SA"/>
        </w:rPr>
        <w:t>4.项目结果</w:t>
      </w:r>
    </w:p>
    <w:p w14:paraId="54368679">
      <w:pPr>
        <w:keepNext w:val="0"/>
        <w:keepLines w:val="0"/>
        <w:pageBreakBefore w:val="0"/>
        <w:kinsoku/>
        <w:wordWrap/>
        <w:overflowPunct/>
        <w:topLinePunct w:val="0"/>
        <w:autoSpaceDE w:val="0"/>
        <w:autoSpaceDN w:val="0"/>
        <w:bidi w:val="0"/>
        <w:adjustRightInd w:val="0"/>
        <w:spacing w:line="600" w:lineRule="exact"/>
        <w:ind w:firstLine="640" w:firstLineChars="200"/>
        <w:jc w:val="both"/>
        <w:textAlignment w:val="auto"/>
        <w:rPr>
          <w:rFonts w:hint="default" w:ascii="Times New Roman" w:hAnsi="Times New Roman" w:eastAsia="仿宋_GB2312" w:cs="Times New Roman"/>
          <w:color w:val="auto"/>
          <w:kern w:val="2"/>
          <w:sz w:val="32"/>
          <w:szCs w:val="32"/>
          <w:lang w:val="en-US" w:eastAsia="zh-CN" w:bidi="ar-SA"/>
        </w:rPr>
      </w:pPr>
      <w:r>
        <w:rPr>
          <w:rFonts w:hint="default" w:ascii="Times New Roman" w:hAnsi="Times New Roman" w:eastAsia="仿宋_GB2312" w:cs="Times New Roman"/>
          <w:color w:val="auto"/>
          <w:kern w:val="2"/>
          <w:sz w:val="32"/>
          <w:szCs w:val="32"/>
          <w:lang w:val="en-US" w:eastAsia="zh-CN" w:bidi="ar-SA"/>
        </w:rPr>
        <w:t>2025年为省管森工企业离退休人员完善了社会化服务管理信息，离退休人员社会化管理率达到100%。</w:t>
      </w:r>
    </w:p>
    <w:p w14:paraId="49C86346">
      <w:pPr>
        <w:keepNext w:val="0"/>
        <w:keepLines w:val="0"/>
        <w:pageBreakBefore w:val="0"/>
        <w:kinsoku/>
        <w:wordWrap/>
        <w:overflowPunct/>
        <w:topLinePunct w:val="0"/>
        <w:autoSpaceDE w:val="0"/>
        <w:autoSpaceDN w:val="0"/>
        <w:bidi w:val="0"/>
        <w:adjustRightInd w:val="0"/>
        <w:spacing w:line="600" w:lineRule="exact"/>
        <w:ind w:firstLine="640" w:firstLineChars="200"/>
        <w:jc w:val="both"/>
        <w:textAlignment w:val="auto"/>
        <w:rPr>
          <w:rFonts w:hint="default" w:ascii="Times New Roman" w:hAnsi="Times New Roman" w:eastAsia="仿宋_GB2312" w:cs="Times New Roman"/>
          <w:color w:val="auto"/>
          <w:kern w:val="2"/>
          <w:sz w:val="32"/>
          <w:szCs w:val="32"/>
          <w:lang w:val="en-US" w:eastAsia="zh-CN" w:bidi="ar-SA"/>
        </w:rPr>
      </w:pPr>
      <w:r>
        <w:rPr>
          <w:rFonts w:hint="default" w:ascii="Times New Roman" w:hAnsi="Times New Roman" w:eastAsia="仿宋_GB2312" w:cs="Times New Roman"/>
          <w:color w:val="auto"/>
          <w:kern w:val="2"/>
          <w:sz w:val="32"/>
          <w:szCs w:val="32"/>
          <w:lang w:val="en-US" w:eastAsia="zh-CN" w:bidi="ar-SA"/>
        </w:rPr>
        <w:t>“省管森工企业离退休人员社会化管理经费”项目在当期完成了项目的总体实施，执行率100%。确保代管的省管森工企业离退休人员基本养老金按时足额发放，提升省管森工企业离退休人员社会化管理服务水平。</w:t>
      </w:r>
    </w:p>
    <w:p w14:paraId="398DF822">
      <w:pPr>
        <w:keepNext w:val="0"/>
        <w:keepLines w:val="0"/>
        <w:pageBreakBefore w:val="0"/>
        <w:kinsoku/>
        <w:wordWrap/>
        <w:overflowPunct/>
        <w:topLinePunct w:val="0"/>
        <w:bidi w:val="0"/>
        <w:adjustRightInd w:val="0"/>
        <w:snapToGrid w:val="0"/>
        <w:spacing w:line="600" w:lineRule="exact"/>
        <w:ind w:firstLine="643" w:firstLineChars="200"/>
        <w:textAlignment w:val="auto"/>
        <w:rPr>
          <w:rFonts w:hint="default" w:ascii="Times New Roman" w:hAnsi="Times New Roman" w:eastAsia="楷体_GB2312" w:cs="Times New Roman"/>
          <w:b/>
          <w:bCs/>
          <w:color w:val="000000"/>
          <w:kern w:val="0"/>
          <w:sz w:val="32"/>
          <w:szCs w:val="32"/>
          <w:shd w:val="clear" w:color="auto" w:fill="FFFFFF"/>
          <w:lang w:val="zh-CN"/>
        </w:rPr>
      </w:pPr>
      <w:r>
        <w:rPr>
          <w:rFonts w:hint="default" w:ascii="Times New Roman" w:hAnsi="Times New Roman" w:eastAsia="楷体_GB2312" w:cs="Times New Roman"/>
          <w:b/>
          <w:bCs/>
          <w:color w:val="000000"/>
          <w:kern w:val="0"/>
          <w:sz w:val="32"/>
          <w:szCs w:val="32"/>
          <w:shd w:val="clear" w:color="auto" w:fill="FFFFFF"/>
          <w:lang w:val="zh-CN"/>
        </w:rPr>
        <w:t>（二）存在的问题</w:t>
      </w:r>
    </w:p>
    <w:p w14:paraId="507FA58F">
      <w:pPr>
        <w:keepNext w:val="0"/>
        <w:keepLines w:val="0"/>
        <w:pageBreakBefore w:val="0"/>
        <w:kinsoku/>
        <w:wordWrap/>
        <w:overflowPunct/>
        <w:topLinePunct w:val="0"/>
        <w:autoSpaceDE w:val="0"/>
        <w:autoSpaceDN w:val="0"/>
        <w:bidi w:val="0"/>
        <w:adjustRightInd w:val="0"/>
        <w:spacing w:line="600" w:lineRule="exact"/>
        <w:ind w:firstLine="640" w:firstLineChars="200"/>
        <w:jc w:val="both"/>
        <w:textAlignment w:val="auto"/>
        <w:rPr>
          <w:rFonts w:hint="default" w:ascii="Times New Roman" w:hAnsi="Times New Roman" w:eastAsia="仿宋_GB2312" w:cs="Times New Roman"/>
          <w:color w:val="auto"/>
          <w:kern w:val="2"/>
          <w:sz w:val="32"/>
          <w:szCs w:val="32"/>
          <w:lang w:val="zh-CN" w:eastAsia="zh-CN" w:bidi="ar-SA"/>
        </w:rPr>
      </w:pPr>
      <w:r>
        <w:rPr>
          <w:rFonts w:hint="default" w:ascii="Times New Roman" w:hAnsi="Times New Roman" w:eastAsia="仿宋_GB2312" w:cs="Times New Roman"/>
          <w:color w:val="auto"/>
          <w:kern w:val="2"/>
          <w:sz w:val="32"/>
          <w:szCs w:val="32"/>
          <w:lang w:val="zh-CN" w:eastAsia="zh-CN" w:bidi="ar-SA"/>
        </w:rPr>
        <w:t>无。</w:t>
      </w:r>
    </w:p>
    <w:p w14:paraId="3AC6DF27">
      <w:pPr>
        <w:keepNext w:val="0"/>
        <w:keepLines w:val="0"/>
        <w:pageBreakBefore w:val="0"/>
        <w:kinsoku/>
        <w:wordWrap/>
        <w:overflowPunct/>
        <w:topLinePunct w:val="0"/>
        <w:bidi w:val="0"/>
        <w:adjustRightInd w:val="0"/>
        <w:snapToGrid w:val="0"/>
        <w:spacing w:line="600" w:lineRule="exact"/>
        <w:ind w:firstLine="643" w:firstLineChars="200"/>
        <w:textAlignment w:val="auto"/>
        <w:rPr>
          <w:rFonts w:hint="default" w:ascii="Times New Roman" w:hAnsi="Times New Roman" w:eastAsia="楷体_GB2312" w:cs="Times New Roman"/>
          <w:b/>
          <w:bCs/>
          <w:color w:val="000000"/>
          <w:kern w:val="0"/>
          <w:sz w:val="32"/>
          <w:szCs w:val="32"/>
          <w:shd w:val="clear" w:color="auto" w:fill="FFFFFF"/>
          <w:lang w:val="zh-CN"/>
        </w:rPr>
      </w:pPr>
      <w:r>
        <w:rPr>
          <w:rFonts w:hint="default" w:ascii="Times New Roman" w:hAnsi="Times New Roman" w:eastAsia="楷体_GB2312" w:cs="Times New Roman"/>
          <w:b/>
          <w:bCs/>
          <w:color w:val="000000"/>
          <w:kern w:val="0"/>
          <w:sz w:val="32"/>
          <w:szCs w:val="32"/>
          <w:shd w:val="clear" w:color="auto" w:fill="FFFFFF"/>
          <w:lang w:val="zh-CN"/>
        </w:rPr>
        <w:t>（三）相关建议</w:t>
      </w:r>
    </w:p>
    <w:p w14:paraId="4E64262C">
      <w:pPr>
        <w:keepNext w:val="0"/>
        <w:keepLines w:val="0"/>
        <w:pageBreakBefore w:val="0"/>
        <w:kinsoku/>
        <w:wordWrap/>
        <w:overflowPunct/>
        <w:topLinePunct w:val="0"/>
        <w:autoSpaceDE w:val="0"/>
        <w:autoSpaceDN w:val="0"/>
        <w:bidi w:val="0"/>
        <w:adjustRightInd w:val="0"/>
        <w:spacing w:line="600" w:lineRule="exact"/>
        <w:ind w:firstLine="640" w:firstLineChars="200"/>
        <w:jc w:val="both"/>
        <w:textAlignment w:val="auto"/>
        <w:rPr>
          <w:rFonts w:hint="default" w:ascii="Times New Roman" w:hAnsi="Times New Roman" w:eastAsia="仿宋_GB2312" w:cs="Times New Roman"/>
          <w:color w:val="auto"/>
          <w:kern w:val="2"/>
          <w:sz w:val="32"/>
          <w:szCs w:val="32"/>
          <w:lang w:val="zh-CN" w:eastAsia="zh-CN" w:bidi="ar-SA"/>
        </w:rPr>
      </w:pPr>
      <w:r>
        <w:rPr>
          <w:rFonts w:hint="default" w:ascii="Times New Roman" w:hAnsi="Times New Roman" w:eastAsia="仿宋_GB2312" w:cs="Times New Roman"/>
          <w:color w:val="auto"/>
          <w:kern w:val="2"/>
          <w:sz w:val="32"/>
          <w:szCs w:val="32"/>
          <w:lang w:val="zh-CN" w:eastAsia="zh-CN" w:bidi="ar-SA"/>
        </w:rPr>
        <w:t>强化预算资金精细化管理，提高预算资金科学性、合理性。严格根据相关标准和依据，进行资金使用，确保资金使用效益。</w:t>
      </w:r>
    </w:p>
    <w:p w14:paraId="71673C70">
      <w:pPr>
        <w:keepNext w:val="0"/>
        <w:keepLines w:val="0"/>
        <w:pageBreakBefore w:val="0"/>
        <w:kinsoku/>
        <w:wordWrap/>
        <w:overflowPunct/>
        <w:topLinePunct w:val="0"/>
        <w:bidi w:val="0"/>
        <w:spacing w:line="360" w:lineRule="auto"/>
        <w:textAlignment w:val="auto"/>
        <w:rPr>
          <w:rFonts w:hint="default" w:ascii="Times New Roman" w:hAnsi="Times New Roman" w:cs="Times New Roman"/>
        </w:rPr>
      </w:pPr>
    </w:p>
    <w:p w14:paraId="7D90F77E">
      <w:pPr>
        <w:bidi w:val="0"/>
        <w:ind w:firstLine="294" w:firstLineChars="0"/>
        <w:jc w:val="left"/>
        <w:rPr>
          <w:rFonts w:hint="default" w:ascii="Times New Roman" w:hAnsi="Times New Roman" w:cs="Times New Roman"/>
          <w:lang w:val="en-US" w:eastAsia="zh-CN"/>
        </w:rPr>
      </w:pPr>
    </w:p>
    <w:p w14:paraId="1CBFC4CE">
      <w:pPr>
        <w:bidi w:val="0"/>
        <w:ind w:firstLine="294" w:firstLineChars="0"/>
        <w:jc w:val="left"/>
        <w:rPr>
          <w:rFonts w:hint="default" w:ascii="Times New Roman" w:hAnsi="Times New Roman" w:cs="Times New Roman"/>
          <w:lang w:val="en-US" w:eastAsia="zh-CN"/>
        </w:rPr>
      </w:pPr>
    </w:p>
    <w:p w14:paraId="0271D978">
      <w:pPr>
        <w:bidi w:val="0"/>
        <w:rPr>
          <w:rFonts w:hint="default" w:ascii="Times New Roman" w:hAnsi="Times New Roman" w:eastAsia="仿宋_GB2312" w:cs="Times New Roman"/>
          <w:kern w:val="2"/>
          <w:sz w:val="32"/>
          <w:szCs w:val="24"/>
          <w:lang w:val="en-US" w:eastAsia="zh-CN" w:bidi="ar-SA"/>
        </w:rPr>
      </w:pPr>
    </w:p>
    <w:p w14:paraId="3EF94B17">
      <w:pPr>
        <w:bidi w:val="0"/>
        <w:rPr>
          <w:rFonts w:hint="default" w:ascii="Times New Roman" w:hAnsi="Times New Roman" w:eastAsia="仿宋_GB2312" w:cs="Times New Roman"/>
          <w:kern w:val="2"/>
          <w:sz w:val="32"/>
          <w:szCs w:val="24"/>
          <w:lang w:val="en-US" w:eastAsia="zh-CN" w:bidi="ar-SA"/>
        </w:rPr>
      </w:pPr>
    </w:p>
    <w:p w14:paraId="67E38BD0">
      <w:pPr>
        <w:bidi w:val="0"/>
        <w:rPr>
          <w:rFonts w:hint="default" w:ascii="Times New Roman" w:hAnsi="Times New Roman" w:eastAsia="仿宋_GB2312" w:cs="Times New Roman"/>
          <w:kern w:val="2"/>
          <w:sz w:val="32"/>
          <w:szCs w:val="24"/>
          <w:lang w:val="en-US" w:eastAsia="zh-CN" w:bidi="ar-SA"/>
        </w:rPr>
      </w:pPr>
    </w:p>
    <w:p w14:paraId="633F0FDB">
      <w:pPr>
        <w:bidi w:val="0"/>
        <w:rPr>
          <w:rFonts w:hint="default" w:ascii="Times New Roman" w:hAnsi="Times New Roman" w:eastAsia="仿宋_GB2312" w:cs="Times New Roman"/>
          <w:kern w:val="2"/>
          <w:sz w:val="32"/>
          <w:szCs w:val="24"/>
          <w:lang w:val="en-US" w:eastAsia="zh-CN" w:bidi="ar-SA"/>
        </w:rPr>
      </w:pPr>
    </w:p>
    <w:p w14:paraId="0BADC3C9">
      <w:pPr>
        <w:bidi w:val="0"/>
        <w:rPr>
          <w:rFonts w:hint="default" w:ascii="Times New Roman" w:hAnsi="Times New Roman" w:eastAsia="仿宋_GB2312" w:cs="Times New Roman"/>
          <w:kern w:val="2"/>
          <w:sz w:val="32"/>
          <w:szCs w:val="24"/>
          <w:lang w:val="en-US" w:eastAsia="zh-CN" w:bidi="ar-SA"/>
        </w:rPr>
      </w:pPr>
    </w:p>
    <w:p w14:paraId="59750502">
      <w:pPr>
        <w:bidi w:val="0"/>
        <w:rPr>
          <w:rFonts w:hint="default" w:ascii="Times New Roman" w:hAnsi="Times New Roman" w:eastAsia="仿宋_GB2312" w:cs="Times New Roman"/>
          <w:kern w:val="2"/>
          <w:sz w:val="32"/>
          <w:szCs w:val="24"/>
          <w:lang w:val="en-US" w:eastAsia="zh-CN" w:bidi="ar-SA"/>
        </w:rPr>
      </w:pPr>
    </w:p>
    <w:p w14:paraId="73E0A666">
      <w:pPr>
        <w:bidi w:val="0"/>
        <w:rPr>
          <w:rFonts w:hint="default" w:ascii="Times New Roman" w:hAnsi="Times New Roman" w:eastAsia="仿宋_GB2312" w:cs="Times New Roman"/>
          <w:kern w:val="2"/>
          <w:sz w:val="32"/>
          <w:szCs w:val="24"/>
          <w:lang w:val="en-US" w:eastAsia="zh-CN" w:bidi="ar-SA"/>
        </w:rPr>
      </w:pPr>
    </w:p>
    <w:p w14:paraId="18D3587F">
      <w:pPr>
        <w:bidi w:val="0"/>
        <w:rPr>
          <w:rFonts w:hint="default" w:ascii="Times New Roman" w:hAnsi="Times New Roman" w:eastAsia="仿宋_GB2312" w:cs="Times New Roman"/>
          <w:kern w:val="2"/>
          <w:sz w:val="32"/>
          <w:szCs w:val="24"/>
          <w:lang w:val="en-US" w:eastAsia="zh-CN" w:bidi="ar-SA"/>
        </w:rPr>
      </w:pPr>
    </w:p>
    <w:p w14:paraId="728B63A6">
      <w:pPr>
        <w:bidi w:val="0"/>
        <w:rPr>
          <w:rFonts w:hint="default" w:ascii="Times New Roman" w:hAnsi="Times New Roman" w:eastAsia="仿宋_GB2312" w:cs="Times New Roman"/>
          <w:kern w:val="2"/>
          <w:sz w:val="32"/>
          <w:szCs w:val="24"/>
          <w:lang w:val="en-US" w:eastAsia="zh-CN" w:bidi="ar-SA"/>
        </w:rPr>
      </w:pPr>
    </w:p>
    <w:p w14:paraId="23877CD4">
      <w:pPr>
        <w:bidi w:val="0"/>
        <w:rPr>
          <w:rFonts w:hint="default" w:ascii="Times New Roman" w:hAnsi="Times New Roman" w:eastAsia="仿宋_GB2312" w:cs="Times New Roman"/>
          <w:kern w:val="2"/>
          <w:sz w:val="32"/>
          <w:szCs w:val="24"/>
          <w:lang w:val="en-US" w:eastAsia="zh-CN" w:bidi="ar-SA"/>
        </w:rPr>
      </w:pPr>
    </w:p>
    <w:p w14:paraId="398202E3">
      <w:pPr>
        <w:bidi w:val="0"/>
        <w:rPr>
          <w:rFonts w:hint="default" w:ascii="Times New Roman" w:hAnsi="Times New Roman" w:cs="Times New Roman"/>
          <w:lang w:val="en-US" w:eastAsia="zh-CN"/>
        </w:rPr>
      </w:pPr>
    </w:p>
    <w:p w14:paraId="057E4CD1">
      <w:pPr>
        <w:bidi w:val="0"/>
        <w:rPr>
          <w:rFonts w:hint="default" w:ascii="Times New Roman" w:hAnsi="Times New Roman" w:cs="Times New Roman"/>
          <w:lang w:val="en-US" w:eastAsia="zh-CN"/>
        </w:rPr>
      </w:pPr>
    </w:p>
    <w:p w14:paraId="37682D2E">
      <w:pPr>
        <w:bidi w:val="0"/>
        <w:rPr>
          <w:rFonts w:hint="default" w:ascii="Times New Roman" w:hAnsi="Times New Roman" w:cs="Times New Roman"/>
          <w:lang w:val="en-US" w:eastAsia="zh-CN"/>
        </w:rPr>
      </w:pPr>
    </w:p>
    <w:p w14:paraId="2F88DF77">
      <w:pPr>
        <w:spacing w:line="600" w:lineRule="exact"/>
        <w:rPr>
          <w:rFonts w:hint="default" w:ascii="Times New Roman" w:hAnsi="Times New Roman" w:eastAsia="黑体" w:cs="Times New Roman"/>
          <w:sz w:val="32"/>
          <w:lang w:val="en-US" w:eastAsia="zh-CN"/>
        </w:rPr>
      </w:pPr>
      <w:r>
        <w:rPr>
          <w:rFonts w:hint="default" w:ascii="Times New Roman" w:hAnsi="Times New Roman" w:eastAsia="黑体" w:cs="Times New Roman"/>
          <w:sz w:val="32"/>
          <w:lang w:val="zh-CN" w:eastAsia="zh-CN"/>
        </w:rPr>
        <w:t>附件</w:t>
      </w:r>
      <w:r>
        <w:rPr>
          <w:rFonts w:hint="default" w:ascii="Times New Roman" w:hAnsi="Times New Roman" w:eastAsia="黑体" w:cs="Times New Roman"/>
          <w:sz w:val="32"/>
          <w:lang w:val="en-US" w:eastAsia="zh-CN"/>
        </w:rPr>
        <w:t>3</w:t>
      </w:r>
    </w:p>
    <w:p w14:paraId="5CE59C24">
      <w:pPr>
        <w:pStyle w:val="37"/>
        <w:spacing w:line="600" w:lineRule="exact"/>
        <w:jc w:val="center"/>
        <w:rPr>
          <w:rFonts w:hint="default" w:ascii="Times New Roman" w:hAnsi="Times New Roman" w:eastAsia="方正小标宋简体" w:cs="Times New Roman"/>
          <w:color w:val="auto"/>
          <w:kern w:val="2"/>
          <w:sz w:val="40"/>
          <w:szCs w:val="40"/>
        </w:rPr>
      </w:pPr>
      <w:r>
        <w:rPr>
          <w:rFonts w:hint="default" w:ascii="Times New Roman" w:hAnsi="Times New Roman" w:eastAsia="方正小标宋简体" w:cs="Times New Roman"/>
          <w:color w:val="auto"/>
          <w:kern w:val="2"/>
          <w:sz w:val="40"/>
          <w:szCs w:val="40"/>
        </w:rPr>
        <w:t>攀枝花市社会保险事务中心</w:t>
      </w:r>
    </w:p>
    <w:p w14:paraId="4A899D6E">
      <w:pPr>
        <w:pStyle w:val="37"/>
        <w:spacing w:line="600" w:lineRule="exact"/>
        <w:jc w:val="center"/>
        <w:rPr>
          <w:rFonts w:hint="default" w:ascii="Times New Roman" w:hAnsi="Times New Roman" w:eastAsia="方正小标宋简体" w:cs="Times New Roman"/>
          <w:color w:val="auto"/>
          <w:kern w:val="2"/>
          <w:sz w:val="40"/>
          <w:szCs w:val="40"/>
        </w:rPr>
      </w:pPr>
      <w:r>
        <w:rPr>
          <w:rFonts w:hint="default" w:ascii="Times New Roman" w:hAnsi="Times New Roman" w:eastAsia="方正小标宋简体" w:cs="Times New Roman"/>
          <w:color w:val="auto"/>
          <w:kern w:val="2"/>
          <w:sz w:val="40"/>
          <w:szCs w:val="40"/>
          <w:lang w:val="en-US"/>
        </w:rPr>
        <w:t>202</w:t>
      </w:r>
      <w:r>
        <w:rPr>
          <w:rFonts w:hint="default" w:ascii="Times New Roman" w:hAnsi="Times New Roman" w:eastAsia="方正小标宋简体" w:cs="Times New Roman"/>
          <w:color w:val="auto"/>
          <w:kern w:val="2"/>
          <w:sz w:val="40"/>
          <w:szCs w:val="40"/>
          <w:lang w:val="en-US" w:eastAsia="zh-CN"/>
        </w:rPr>
        <w:t>5</w:t>
      </w:r>
      <w:r>
        <w:rPr>
          <w:rFonts w:hint="default" w:ascii="Times New Roman" w:hAnsi="Times New Roman" w:eastAsia="方正小标宋简体" w:cs="Times New Roman"/>
          <w:color w:val="auto"/>
          <w:kern w:val="2"/>
          <w:sz w:val="40"/>
          <w:szCs w:val="40"/>
          <w:lang w:val="en-US"/>
        </w:rPr>
        <w:t>年</w:t>
      </w:r>
      <w:r>
        <w:rPr>
          <w:rFonts w:hint="default" w:ascii="Times New Roman" w:hAnsi="Times New Roman" w:eastAsia="方正小标宋简体" w:cs="Times New Roman"/>
          <w:color w:val="auto"/>
          <w:kern w:val="2"/>
          <w:sz w:val="40"/>
          <w:szCs w:val="40"/>
          <w:lang w:val="en-US" w:eastAsia="zh-CN"/>
        </w:rPr>
        <w:t>入驻政务中心单位租金、物业费及水电费</w:t>
      </w:r>
      <w:r>
        <w:rPr>
          <w:rFonts w:hint="default" w:ascii="Times New Roman" w:hAnsi="Times New Roman" w:eastAsia="方正小标宋简体" w:cs="Times New Roman"/>
          <w:color w:val="auto"/>
          <w:kern w:val="2"/>
          <w:sz w:val="40"/>
          <w:szCs w:val="40"/>
        </w:rPr>
        <w:t>专项预算项目支出绩效自评报告</w:t>
      </w:r>
    </w:p>
    <w:p w14:paraId="2198F0EA">
      <w:pPr>
        <w:pStyle w:val="37"/>
        <w:spacing w:line="600" w:lineRule="exact"/>
        <w:ind w:firstLine="640"/>
        <w:jc w:val="center"/>
        <w:rPr>
          <w:rFonts w:hint="default" w:ascii="Times New Roman" w:hAnsi="Times New Roman" w:cs="Times New Roman"/>
          <w:color w:val="auto"/>
          <w:kern w:val="2"/>
          <w:sz w:val="32"/>
          <w:szCs w:val="32"/>
        </w:rPr>
      </w:pPr>
    </w:p>
    <w:p w14:paraId="05BDE5BA">
      <w:pPr>
        <w:keepNext w:val="0"/>
        <w:keepLines w:val="0"/>
        <w:pageBreakBefore w:val="0"/>
        <w:kinsoku/>
        <w:wordWrap/>
        <w:overflowPunct/>
        <w:topLinePunct w:val="0"/>
        <w:autoSpaceDE/>
        <w:autoSpaceDN/>
        <w:bidi w:val="0"/>
        <w:adjustRightInd w:val="0"/>
        <w:snapToGrid w:val="0"/>
        <w:spacing w:line="600" w:lineRule="exact"/>
        <w:ind w:firstLine="720"/>
        <w:textAlignment w:val="auto"/>
        <w:rPr>
          <w:rFonts w:hint="default" w:ascii="Times New Roman" w:hAnsi="Times New Roman" w:eastAsia="黑体" w:cs="Times New Roman"/>
          <w:sz w:val="32"/>
          <w:lang w:val="zh-CN"/>
        </w:rPr>
      </w:pPr>
      <w:r>
        <w:rPr>
          <w:rFonts w:hint="default" w:ascii="Times New Roman" w:hAnsi="Times New Roman" w:eastAsia="黑体" w:cs="Times New Roman"/>
          <w:sz w:val="32"/>
        </w:rPr>
        <w:t>一、</w:t>
      </w:r>
      <w:r>
        <w:rPr>
          <w:rFonts w:hint="default" w:ascii="Times New Roman" w:hAnsi="Times New Roman" w:eastAsia="黑体" w:cs="Times New Roman"/>
          <w:sz w:val="32"/>
          <w:lang w:val="zh-CN"/>
        </w:rPr>
        <w:t>项目概况</w:t>
      </w:r>
    </w:p>
    <w:p w14:paraId="028CB45E">
      <w:pPr>
        <w:keepNext w:val="0"/>
        <w:keepLines w:val="0"/>
        <w:pageBreakBefore w:val="0"/>
        <w:kinsoku/>
        <w:wordWrap/>
        <w:overflowPunct/>
        <w:topLinePunct w:val="0"/>
        <w:autoSpaceDE/>
        <w:autoSpaceDN/>
        <w:bidi w:val="0"/>
        <w:adjustRightInd w:val="0"/>
        <w:snapToGrid w:val="0"/>
        <w:spacing w:line="600" w:lineRule="exact"/>
        <w:ind w:firstLine="720"/>
        <w:textAlignment w:val="auto"/>
        <w:rPr>
          <w:rFonts w:hint="default" w:ascii="Times New Roman" w:hAnsi="Times New Roman" w:eastAsia="楷体_GB2312" w:cs="Times New Roman"/>
          <w:b/>
          <w:bCs/>
          <w:color w:val="000000"/>
          <w:kern w:val="0"/>
          <w:sz w:val="32"/>
          <w:szCs w:val="32"/>
          <w:shd w:val="clear" w:color="auto" w:fill="FFFFFF"/>
          <w:lang w:val="zh-CN"/>
        </w:rPr>
      </w:pPr>
      <w:r>
        <w:rPr>
          <w:rFonts w:hint="default" w:ascii="Times New Roman" w:hAnsi="Times New Roman" w:eastAsia="楷体_GB2312" w:cs="Times New Roman"/>
          <w:b/>
          <w:bCs/>
          <w:color w:val="000000"/>
          <w:kern w:val="0"/>
          <w:sz w:val="32"/>
          <w:szCs w:val="32"/>
          <w:shd w:val="clear" w:color="auto" w:fill="FFFFFF"/>
          <w:lang w:val="zh-CN"/>
        </w:rPr>
        <w:t>（一）项目基本情况</w:t>
      </w:r>
    </w:p>
    <w:p w14:paraId="04E2C3F4">
      <w:pPr>
        <w:keepNext w:val="0"/>
        <w:keepLines w:val="0"/>
        <w:pageBreakBefore w:val="0"/>
        <w:widowControl/>
        <w:kinsoku/>
        <w:wordWrap/>
        <w:overflowPunct/>
        <w:topLinePunct w:val="0"/>
        <w:autoSpaceDE/>
        <w:autoSpaceDN/>
        <w:bidi w:val="0"/>
        <w:adjustRightInd w:val="0"/>
        <w:snapToGrid w:val="0"/>
        <w:spacing w:line="600" w:lineRule="exact"/>
        <w:ind w:firstLine="643" w:firstLineChars="200"/>
        <w:contextualSpacing/>
        <w:jc w:val="left"/>
        <w:textAlignment w:val="auto"/>
        <w:rPr>
          <w:rFonts w:hint="default" w:ascii="Times New Roman" w:hAnsi="Times New Roman" w:eastAsia="仿宋_GB2312" w:cs="Times New Roman"/>
          <w:color w:val="auto"/>
          <w:kern w:val="0"/>
          <w:sz w:val="32"/>
          <w:szCs w:val="32"/>
          <w:lang w:val="zh-CN" w:eastAsia="zh-CN" w:bidi="ar-SA"/>
        </w:rPr>
      </w:pPr>
      <w:r>
        <w:rPr>
          <w:rFonts w:hint="eastAsia" w:eastAsia="仿宋_GB2312" w:cs="Times New Roman"/>
          <w:b/>
          <w:bCs/>
          <w:color w:val="auto"/>
          <w:kern w:val="0"/>
          <w:sz w:val="32"/>
          <w:szCs w:val="32"/>
          <w:lang w:val="en-US" w:eastAsia="zh-CN" w:bidi="ar-SA"/>
        </w:rPr>
        <w:t>1.</w:t>
      </w:r>
      <w:r>
        <w:rPr>
          <w:rFonts w:hint="default" w:ascii="Times New Roman" w:hAnsi="Times New Roman" w:eastAsia="仿宋_GB2312" w:cs="Times New Roman"/>
          <w:b/>
          <w:bCs/>
          <w:color w:val="auto"/>
          <w:kern w:val="0"/>
          <w:sz w:val="32"/>
          <w:szCs w:val="32"/>
          <w:lang w:val="zh-CN" w:eastAsia="zh-CN" w:bidi="ar-SA"/>
        </w:rPr>
        <w:t>在该项目管理中的职能</w:t>
      </w:r>
    </w:p>
    <w:p w14:paraId="1CDB1795">
      <w:pPr>
        <w:pageBreakBefore w:val="0"/>
        <w:kinsoku/>
        <w:wordWrap/>
        <w:overflowPunct/>
        <w:topLinePunct w:val="0"/>
        <w:autoSpaceDE/>
        <w:autoSpaceDN/>
        <w:bidi w:val="0"/>
        <w:adjustRightInd/>
        <w:snapToGrid/>
        <w:spacing w:line="360" w:lineRule="auto"/>
        <w:ind w:firstLine="640" w:firstLineChars="200"/>
        <w:jc w:val="both"/>
        <w:textAlignment w:val="auto"/>
        <w:rPr>
          <w:rFonts w:hint="default" w:ascii="Times New Roman" w:hAnsi="Times New Roman" w:eastAsia="仿宋_GB2312" w:cs="Times New Roman"/>
          <w:kern w:val="0"/>
          <w:sz w:val="32"/>
          <w:szCs w:val="32"/>
          <w:lang w:eastAsia="zh-CN"/>
        </w:rPr>
      </w:pPr>
      <w:r>
        <w:rPr>
          <w:rFonts w:hint="default" w:ascii="Times New Roman" w:hAnsi="Times New Roman" w:eastAsia="仿宋_GB2312" w:cs="Times New Roman"/>
          <w:color w:val="auto"/>
          <w:kern w:val="0"/>
          <w:sz w:val="32"/>
          <w:szCs w:val="32"/>
          <w:lang w:val="en-US" w:eastAsia="zh-CN" w:bidi="ar-SA"/>
        </w:rPr>
        <w:t>攀枝花市社会保险事务中心是“入驻政务中心单位租金、物业费及水电费”项目的实施主体，负责项目的实施、监督、管理等工作。</w:t>
      </w:r>
      <w:r>
        <w:rPr>
          <w:rFonts w:hint="default" w:ascii="Times New Roman" w:hAnsi="Times New Roman" w:eastAsia="仿宋_GB2312" w:cs="Times New Roman"/>
          <w:kern w:val="0"/>
          <w:sz w:val="32"/>
          <w:szCs w:val="32"/>
          <w:lang w:eastAsia="zh-CN"/>
        </w:rPr>
        <w:t>承担城镇企业职工、灵活就业人员、机关事业单位职工养老保险以及工伤保险参保登记、申报工作；</w:t>
      </w:r>
      <w:r>
        <w:rPr>
          <w:rFonts w:hint="default" w:ascii="Times New Roman" w:hAnsi="Times New Roman" w:eastAsia="仿宋_GB2312" w:cs="Times New Roman"/>
          <w:kern w:val="0"/>
          <w:sz w:val="32"/>
          <w:szCs w:val="32"/>
          <w:lang w:val="en-US" w:eastAsia="zh-CN"/>
        </w:rPr>
        <w:t>负责</w:t>
      </w:r>
      <w:r>
        <w:rPr>
          <w:rFonts w:hint="default" w:ascii="Times New Roman" w:hAnsi="Times New Roman" w:eastAsia="仿宋_GB2312" w:cs="Times New Roman"/>
          <w:kern w:val="0"/>
          <w:sz w:val="32"/>
          <w:szCs w:val="32"/>
          <w:lang w:eastAsia="zh-CN"/>
        </w:rPr>
        <w:t>个人权益记录、核定并按时支付各类人员养老保险及工伤保险待遇；负责城镇各类用人单位职工基本养老、工伤的稽核及待遇支付等工作；负责组织实施全市征地农转非人员社会保障工作；承担工伤保险经办及劳动能力鉴定服务工作；指导各县（区）社保经办机构开展相关工作。</w:t>
      </w:r>
    </w:p>
    <w:p w14:paraId="6AEEF85B">
      <w:pPr>
        <w:keepNext w:val="0"/>
        <w:keepLines w:val="0"/>
        <w:pageBreakBefore w:val="0"/>
        <w:widowControl/>
        <w:kinsoku/>
        <w:wordWrap/>
        <w:overflowPunct/>
        <w:topLinePunct w:val="0"/>
        <w:autoSpaceDE/>
        <w:autoSpaceDN/>
        <w:bidi w:val="0"/>
        <w:adjustRightInd w:val="0"/>
        <w:snapToGrid w:val="0"/>
        <w:spacing w:line="600" w:lineRule="exact"/>
        <w:ind w:firstLine="643" w:firstLineChars="200"/>
        <w:contextualSpacing/>
        <w:jc w:val="left"/>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b/>
          <w:bCs/>
          <w:color w:val="auto"/>
          <w:kern w:val="0"/>
          <w:sz w:val="32"/>
          <w:szCs w:val="32"/>
          <w:lang w:val="en-US" w:eastAsia="zh-CN" w:bidi="ar-SA"/>
        </w:rPr>
        <w:t>2.</w:t>
      </w:r>
      <w:r>
        <w:rPr>
          <w:rFonts w:hint="default" w:ascii="Times New Roman" w:hAnsi="Times New Roman" w:eastAsia="仿宋_GB2312" w:cs="Times New Roman"/>
          <w:b/>
          <w:bCs/>
          <w:color w:val="auto"/>
          <w:kern w:val="0"/>
          <w:sz w:val="32"/>
          <w:szCs w:val="32"/>
          <w:lang w:val="zh-CN" w:eastAsia="zh-CN" w:bidi="ar-SA"/>
        </w:rPr>
        <w:t>项目立项、资金申报的依据</w:t>
      </w:r>
    </w:p>
    <w:p w14:paraId="54479819">
      <w:pPr>
        <w:keepNext w:val="0"/>
        <w:keepLines w:val="0"/>
        <w:pageBreakBefore w:val="0"/>
        <w:widowControl/>
        <w:kinsoku/>
        <w:wordWrap/>
        <w:overflowPunct/>
        <w:topLinePunct w:val="0"/>
        <w:autoSpaceDE/>
        <w:autoSpaceDN/>
        <w:bidi w:val="0"/>
        <w:adjustRightInd w:val="0"/>
        <w:snapToGrid w:val="0"/>
        <w:spacing w:line="600" w:lineRule="exact"/>
        <w:ind w:firstLine="640" w:firstLineChars="200"/>
        <w:contextualSpacing/>
        <w:jc w:val="left"/>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color w:val="auto"/>
          <w:kern w:val="0"/>
          <w:sz w:val="32"/>
          <w:szCs w:val="32"/>
          <w:lang w:val="en-US" w:eastAsia="zh-CN" w:bidi="ar-SA"/>
        </w:rPr>
        <w:t>“入驻政务中心单位租金、物业费及水电费”</w:t>
      </w:r>
      <w:r>
        <w:rPr>
          <w:rFonts w:hint="default" w:ascii="Times New Roman" w:hAnsi="Times New Roman" w:eastAsia="仿宋_GB2312" w:cs="Times New Roman"/>
          <w:color w:val="auto"/>
          <w:kern w:val="0"/>
          <w:sz w:val="32"/>
          <w:szCs w:val="32"/>
          <w:lang w:val="zh-CN" w:eastAsia="zh-CN" w:bidi="ar-SA"/>
        </w:rPr>
        <w:t>项目在</w:t>
      </w:r>
      <w:r>
        <w:rPr>
          <w:rFonts w:hint="default" w:ascii="Times New Roman" w:hAnsi="Times New Roman" w:eastAsia="仿宋_GB2312" w:cs="Times New Roman"/>
          <w:color w:val="auto"/>
          <w:kern w:val="0"/>
          <w:sz w:val="32"/>
          <w:szCs w:val="32"/>
          <w:lang w:val="en-US" w:eastAsia="zh-CN" w:bidi="ar-SA"/>
        </w:rPr>
        <w:t>2025年</w:t>
      </w:r>
      <w:r>
        <w:rPr>
          <w:rFonts w:hint="default" w:ascii="Times New Roman" w:hAnsi="Times New Roman" w:eastAsia="仿宋_GB2312" w:cs="Times New Roman"/>
          <w:color w:val="auto"/>
          <w:kern w:val="0"/>
          <w:sz w:val="32"/>
          <w:szCs w:val="32"/>
          <w:lang w:val="zh-CN" w:eastAsia="zh-CN" w:bidi="ar-SA"/>
        </w:rPr>
        <w:t>年初预算中申报，由市财政批复。</w:t>
      </w:r>
    </w:p>
    <w:p w14:paraId="16C5D237">
      <w:pPr>
        <w:keepNext w:val="0"/>
        <w:keepLines w:val="0"/>
        <w:pageBreakBefore w:val="0"/>
        <w:widowControl/>
        <w:kinsoku/>
        <w:wordWrap/>
        <w:overflowPunct/>
        <w:topLinePunct w:val="0"/>
        <w:autoSpaceDE/>
        <w:autoSpaceDN/>
        <w:bidi w:val="0"/>
        <w:adjustRightInd w:val="0"/>
        <w:snapToGrid w:val="0"/>
        <w:spacing w:line="600" w:lineRule="exact"/>
        <w:ind w:firstLine="643" w:firstLineChars="200"/>
        <w:contextualSpacing/>
        <w:jc w:val="left"/>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b/>
          <w:bCs/>
          <w:color w:val="auto"/>
          <w:kern w:val="0"/>
          <w:sz w:val="32"/>
          <w:szCs w:val="32"/>
          <w:lang w:val="en-US" w:eastAsia="zh-CN" w:bidi="ar-SA"/>
        </w:rPr>
        <w:t>3.</w:t>
      </w:r>
      <w:r>
        <w:rPr>
          <w:rFonts w:hint="default" w:ascii="Times New Roman" w:hAnsi="Times New Roman" w:eastAsia="仿宋_GB2312" w:cs="Times New Roman"/>
          <w:b/>
          <w:bCs/>
          <w:color w:val="auto"/>
          <w:kern w:val="0"/>
          <w:sz w:val="32"/>
          <w:szCs w:val="32"/>
          <w:lang w:val="zh-CN" w:eastAsia="zh-CN" w:bidi="ar-SA"/>
        </w:rPr>
        <w:t>资金管理办法制定情况，资金支持具体项目的条件、范围与支持方式概况</w:t>
      </w:r>
    </w:p>
    <w:p w14:paraId="6638370A">
      <w:pPr>
        <w:keepNext w:val="0"/>
        <w:keepLines w:val="0"/>
        <w:pageBreakBefore w:val="0"/>
        <w:widowControl/>
        <w:kinsoku/>
        <w:wordWrap/>
        <w:overflowPunct/>
        <w:topLinePunct w:val="0"/>
        <w:autoSpaceDE/>
        <w:autoSpaceDN/>
        <w:bidi w:val="0"/>
        <w:adjustRightInd w:val="0"/>
        <w:snapToGrid w:val="0"/>
        <w:spacing w:line="600" w:lineRule="exact"/>
        <w:ind w:firstLine="640" w:firstLineChars="200"/>
        <w:contextualSpacing/>
        <w:jc w:val="left"/>
        <w:textAlignment w:val="auto"/>
        <w:rPr>
          <w:rFonts w:hint="default" w:ascii="Times New Roman" w:hAnsi="Times New Roman" w:eastAsia="仿宋_GB2312" w:cs="Times New Roman"/>
          <w:color w:val="auto"/>
          <w:kern w:val="0"/>
          <w:sz w:val="32"/>
          <w:szCs w:val="32"/>
          <w:lang w:val="en-US" w:eastAsia="zh-CN" w:bidi="ar-SA"/>
        </w:rPr>
      </w:pPr>
      <w:r>
        <w:rPr>
          <w:rFonts w:hint="default" w:ascii="Times New Roman" w:hAnsi="Times New Roman" w:eastAsia="仿宋_GB2312" w:cs="Times New Roman"/>
          <w:color w:val="auto"/>
          <w:kern w:val="0"/>
          <w:sz w:val="32"/>
          <w:szCs w:val="32"/>
          <w:lang w:val="en-US" w:eastAsia="zh-CN" w:bidi="ar-SA"/>
        </w:rPr>
        <w:t>为进一步规范资金管理，提高资金使用绩效，我单位制定了《攀枝花市社会保险事务中心大额资金管理制度》。</w:t>
      </w:r>
    </w:p>
    <w:p w14:paraId="42246513">
      <w:pPr>
        <w:keepNext w:val="0"/>
        <w:keepLines w:val="0"/>
        <w:pageBreakBefore w:val="0"/>
        <w:widowControl/>
        <w:numPr>
          <w:ilvl w:val="0"/>
          <w:numId w:val="0"/>
        </w:numPr>
        <w:kinsoku/>
        <w:wordWrap/>
        <w:overflowPunct/>
        <w:topLinePunct w:val="0"/>
        <w:autoSpaceDE/>
        <w:autoSpaceDN/>
        <w:bidi w:val="0"/>
        <w:adjustRightInd w:val="0"/>
        <w:snapToGrid w:val="0"/>
        <w:spacing w:line="600" w:lineRule="exact"/>
        <w:ind w:firstLine="643" w:firstLineChars="200"/>
        <w:contextualSpacing/>
        <w:jc w:val="left"/>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b/>
          <w:bCs/>
          <w:color w:val="auto"/>
          <w:kern w:val="0"/>
          <w:sz w:val="32"/>
          <w:szCs w:val="32"/>
          <w:lang w:val="en-US" w:eastAsia="zh-CN" w:bidi="ar-SA"/>
        </w:rPr>
        <w:t>4.</w:t>
      </w:r>
      <w:r>
        <w:rPr>
          <w:rFonts w:hint="default" w:ascii="Times New Roman" w:hAnsi="Times New Roman" w:eastAsia="仿宋_GB2312" w:cs="Times New Roman"/>
          <w:b/>
          <w:bCs/>
          <w:color w:val="auto"/>
          <w:kern w:val="0"/>
          <w:sz w:val="32"/>
          <w:szCs w:val="32"/>
          <w:lang w:val="zh-CN" w:eastAsia="zh-CN" w:bidi="ar-SA"/>
        </w:rPr>
        <w:t>资金分配的原则及考虑因素</w:t>
      </w:r>
    </w:p>
    <w:p w14:paraId="7B2637A3">
      <w:pPr>
        <w:keepNext w:val="0"/>
        <w:keepLines w:val="0"/>
        <w:pageBreakBefore w:val="0"/>
        <w:widowControl/>
        <w:numPr>
          <w:ilvl w:val="0"/>
          <w:numId w:val="0"/>
        </w:numPr>
        <w:kinsoku/>
        <w:wordWrap/>
        <w:overflowPunct/>
        <w:topLinePunct w:val="0"/>
        <w:autoSpaceDE/>
        <w:autoSpaceDN/>
        <w:bidi w:val="0"/>
        <w:adjustRightInd w:val="0"/>
        <w:snapToGrid w:val="0"/>
        <w:spacing w:line="600" w:lineRule="exact"/>
        <w:ind w:firstLine="640" w:firstLineChars="200"/>
        <w:contextualSpacing/>
        <w:jc w:val="left"/>
        <w:textAlignment w:val="auto"/>
        <w:rPr>
          <w:rFonts w:hint="default" w:ascii="Times New Roman" w:hAnsi="Times New Roman" w:eastAsia="仿宋_GB2312" w:cs="Times New Roman"/>
          <w:color w:val="auto"/>
          <w:kern w:val="0"/>
          <w:sz w:val="32"/>
          <w:szCs w:val="32"/>
          <w:lang w:val="en-US" w:eastAsia="zh-CN" w:bidi="ar-SA"/>
        </w:rPr>
      </w:pPr>
      <w:r>
        <w:rPr>
          <w:rFonts w:hint="default" w:ascii="Times New Roman" w:hAnsi="Times New Roman" w:eastAsia="仿宋_GB2312" w:cs="Times New Roman"/>
          <w:color w:val="auto"/>
          <w:kern w:val="0"/>
          <w:sz w:val="32"/>
          <w:szCs w:val="32"/>
          <w:lang w:val="en-US" w:eastAsia="zh-CN" w:bidi="ar-SA"/>
        </w:rPr>
        <w:t>根据单位进驻人数，租金按照办公面积40元/平·年计算，物业费按照1000元/人计算，水电费按照1071元/人·年计算。</w:t>
      </w:r>
    </w:p>
    <w:p w14:paraId="480A4E62">
      <w:pPr>
        <w:keepNext w:val="0"/>
        <w:keepLines w:val="0"/>
        <w:pageBreakBefore w:val="0"/>
        <w:kinsoku/>
        <w:wordWrap/>
        <w:overflowPunct/>
        <w:topLinePunct w:val="0"/>
        <w:autoSpaceDE/>
        <w:autoSpaceDN/>
        <w:bidi w:val="0"/>
        <w:adjustRightInd w:val="0"/>
        <w:snapToGrid w:val="0"/>
        <w:spacing w:line="600" w:lineRule="exact"/>
        <w:ind w:firstLine="720"/>
        <w:textAlignment w:val="auto"/>
        <w:rPr>
          <w:rFonts w:hint="default" w:ascii="Times New Roman" w:hAnsi="Times New Roman" w:eastAsia="楷体_GB2312" w:cs="Times New Roman"/>
          <w:b/>
          <w:bCs/>
          <w:color w:val="000000"/>
          <w:kern w:val="0"/>
          <w:sz w:val="32"/>
          <w:szCs w:val="32"/>
          <w:shd w:val="clear" w:color="auto" w:fill="FFFFFF"/>
          <w:lang w:val="zh-CN"/>
        </w:rPr>
      </w:pPr>
      <w:r>
        <w:rPr>
          <w:rFonts w:hint="default" w:ascii="Times New Roman" w:hAnsi="Times New Roman" w:eastAsia="楷体_GB2312" w:cs="Times New Roman"/>
          <w:b/>
          <w:bCs/>
          <w:color w:val="000000"/>
          <w:kern w:val="0"/>
          <w:sz w:val="32"/>
          <w:szCs w:val="32"/>
          <w:shd w:val="clear" w:color="auto" w:fill="FFFFFF"/>
          <w:lang w:val="zh-CN"/>
        </w:rPr>
        <w:t>（二）项目绩效目标</w:t>
      </w:r>
    </w:p>
    <w:p w14:paraId="34ED48CE">
      <w:pPr>
        <w:keepNext w:val="0"/>
        <w:keepLines w:val="0"/>
        <w:pageBreakBefore w:val="0"/>
        <w:widowControl/>
        <w:numPr>
          <w:ilvl w:val="0"/>
          <w:numId w:val="0"/>
        </w:numPr>
        <w:kinsoku/>
        <w:wordWrap/>
        <w:overflowPunct/>
        <w:topLinePunct w:val="0"/>
        <w:autoSpaceDE/>
        <w:autoSpaceDN/>
        <w:bidi w:val="0"/>
        <w:adjustRightInd w:val="0"/>
        <w:snapToGrid w:val="0"/>
        <w:spacing w:line="600" w:lineRule="exact"/>
        <w:ind w:firstLine="643" w:firstLineChars="200"/>
        <w:contextualSpacing/>
        <w:jc w:val="left"/>
        <w:textAlignment w:val="auto"/>
        <w:rPr>
          <w:rFonts w:hint="default" w:ascii="Times New Roman" w:hAnsi="Times New Roman" w:eastAsia="仿宋_GB2312" w:cs="Times New Roman"/>
          <w:color w:val="auto"/>
          <w:kern w:val="0"/>
          <w:sz w:val="32"/>
          <w:szCs w:val="32"/>
          <w:lang w:val="zh-CN" w:eastAsia="zh-CN" w:bidi="ar-SA"/>
        </w:rPr>
      </w:pPr>
      <w:r>
        <w:rPr>
          <w:rFonts w:hint="eastAsia" w:eastAsia="仿宋_GB2312" w:cs="Times New Roman"/>
          <w:b/>
          <w:bCs/>
          <w:color w:val="auto"/>
          <w:kern w:val="0"/>
          <w:sz w:val="32"/>
          <w:szCs w:val="32"/>
          <w:lang w:val="en-US" w:eastAsia="zh-CN" w:bidi="ar-SA"/>
        </w:rPr>
        <w:t>1.</w:t>
      </w:r>
      <w:r>
        <w:rPr>
          <w:rFonts w:hint="default" w:ascii="Times New Roman" w:hAnsi="Times New Roman" w:eastAsia="仿宋_GB2312" w:cs="Times New Roman"/>
          <w:b/>
          <w:bCs/>
          <w:color w:val="auto"/>
          <w:kern w:val="0"/>
          <w:sz w:val="32"/>
          <w:szCs w:val="32"/>
          <w:lang w:val="zh-CN" w:eastAsia="zh-CN" w:bidi="ar-SA"/>
        </w:rPr>
        <w:t>项目主要内容</w:t>
      </w:r>
    </w:p>
    <w:p w14:paraId="75BE2A33">
      <w:pPr>
        <w:keepNext w:val="0"/>
        <w:keepLines w:val="0"/>
        <w:pageBreakBefore w:val="0"/>
        <w:widowControl/>
        <w:numPr>
          <w:ilvl w:val="0"/>
          <w:numId w:val="0"/>
        </w:numPr>
        <w:kinsoku/>
        <w:wordWrap/>
        <w:overflowPunct/>
        <w:topLinePunct w:val="0"/>
        <w:autoSpaceDE/>
        <w:autoSpaceDN/>
        <w:bidi w:val="0"/>
        <w:adjustRightInd w:val="0"/>
        <w:snapToGrid w:val="0"/>
        <w:spacing w:line="600" w:lineRule="exact"/>
        <w:ind w:firstLine="640" w:firstLineChars="200"/>
        <w:contextualSpacing/>
        <w:jc w:val="left"/>
        <w:textAlignment w:val="auto"/>
        <w:rPr>
          <w:rFonts w:hint="default" w:ascii="Times New Roman" w:hAnsi="Times New Roman" w:eastAsia="仿宋_GB2312" w:cs="Times New Roman"/>
          <w:color w:val="auto"/>
          <w:kern w:val="0"/>
          <w:sz w:val="32"/>
          <w:szCs w:val="32"/>
          <w:lang w:val="en-US" w:eastAsia="zh-CN" w:bidi="ar-SA"/>
        </w:rPr>
      </w:pPr>
      <w:r>
        <w:rPr>
          <w:rFonts w:hint="default" w:ascii="Times New Roman" w:hAnsi="Times New Roman" w:eastAsia="仿宋_GB2312" w:cs="Times New Roman"/>
          <w:color w:val="auto"/>
          <w:kern w:val="0"/>
          <w:sz w:val="32"/>
          <w:szCs w:val="32"/>
          <w:lang w:val="en-US" w:eastAsia="zh-CN" w:bidi="ar-SA"/>
        </w:rPr>
        <w:t>“入驻政务中心单位租金、物业费及水电费”项目资金主要用于市社会保险事务中心支付入驻政务中心单位租金、物业费及水电费，保障单位正常运转。</w:t>
      </w:r>
    </w:p>
    <w:p w14:paraId="7D270075">
      <w:pPr>
        <w:keepNext w:val="0"/>
        <w:keepLines w:val="0"/>
        <w:pageBreakBefore w:val="0"/>
        <w:widowControl/>
        <w:numPr>
          <w:ilvl w:val="0"/>
          <w:numId w:val="0"/>
        </w:numPr>
        <w:kinsoku/>
        <w:wordWrap/>
        <w:overflowPunct/>
        <w:topLinePunct w:val="0"/>
        <w:autoSpaceDE/>
        <w:autoSpaceDN/>
        <w:bidi w:val="0"/>
        <w:adjustRightInd w:val="0"/>
        <w:snapToGrid w:val="0"/>
        <w:spacing w:line="600" w:lineRule="exact"/>
        <w:ind w:firstLine="643" w:firstLineChars="200"/>
        <w:contextualSpacing/>
        <w:jc w:val="left"/>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b/>
          <w:bCs/>
          <w:color w:val="auto"/>
          <w:kern w:val="0"/>
          <w:sz w:val="32"/>
          <w:szCs w:val="32"/>
          <w:lang w:val="en-US" w:eastAsia="zh-CN" w:bidi="ar-SA"/>
        </w:rPr>
        <w:t>2.</w:t>
      </w:r>
      <w:r>
        <w:rPr>
          <w:rFonts w:hint="default" w:ascii="Times New Roman" w:hAnsi="Times New Roman" w:eastAsia="仿宋_GB2312" w:cs="Times New Roman"/>
          <w:b/>
          <w:bCs/>
          <w:color w:val="auto"/>
          <w:kern w:val="0"/>
          <w:sz w:val="32"/>
          <w:szCs w:val="32"/>
          <w:lang w:val="zh-CN" w:eastAsia="zh-CN" w:bidi="ar-SA"/>
        </w:rPr>
        <w:t>项目应实现的具体绩效目标，包括目标的量化、细情况以及项目实施进度计划等</w:t>
      </w:r>
    </w:p>
    <w:p w14:paraId="3378AB1E">
      <w:pPr>
        <w:keepNext w:val="0"/>
        <w:keepLines w:val="0"/>
        <w:pageBreakBefore w:val="0"/>
        <w:widowControl/>
        <w:numPr>
          <w:ilvl w:val="0"/>
          <w:numId w:val="0"/>
        </w:numPr>
        <w:kinsoku/>
        <w:wordWrap/>
        <w:overflowPunct/>
        <w:topLinePunct w:val="0"/>
        <w:autoSpaceDE/>
        <w:autoSpaceDN/>
        <w:bidi w:val="0"/>
        <w:adjustRightInd w:val="0"/>
        <w:snapToGrid w:val="0"/>
        <w:spacing w:line="600" w:lineRule="exact"/>
        <w:ind w:firstLine="640" w:firstLineChars="200"/>
        <w:contextualSpacing/>
        <w:jc w:val="left"/>
        <w:textAlignment w:val="auto"/>
        <w:rPr>
          <w:rFonts w:hint="default" w:ascii="Times New Roman" w:hAnsi="Times New Roman" w:eastAsia="仿宋_GB2312" w:cs="Times New Roman"/>
          <w:color w:val="auto"/>
          <w:kern w:val="0"/>
          <w:sz w:val="32"/>
          <w:szCs w:val="32"/>
          <w:lang w:val="en-US" w:eastAsia="zh-CN" w:bidi="ar-SA"/>
        </w:rPr>
      </w:pPr>
      <w:r>
        <w:rPr>
          <w:rFonts w:hint="default" w:ascii="Times New Roman" w:hAnsi="Times New Roman" w:eastAsia="仿宋_GB2312" w:cs="Times New Roman"/>
          <w:color w:val="auto"/>
          <w:kern w:val="0"/>
          <w:sz w:val="32"/>
          <w:szCs w:val="32"/>
          <w:lang w:val="en-US" w:eastAsia="zh-CN" w:bidi="ar-SA"/>
        </w:rPr>
        <w:t>（1）数量指标：按季度缴纳</w:t>
      </w:r>
      <w:r>
        <w:rPr>
          <w:rFonts w:hint="eastAsia" w:eastAsia="仿宋_GB2312" w:cs="Times New Roman"/>
          <w:color w:val="auto"/>
          <w:kern w:val="0"/>
          <w:sz w:val="32"/>
          <w:szCs w:val="32"/>
          <w:lang w:val="en-US" w:eastAsia="zh-CN" w:bidi="ar-SA"/>
        </w:rPr>
        <w:t>，</w:t>
      </w:r>
      <w:r>
        <w:rPr>
          <w:rFonts w:hint="default" w:ascii="Times New Roman" w:hAnsi="Times New Roman" w:eastAsia="仿宋_GB2312" w:cs="Times New Roman"/>
          <w:color w:val="auto"/>
          <w:kern w:val="0"/>
          <w:sz w:val="32"/>
          <w:szCs w:val="32"/>
          <w:lang w:val="en-US" w:eastAsia="zh-CN" w:bidi="ar-SA"/>
        </w:rPr>
        <w:t>4次/年。</w:t>
      </w:r>
    </w:p>
    <w:p w14:paraId="26DAE9BF">
      <w:pPr>
        <w:keepNext w:val="0"/>
        <w:keepLines w:val="0"/>
        <w:pageBreakBefore w:val="0"/>
        <w:widowControl/>
        <w:numPr>
          <w:ilvl w:val="0"/>
          <w:numId w:val="0"/>
        </w:numPr>
        <w:kinsoku/>
        <w:wordWrap/>
        <w:overflowPunct/>
        <w:topLinePunct w:val="0"/>
        <w:autoSpaceDE/>
        <w:autoSpaceDN/>
        <w:bidi w:val="0"/>
        <w:adjustRightInd w:val="0"/>
        <w:snapToGrid w:val="0"/>
        <w:spacing w:line="600" w:lineRule="exact"/>
        <w:ind w:firstLine="640" w:firstLineChars="200"/>
        <w:contextualSpacing/>
        <w:jc w:val="left"/>
        <w:textAlignment w:val="auto"/>
        <w:rPr>
          <w:rFonts w:hint="default" w:ascii="Times New Roman" w:hAnsi="Times New Roman" w:eastAsia="仿宋_GB2312" w:cs="Times New Roman"/>
          <w:color w:val="auto"/>
          <w:kern w:val="0"/>
          <w:sz w:val="32"/>
          <w:szCs w:val="32"/>
          <w:lang w:val="en-US" w:eastAsia="zh-CN" w:bidi="ar-SA"/>
        </w:rPr>
      </w:pPr>
      <w:r>
        <w:rPr>
          <w:rFonts w:hint="default" w:ascii="Times New Roman" w:hAnsi="Times New Roman" w:eastAsia="仿宋_GB2312" w:cs="Times New Roman"/>
          <w:color w:val="auto"/>
          <w:kern w:val="0"/>
          <w:sz w:val="32"/>
          <w:szCs w:val="32"/>
          <w:lang w:val="en-US" w:eastAsia="zh-CN" w:bidi="ar-SA"/>
        </w:rPr>
        <w:t>（2）质量指标：全额缴纳100%。</w:t>
      </w:r>
    </w:p>
    <w:p w14:paraId="5D7EC800">
      <w:pPr>
        <w:keepNext w:val="0"/>
        <w:keepLines w:val="0"/>
        <w:pageBreakBefore w:val="0"/>
        <w:widowControl/>
        <w:numPr>
          <w:ilvl w:val="0"/>
          <w:numId w:val="0"/>
        </w:numPr>
        <w:kinsoku/>
        <w:wordWrap/>
        <w:overflowPunct/>
        <w:topLinePunct w:val="0"/>
        <w:autoSpaceDE/>
        <w:autoSpaceDN/>
        <w:bidi w:val="0"/>
        <w:adjustRightInd w:val="0"/>
        <w:snapToGrid w:val="0"/>
        <w:spacing w:line="600" w:lineRule="exact"/>
        <w:ind w:firstLine="640" w:firstLineChars="200"/>
        <w:contextualSpacing/>
        <w:jc w:val="left"/>
        <w:textAlignment w:val="auto"/>
        <w:rPr>
          <w:rFonts w:hint="default" w:ascii="Times New Roman" w:hAnsi="Times New Roman" w:eastAsia="仿宋_GB2312" w:cs="Times New Roman"/>
          <w:color w:val="auto"/>
          <w:kern w:val="0"/>
          <w:sz w:val="32"/>
          <w:szCs w:val="32"/>
          <w:lang w:val="en-US" w:eastAsia="zh-CN" w:bidi="ar-SA"/>
        </w:rPr>
      </w:pPr>
      <w:r>
        <w:rPr>
          <w:rFonts w:hint="default" w:ascii="Times New Roman" w:hAnsi="Times New Roman" w:eastAsia="仿宋_GB2312" w:cs="Times New Roman"/>
          <w:color w:val="auto"/>
          <w:kern w:val="0"/>
          <w:sz w:val="32"/>
          <w:szCs w:val="32"/>
          <w:lang w:val="en-US" w:eastAsia="zh-CN" w:bidi="ar-SA"/>
        </w:rPr>
        <w:t>（3）时效指标：资金支付及时率100%。</w:t>
      </w:r>
    </w:p>
    <w:p w14:paraId="2C5BB31C">
      <w:pPr>
        <w:keepNext w:val="0"/>
        <w:keepLines w:val="0"/>
        <w:pageBreakBefore w:val="0"/>
        <w:widowControl/>
        <w:numPr>
          <w:ilvl w:val="0"/>
          <w:numId w:val="0"/>
        </w:numPr>
        <w:kinsoku/>
        <w:wordWrap/>
        <w:overflowPunct/>
        <w:topLinePunct w:val="0"/>
        <w:autoSpaceDE/>
        <w:autoSpaceDN/>
        <w:bidi w:val="0"/>
        <w:adjustRightInd w:val="0"/>
        <w:snapToGrid w:val="0"/>
        <w:spacing w:line="600" w:lineRule="exact"/>
        <w:ind w:firstLine="640" w:firstLineChars="200"/>
        <w:contextualSpacing/>
        <w:jc w:val="left"/>
        <w:textAlignment w:val="auto"/>
        <w:rPr>
          <w:rFonts w:hint="default" w:ascii="Times New Roman" w:hAnsi="Times New Roman" w:eastAsia="仿宋_GB2312" w:cs="Times New Roman"/>
          <w:color w:val="auto"/>
          <w:kern w:val="0"/>
          <w:sz w:val="32"/>
          <w:szCs w:val="32"/>
          <w:lang w:val="en-US" w:eastAsia="zh-CN" w:bidi="ar-SA"/>
        </w:rPr>
      </w:pPr>
      <w:r>
        <w:rPr>
          <w:rFonts w:hint="default" w:ascii="Times New Roman" w:hAnsi="Times New Roman" w:eastAsia="仿宋_GB2312" w:cs="Times New Roman"/>
          <w:color w:val="auto"/>
          <w:kern w:val="0"/>
          <w:sz w:val="32"/>
          <w:szCs w:val="32"/>
          <w:lang w:val="en-US" w:eastAsia="zh-CN" w:bidi="ar-SA"/>
        </w:rPr>
        <w:t>（4）成本指标：入驻政务中心单位租金、物业费及水电费804089.4元/年。</w:t>
      </w:r>
    </w:p>
    <w:p w14:paraId="3D5EDDDE">
      <w:pPr>
        <w:keepNext w:val="0"/>
        <w:keepLines w:val="0"/>
        <w:pageBreakBefore w:val="0"/>
        <w:widowControl/>
        <w:numPr>
          <w:ilvl w:val="0"/>
          <w:numId w:val="0"/>
        </w:numPr>
        <w:kinsoku/>
        <w:wordWrap/>
        <w:overflowPunct/>
        <w:topLinePunct w:val="0"/>
        <w:autoSpaceDE/>
        <w:autoSpaceDN/>
        <w:bidi w:val="0"/>
        <w:adjustRightInd w:val="0"/>
        <w:snapToGrid w:val="0"/>
        <w:spacing w:line="600" w:lineRule="exact"/>
        <w:ind w:firstLine="640" w:firstLineChars="200"/>
        <w:contextualSpacing/>
        <w:jc w:val="left"/>
        <w:textAlignment w:val="auto"/>
        <w:rPr>
          <w:rFonts w:hint="default" w:ascii="Times New Roman" w:hAnsi="Times New Roman" w:eastAsia="仿宋_GB2312" w:cs="Times New Roman"/>
          <w:color w:val="auto"/>
          <w:kern w:val="0"/>
          <w:sz w:val="32"/>
          <w:szCs w:val="32"/>
          <w:lang w:val="en-US" w:eastAsia="zh-CN" w:bidi="ar-SA"/>
        </w:rPr>
      </w:pPr>
      <w:r>
        <w:rPr>
          <w:rFonts w:hint="default" w:ascii="Times New Roman" w:hAnsi="Times New Roman" w:eastAsia="仿宋_GB2312" w:cs="Times New Roman"/>
          <w:color w:val="auto"/>
          <w:kern w:val="0"/>
          <w:sz w:val="32"/>
          <w:szCs w:val="32"/>
          <w:lang w:val="en-US" w:eastAsia="zh-CN" w:bidi="ar-SA"/>
        </w:rPr>
        <w:t>（5）社会效益指标：保障单位正常运转。</w:t>
      </w:r>
    </w:p>
    <w:p w14:paraId="2EADCC3C">
      <w:pPr>
        <w:keepNext w:val="0"/>
        <w:keepLines w:val="0"/>
        <w:pageBreakBefore w:val="0"/>
        <w:widowControl/>
        <w:numPr>
          <w:ilvl w:val="0"/>
          <w:numId w:val="0"/>
        </w:numPr>
        <w:kinsoku/>
        <w:wordWrap/>
        <w:overflowPunct/>
        <w:topLinePunct w:val="0"/>
        <w:autoSpaceDE/>
        <w:autoSpaceDN/>
        <w:bidi w:val="0"/>
        <w:adjustRightInd w:val="0"/>
        <w:snapToGrid w:val="0"/>
        <w:spacing w:line="600" w:lineRule="exact"/>
        <w:ind w:firstLine="640" w:firstLineChars="200"/>
        <w:contextualSpacing/>
        <w:jc w:val="left"/>
        <w:textAlignment w:val="auto"/>
        <w:rPr>
          <w:rFonts w:hint="default" w:ascii="Times New Roman" w:hAnsi="Times New Roman" w:eastAsia="仿宋_GB2312" w:cs="Times New Roman"/>
          <w:color w:val="auto"/>
          <w:kern w:val="0"/>
          <w:sz w:val="32"/>
          <w:szCs w:val="32"/>
          <w:lang w:val="en-US" w:eastAsia="zh-CN" w:bidi="ar-SA"/>
        </w:rPr>
      </w:pPr>
      <w:r>
        <w:rPr>
          <w:rFonts w:hint="default" w:ascii="Times New Roman" w:hAnsi="Times New Roman" w:eastAsia="仿宋_GB2312" w:cs="Times New Roman"/>
          <w:color w:val="auto"/>
          <w:kern w:val="0"/>
          <w:sz w:val="32"/>
          <w:szCs w:val="32"/>
          <w:lang w:val="en-US" w:eastAsia="zh-CN" w:bidi="ar-SA"/>
        </w:rPr>
        <w:t>（6）满意度指标：物业公司满意度达到满意。</w:t>
      </w:r>
    </w:p>
    <w:p w14:paraId="466C4B84">
      <w:pPr>
        <w:keepNext w:val="0"/>
        <w:keepLines w:val="0"/>
        <w:pageBreakBefore w:val="0"/>
        <w:widowControl/>
        <w:numPr>
          <w:ilvl w:val="0"/>
          <w:numId w:val="0"/>
        </w:numPr>
        <w:kinsoku/>
        <w:wordWrap/>
        <w:overflowPunct/>
        <w:topLinePunct w:val="0"/>
        <w:autoSpaceDE/>
        <w:autoSpaceDN/>
        <w:bidi w:val="0"/>
        <w:adjustRightInd w:val="0"/>
        <w:snapToGrid w:val="0"/>
        <w:spacing w:line="600" w:lineRule="exact"/>
        <w:ind w:firstLine="643" w:firstLineChars="200"/>
        <w:contextualSpacing/>
        <w:jc w:val="left"/>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b/>
          <w:bCs/>
          <w:color w:val="auto"/>
          <w:kern w:val="0"/>
          <w:sz w:val="32"/>
          <w:szCs w:val="32"/>
          <w:lang w:val="en-US" w:eastAsia="zh-CN" w:bidi="ar-SA"/>
        </w:rPr>
        <w:t>3.</w:t>
      </w:r>
      <w:r>
        <w:rPr>
          <w:rFonts w:hint="default" w:ascii="Times New Roman" w:hAnsi="Times New Roman" w:eastAsia="仿宋_GB2312" w:cs="Times New Roman"/>
          <w:b/>
          <w:bCs/>
          <w:color w:val="auto"/>
          <w:kern w:val="0"/>
          <w:sz w:val="32"/>
          <w:szCs w:val="32"/>
          <w:lang w:val="zh-CN" w:eastAsia="zh-CN" w:bidi="ar-SA"/>
        </w:rPr>
        <w:t>分析评价申报内容是否与实际相符，申报目标是否合理可行</w:t>
      </w:r>
    </w:p>
    <w:p w14:paraId="2444725A">
      <w:pPr>
        <w:keepNext w:val="0"/>
        <w:keepLines w:val="0"/>
        <w:pageBreakBefore w:val="0"/>
        <w:widowControl/>
        <w:numPr>
          <w:ilvl w:val="0"/>
          <w:numId w:val="0"/>
        </w:numPr>
        <w:kinsoku/>
        <w:wordWrap/>
        <w:overflowPunct/>
        <w:topLinePunct w:val="0"/>
        <w:autoSpaceDE/>
        <w:autoSpaceDN/>
        <w:bidi w:val="0"/>
        <w:adjustRightInd w:val="0"/>
        <w:snapToGrid w:val="0"/>
        <w:spacing w:line="600" w:lineRule="exact"/>
        <w:ind w:firstLine="640" w:firstLineChars="200"/>
        <w:contextualSpacing/>
        <w:jc w:val="left"/>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color w:val="auto"/>
          <w:kern w:val="0"/>
          <w:sz w:val="32"/>
          <w:szCs w:val="32"/>
          <w:lang w:val="zh-CN" w:eastAsia="zh-CN" w:bidi="ar-SA"/>
        </w:rPr>
        <w:t>市社会保险事务中心按照20</w:t>
      </w:r>
      <w:r>
        <w:rPr>
          <w:rFonts w:hint="default" w:ascii="Times New Roman" w:hAnsi="Times New Roman" w:eastAsia="仿宋_GB2312" w:cs="Times New Roman"/>
          <w:color w:val="auto"/>
          <w:kern w:val="0"/>
          <w:sz w:val="32"/>
          <w:szCs w:val="32"/>
          <w:lang w:val="en-US" w:eastAsia="zh-CN" w:bidi="ar-SA"/>
        </w:rPr>
        <w:t>25</w:t>
      </w:r>
      <w:r>
        <w:rPr>
          <w:rFonts w:hint="default" w:ascii="Times New Roman" w:hAnsi="Times New Roman" w:eastAsia="仿宋_GB2312" w:cs="Times New Roman"/>
          <w:color w:val="auto"/>
          <w:kern w:val="0"/>
          <w:sz w:val="32"/>
          <w:szCs w:val="32"/>
          <w:lang w:val="zh-CN" w:eastAsia="zh-CN" w:bidi="ar-SA"/>
        </w:rPr>
        <w:t>年目标任务制定绩效目标，申报内容与实际相符，申报目标合理可行。</w:t>
      </w:r>
    </w:p>
    <w:p w14:paraId="6520E54D">
      <w:pPr>
        <w:keepNext w:val="0"/>
        <w:keepLines w:val="0"/>
        <w:pageBreakBefore w:val="0"/>
        <w:kinsoku/>
        <w:wordWrap/>
        <w:overflowPunct/>
        <w:topLinePunct w:val="0"/>
        <w:autoSpaceDE/>
        <w:autoSpaceDN/>
        <w:bidi w:val="0"/>
        <w:adjustRightInd w:val="0"/>
        <w:snapToGrid w:val="0"/>
        <w:spacing w:line="600" w:lineRule="exact"/>
        <w:ind w:firstLine="720"/>
        <w:textAlignment w:val="auto"/>
        <w:rPr>
          <w:rFonts w:hint="default" w:ascii="Times New Roman" w:hAnsi="Times New Roman" w:eastAsia="楷体_GB2312" w:cs="Times New Roman"/>
          <w:b/>
          <w:bCs/>
          <w:color w:val="000000"/>
          <w:kern w:val="0"/>
          <w:sz w:val="32"/>
          <w:szCs w:val="32"/>
          <w:shd w:val="clear" w:color="auto" w:fill="FFFFFF"/>
          <w:lang w:val="zh-CN"/>
        </w:rPr>
      </w:pPr>
      <w:r>
        <w:rPr>
          <w:rFonts w:hint="default" w:ascii="Times New Roman" w:hAnsi="Times New Roman" w:eastAsia="楷体_GB2312" w:cs="Times New Roman"/>
          <w:b/>
          <w:bCs/>
          <w:color w:val="000000"/>
          <w:kern w:val="0"/>
          <w:sz w:val="32"/>
          <w:szCs w:val="32"/>
          <w:shd w:val="clear" w:color="auto" w:fill="FFFFFF"/>
          <w:lang w:val="zh-CN"/>
        </w:rPr>
        <w:t>（三）项目自评步骤及方法</w:t>
      </w:r>
    </w:p>
    <w:p w14:paraId="1C988FAC">
      <w:pPr>
        <w:keepNext w:val="0"/>
        <w:keepLines w:val="0"/>
        <w:pageBreakBefore w:val="0"/>
        <w:widowControl/>
        <w:numPr>
          <w:ilvl w:val="0"/>
          <w:numId w:val="0"/>
        </w:numPr>
        <w:kinsoku/>
        <w:wordWrap/>
        <w:overflowPunct/>
        <w:topLinePunct w:val="0"/>
        <w:autoSpaceDE/>
        <w:autoSpaceDN/>
        <w:bidi w:val="0"/>
        <w:adjustRightInd w:val="0"/>
        <w:snapToGrid w:val="0"/>
        <w:spacing w:line="600" w:lineRule="exact"/>
        <w:ind w:firstLine="640" w:firstLineChars="200"/>
        <w:contextualSpacing/>
        <w:jc w:val="left"/>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color w:val="auto"/>
          <w:kern w:val="0"/>
          <w:sz w:val="32"/>
          <w:szCs w:val="32"/>
          <w:lang w:val="zh-CN" w:eastAsia="zh-CN" w:bidi="ar-SA"/>
        </w:rPr>
        <w:t>市社会保险事务中心项目绩效评价按照前期准备阶段、自评阶段、实施评价阶段、报告撰写阶段、结果运用阶段五个阶段的工作流程。办公室成立项目评价小组对项目资金执行情况进行自查自评。</w:t>
      </w:r>
    </w:p>
    <w:p w14:paraId="6916E782">
      <w:pPr>
        <w:keepNext w:val="0"/>
        <w:keepLines w:val="0"/>
        <w:pageBreakBefore w:val="0"/>
        <w:kinsoku/>
        <w:wordWrap/>
        <w:overflowPunct/>
        <w:topLinePunct w:val="0"/>
        <w:autoSpaceDE/>
        <w:autoSpaceDN/>
        <w:bidi w:val="0"/>
        <w:adjustRightInd w:val="0"/>
        <w:snapToGrid w:val="0"/>
        <w:spacing w:line="600" w:lineRule="exact"/>
        <w:ind w:firstLine="720"/>
        <w:textAlignment w:val="auto"/>
        <w:rPr>
          <w:rFonts w:hint="default" w:ascii="Times New Roman" w:hAnsi="Times New Roman" w:eastAsia="黑体" w:cs="Times New Roman"/>
          <w:sz w:val="32"/>
        </w:rPr>
      </w:pPr>
      <w:r>
        <w:rPr>
          <w:rFonts w:hint="default" w:ascii="Times New Roman" w:hAnsi="Times New Roman" w:eastAsia="黑体" w:cs="Times New Roman"/>
          <w:sz w:val="32"/>
        </w:rPr>
        <w:t>二、项目资金申报及使用情况</w:t>
      </w:r>
    </w:p>
    <w:p w14:paraId="5D9B9D33">
      <w:pPr>
        <w:keepNext w:val="0"/>
        <w:keepLines w:val="0"/>
        <w:pageBreakBefore w:val="0"/>
        <w:widowControl/>
        <w:numPr>
          <w:ilvl w:val="0"/>
          <w:numId w:val="0"/>
        </w:numPr>
        <w:kinsoku/>
        <w:wordWrap/>
        <w:overflowPunct/>
        <w:topLinePunct w:val="0"/>
        <w:autoSpaceDE/>
        <w:autoSpaceDN/>
        <w:bidi w:val="0"/>
        <w:adjustRightInd w:val="0"/>
        <w:snapToGrid w:val="0"/>
        <w:spacing w:line="600" w:lineRule="exact"/>
        <w:ind w:firstLine="640" w:firstLineChars="200"/>
        <w:contextualSpacing/>
        <w:jc w:val="left"/>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color w:val="auto"/>
          <w:kern w:val="0"/>
          <w:sz w:val="32"/>
          <w:szCs w:val="32"/>
          <w:lang w:val="zh-CN" w:eastAsia="zh-CN" w:bidi="ar-SA"/>
        </w:rPr>
        <w:t>“入驻政务中心单位租金、物业费及水电费”项目资金共</w:t>
      </w:r>
      <w:r>
        <w:rPr>
          <w:rFonts w:hint="default" w:ascii="Times New Roman" w:hAnsi="Times New Roman" w:eastAsia="仿宋_GB2312" w:cs="Times New Roman"/>
          <w:color w:val="auto"/>
          <w:kern w:val="0"/>
          <w:sz w:val="32"/>
          <w:szCs w:val="32"/>
          <w:lang w:val="en-US" w:eastAsia="zh-CN" w:bidi="ar-SA"/>
        </w:rPr>
        <w:t>80.41</w:t>
      </w:r>
      <w:r>
        <w:rPr>
          <w:rFonts w:hint="default" w:ascii="Times New Roman" w:hAnsi="Times New Roman" w:eastAsia="仿宋_GB2312" w:cs="Times New Roman"/>
          <w:color w:val="auto"/>
          <w:kern w:val="0"/>
          <w:sz w:val="32"/>
          <w:szCs w:val="32"/>
          <w:lang w:val="zh-CN" w:eastAsia="zh-CN" w:bidi="ar-SA"/>
        </w:rPr>
        <w:t>万元，资金支付完成100%。</w:t>
      </w:r>
    </w:p>
    <w:p w14:paraId="5ADE78C2">
      <w:pPr>
        <w:keepNext w:val="0"/>
        <w:keepLines w:val="0"/>
        <w:pageBreakBefore w:val="0"/>
        <w:kinsoku/>
        <w:wordWrap/>
        <w:overflowPunct/>
        <w:topLinePunct w:val="0"/>
        <w:autoSpaceDE/>
        <w:autoSpaceDN/>
        <w:bidi w:val="0"/>
        <w:adjustRightInd w:val="0"/>
        <w:snapToGrid w:val="0"/>
        <w:spacing w:line="600" w:lineRule="exact"/>
        <w:ind w:firstLine="720"/>
        <w:textAlignment w:val="auto"/>
        <w:rPr>
          <w:rFonts w:hint="default" w:ascii="Times New Roman" w:hAnsi="Times New Roman" w:eastAsia="楷体_GB2312" w:cs="Times New Roman"/>
          <w:b/>
          <w:bCs/>
          <w:color w:val="000000"/>
          <w:kern w:val="0"/>
          <w:sz w:val="32"/>
          <w:szCs w:val="32"/>
          <w:shd w:val="clear" w:color="auto" w:fill="FFFFFF"/>
          <w:lang w:val="zh-CN"/>
        </w:rPr>
      </w:pPr>
      <w:r>
        <w:rPr>
          <w:rFonts w:hint="default" w:ascii="Times New Roman" w:hAnsi="Times New Roman" w:eastAsia="楷体_GB2312" w:cs="Times New Roman"/>
          <w:b/>
          <w:bCs/>
          <w:color w:val="000000"/>
          <w:kern w:val="0"/>
          <w:sz w:val="32"/>
          <w:szCs w:val="32"/>
          <w:shd w:val="clear" w:color="auto" w:fill="FFFFFF"/>
          <w:lang w:val="zh-CN"/>
        </w:rPr>
        <w:t>（一）项目资金申报及批复情况</w:t>
      </w:r>
    </w:p>
    <w:p w14:paraId="585B8B1C">
      <w:pPr>
        <w:keepNext w:val="0"/>
        <w:keepLines w:val="0"/>
        <w:pageBreakBefore w:val="0"/>
        <w:widowControl/>
        <w:numPr>
          <w:ilvl w:val="0"/>
          <w:numId w:val="0"/>
        </w:numPr>
        <w:kinsoku/>
        <w:wordWrap/>
        <w:overflowPunct/>
        <w:topLinePunct w:val="0"/>
        <w:autoSpaceDE/>
        <w:autoSpaceDN/>
        <w:bidi w:val="0"/>
        <w:adjustRightInd w:val="0"/>
        <w:snapToGrid w:val="0"/>
        <w:spacing w:line="600" w:lineRule="exact"/>
        <w:ind w:firstLine="640" w:firstLineChars="200"/>
        <w:contextualSpacing/>
        <w:jc w:val="left"/>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color w:val="auto"/>
          <w:kern w:val="0"/>
          <w:sz w:val="32"/>
          <w:szCs w:val="32"/>
          <w:lang w:val="zh-CN" w:eastAsia="zh-CN" w:bidi="ar-SA"/>
        </w:rPr>
        <w:t>“入驻政务中心单位租金、物业费及水电费”项目资金由市级财政下拨，市社会保险事务中心在“预算管理一体化系统”中申报项目资金，市级财政完成批复并下达指标。</w:t>
      </w:r>
    </w:p>
    <w:p w14:paraId="082C834F">
      <w:pPr>
        <w:keepNext w:val="0"/>
        <w:keepLines w:val="0"/>
        <w:pageBreakBefore w:val="0"/>
        <w:kinsoku/>
        <w:wordWrap/>
        <w:overflowPunct/>
        <w:topLinePunct w:val="0"/>
        <w:autoSpaceDE/>
        <w:autoSpaceDN/>
        <w:bidi w:val="0"/>
        <w:adjustRightInd w:val="0"/>
        <w:snapToGrid w:val="0"/>
        <w:spacing w:line="600" w:lineRule="exact"/>
        <w:ind w:firstLine="720"/>
        <w:textAlignment w:val="auto"/>
        <w:rPr>
          <w:rFonts w:hint="default" w:ascii="Times New Roman" w:hAnsi="Times New Roman" w:eastAsia="楷体_GB2312" w:cs="Times New Roman"/>
          <w:b/>
          <w:bCs/>
          <w:color w:val="000000"/>
          <w:kern w:val="0"/>
          <w:sz w:val="32"/>
          <w:szCs w:val="32"/>
          <w:shd w:val="clear" w:color="auto" w:fill="FFFFFF"/>
          <w:lang w:val="zh-CN"/>
        </w:rPr>
      </w:pPr>
      <w:r>
        <w:rPr>
          <w:rFonts w:hint="default" w:ascii="Times New Roman" w:hAnsi="Times New Roman" w:eastAsia="楷体_GB2312" w:cs="Times New Roman"/>
          <w:b/>
          <w:bCs/>
          <w:color w:val="000000"/>
          <w:kern w:val="0"/>
          <w:sz w:val="32"/>
          <w:szCs w:val="32"/>
          <w:shd w:val="clear" w:color="auto" w:fill="FFFFFF"/>
          <w:lang w:val="zh-CN"/>
        </w:rPr>
        <w:t>（二）资金计划、到位及使用情况</w:t>
      </w:r>
    </w:p>
    <w:p w14:paraId="21338CEB">
      <w:pPr>
        <w:keepNext w:val="0"/>
        <w:keepLines w:val="0"/>
        <w:pageBreakBefore w:val="0"/>
        <w:widowControl/>
        <w:numPr>
          <w:ilvl w:val="0"/>
          <w:numId w:val="0"/>
        </w:numPr>
        <w:kinsoku/>
        <w:wordWrap/>
        <w:overflowPunct/>
        <w:topLinePunct w:val="0"/>
        <w:autoSpaceDE/>
        <w:autoSpaceDN/>
        <w:bidi w:val="0"/>
        <w:adjustRightInd w:val="0"/>
        <w:snapToGrid w:val="0"/>
        <w:spacing w:line="600" w:lineRule="exact"/>
        <w:ind w:firstLine="643" w:firstLineChars="200"/>
        <w:contextualSpacing/>
        <w:jc w:val="left"/>
        <w:textAlignment w:val="auto"/>
        <w:rPr>
          <w:rFonts w:hint="default" w:ascii="Times New Roman" w:hAnsi="Times New Roman" w:eastAsia="仿宋_GB2312" w:cs="Times New Roman"/>
          <w:color w:val="auto"/>
          <w:kern w:val="0"/>
          <w:sz w:val="32"/>
          <w:szCs w:val="32"/>
          <w:lang w:val="zh-CN" w:eastAsia="zh-CN" w:bidi="ar-SA"/>
        </w:rPr>
      </w:pPr>
      <w:r>
        <w:rPr>
          <w:rFonts w:hint="eastAsia" w:eastAsia="仿宋_GB2312" w:cs="Times New Roman"/>
          <w:b/>
          <w:bCs/>
          <w:color w:val="auto"/>
          <w:kern w:val="0"/>
          <w:sz w:val="32"/>
          <w:szCs w:val="32"/>
          <w:lang w:val="en-US" w:eastAsia="zh-CN" w:bidi="ar-SA"/>
        </w:rPr>
        <w:t>1.</w:t>
      </w:r>
      <w:r>
        <w:rPr>
          <w:rFonts w:hint="default" w:ascii="Times New Roman" w:hAnsi="Times New Roman" w:eastAsia="仿宋_GB2312" w:cs="Times New Roman"/>
          <w:b/>
          <w:bCs/>
          <w:color w:val="auto"/>
          <w:kern w:val="0"/>
          <w:sz w:val="32"/>
          <w:szCs w:val="32"/>
          <w:lang w:val="zh-CN" w:eastAsia="zh-CN" w:bidi="ar-SA"/>
        </w:rPr>
        <w:t>资金计划</w:t>
      </w:r>
    </w:p>
    <w:p w14:paraId="51920040">
      <w:pPr>
        <w:keepNext w:val="0"/>
        <w:keepLines w:val="0"/>
        <w:pageBreakBefore w:val="0"/>
        <w:widowControl/>
        <w:numPr>
          <w:ilvl w:val="0"/>
          <w:numId w:val="0"/>
        </w:numPr>
        <w:kinsoku/>
        <w:wordWrap/>
        <w:overflowPunct/>
        <w:topLinePunct w:val="0"/>
        <w:autoSpaceDE/>
        <w:autoSpaceDN/>
        <w:bidi w:val="0"/>
        <w:adjustRightInd w:val="0"/>
        <w:snapToGrid w:val="0"/>
        <w:spacing w:line="600" w:lineRule="exact"/>
        <w:ind w:firstLine="640" w:firstLineChars="200"/>
        <w:contextualSpacing/>
        <w:jc w:val="left"/>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color w:val="auto"/>
          <w:kern w:val="0"/>
          <w:sz w:val="32"/>
          <w:szCs w:val="32"/>
          <w:lang w:val="zh-CN" w:eastAsia="zh-CN" w:bidi="ar-SA"/>
        </w:rPr>
        <w:t>此项目资金</w:t>
      </w:r>
      <w:r>
        <w:rPr>
          <w:rFonts w:hint="default" w:ascii="Times New Roman" w:hAnsi="Times New Roman" w:eastAsia="仿宋_GB2312" w:cs="Times New Roman"/>
          <w:color w:val="auto"/>
          <w:kern w:val="0"/>
          <w:sz w:val="32"/>
          <w:szCs w:val="32"/>
          <w:lang w:val="en-US" w:eastAsia="zh-CN" w:bidi="ar-SA"/>
        </w:rPr>
        <w:t>80.41</w:t>
      </w:r>
      <w:r>
        <w:rPr>
          <w:rFonts w:hint="default" w:ascii="Times New Roman" w:hAnsi="Times New Roman" w:eastAsia="仿宋_GB2312" w:cs="Times New Roman"/>
          <w:color w:val="auto"/>
          <w:kern w:val="0"/>
          <w:sz w:val="32"/>
          <w:szCs w:val="32"/>
          <w:lang w:val="zh-CN" w:eastAsia="zh-CN" w:bidi="ar-SA"/>
        </w:rPr>
        <w:t>万元，用于支付入驻政务中心单位租金、物业费及水电费，保障单位正常运转。</w:t>
      </w:r>
    </w:p>
    <w:p w14:paraId="26ECF0DD">
      <w:pPr>
        <w:keepNext w:val="0"/>
        <w:keepLines w:val="0"/>
        <w:pageBreakBefore w:val="0"/>
        <w:widowControl/>
        <w:numPr>
          <w:ilvl w:val="0"/>
          <w:numId w:val="0"/>
        </w:numPr>
        <w:kinsoku/>
        <w:wordWrap/>
        <w:overflowPunct/>
        <w:topLinePunct w:val="0"/>
        <w:autoSpaceDE/>
        <w:autoSpaceDN/>
        <w:bidi w:val="0"/>
        <w:adjustRightInd w:val="0"/>
        <w:snapToGrid w:val="0"/>
        <w:spacing w:line="600" w:lineRule="exact"/>
        <w:ind w:firstLine="643" w:firstLineChars="200"/>
        <w:contextualSpacing/>
        <w:jc w:val="left"/>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b/>
          <w:bCs/>
          <w:color w:val="auto"/>
          <w:kern w:val="0"/>
          <w:sz w:val="32"/>
          <w:szCs w:val="32"/>
          <w:lang w:val="en-US" w:eastAsia="zh-CN" w:bidi="ar-SA"/>
        </w:rPr>
        <w:t>2.</w:t>
      </w:r>
      <w:r>
        <w:rPr>
          <w:rFonts w:hint="default" w:ascii="Times New Roman" w:hAnsi="Times New Roman" w:eastAsia="仿宋_GB2312" w:cs="Times New Roman"/>
          <w:b/>
          <w:bCs/>
          <w:color w:val="auto"/>
          <w:kern w:val="0"/>
          <w:sz w:val="32"/>
          <w:szCs w:val="32"/>
          <w:lang w:val="zh-CN" w:eastAsia="zh-CN" w:bidi="ar-SA"/>
        </w:rPr>
        <w:t>资金到位</w:t>
      </w:r>
    </w:p>
    <w:p w14:paraId="701C11F4">
      <w:pPr>
        <w:keepNext w:val="0"/>
        <w:keepLines w:val="0"/>
        <w:pageBreakBefore w:val="0"/>
        <w:widowControl/>
        <w:numPr>
          <w:ilvl w:val="0"/>
          <w:numId w:val="0"/>
        </w:numPr>
        <w:kinsoku/>
        <w:wordWrap/>
        <w:overflowPunct/>
        <w:topLinePunct w:val="0"/>
        <w:autoSpaceDE/>
        <w:autoSpaceDN/>
        <w:bidi w:val="0"/>
        <w:adjustRightInd w:val="0"/>
        <w:snapToGrid w:val="0"/>
        <w:spacing w:line="600" w:lineRule="exact"/>
        <w:ind w:firstLine="640" w:firstLineChars="200"/>
        <w:contextualSpacing/>
        <w:jc w:val="left"/>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color w:val="auto"/>
          <w:kern w:val="0"/>
          <w:sz w:val="32"/>
          <w:szCs w:val="32"/>
          <w:lang w:val="zh-CN" w:eastAsia="zh-CN" w:bidi="ar-SA"/>
        </w:rPr>
        <w:t>此项目资金</w:t>
      </w:r>
      <w:r>
        <w:rPr>
          <w:rFonts w:hint="default" w:ascii="Times New Roman" w:hAnsi="Times New Roman" w:eastAsia="仿宋_GB2312" w:cs="Times New Roman"/>
          <w:color w:val="auto"/>
          <w:kern w:val="0"/>
          <w:sz w:val="32"/>
          <w:szCs w:val="32"/>
          <w:lang w:val="en-US" w:eastAsia="zh-CN" w:bidi="ar-SA"/>
        </w:rPr>
        <w:t>80.41</w:t>
      </w:r>
      <w:r>
        <w:rPr>
          <w:rFonts w:hint="default" w:ascii="Times New Roman" w:hAnsi="Times New Roman" w:eastAsia="仿宋_GB2312" w:cs="Times New Roman"/>
          <w:color w:val="auto"/>
          <w:kern w:val="0"/>
          <w:sz w:val="32"/>
          <w:szCs w:val="32"/>
          <w:lang w:val="zh-CN" w:eastAsia="zh-CN" w:bidi="ar-SA"/>
        </w:rPr>
        <w:t>万元，202</w:t>
      </w:r>
      <w:r>
        <w:rPr>
          <w:rFonts w:hint="default" w:ascii="Times New Roman" w:hAnsi="Times New Roman" w:eastAsia="仿宋_GB2312" w:cs="Times New Roman"/>
          <w:color w:val="auto"/>
          <w:kern w:val="0"/>
          <w:sz w:val="32"/>
          <w:szCs w:val="32"/>
          <w:lang w:val="en-US" w:eastAsia="zh-CN" w:bidi="ar-SA"/>
        </w:rPr>
        <w:t>5</w:t>
      </w:r>
      <w:r>
        <w:rPr>
          <w:rFonts w:hint="default" w:ascii="Times New Roman" w:hAnsi="Times New Roman" w:eastAsia="仿宋_GB2312" w:cs="Times New Roman"/>
          <w:color w:val="auto"/>
          <w:kern w:val="0"/>
          <w:sz w:val="32"/>
          <w:szCs w:val="32"/>
          <w:lang w:val="zh-CN" w:eastAsia="zh-CN" w:bidi="ar-SA"/>
        </w:rPr>
        <w:t>年年初市级财政批复并下达预算指标，到位率100%。</w:t>
      </w:r>
    </w:p>
    <w:p w14:paraId="6C70E407">
      <w:pPr>
        <w:keepNext w:val="0"/>
        <w:keepLines w:val="0"/>
        <w:pageBreakBefore w:val="0"/>
        <w:widowControl/>
        <w:numPr>
          <w:ilvl w:val="0"/>
          <w:numId w:val="0"/>
        </w:numPr>
        <w:kinsoku/>
        <w:wordWrap/>
        <w:overflowPunct/>
        <w:topLinePunct w:val="0"/>
        <w:autoSpaceDE/>
        <w:autoSpaceDN/>
        <w:bidi w:val="0"/>
        <w:adjustRightInd w:val="0"/>
        <w:snapToGrid w:val="0"/>
        <w:spacing w:line="600" w:lineRule="exact"/>
        <w:ind w:firstLine="643" w:firstLineChars="200"/>
        <w:contextualSpacing/>
        <w:jc w:val="left"/>
        <w:textAlignment w:val="auto"/>
        <w:rPr>
          <w:rFonts w:hint="default" w:ascii="Times New Roman" w:hAnsi="Times New Roman" w:eastAsia="仿宋_GB2312" w:cs="Times New Roman"/>
          <w:color w:val="auto"/>
          <w:kern w:val="0"/>
          <w:sz w:val="32"/>
          <w:szCs w:val="32"/>
          <w:lang w:val="zh-CN" w:eastAsia="zh-CN" w:bidi="ar-SA"/>
        </w:rPr>
      </w:pPr>
      <w:r>
        <w:rPr>
          <w:rFonts w:hint="eastAsia" w:eastAsia="仿宋_GB2312" w:cs="Times New Roman"/>
          <w:b/>
          <w:bCs/>
          <w:color w:val="auto"/>
          <w:kern w:val="0"/>
          <w:sz w:val="32"/>
          <w:szCs w:val="32"/>
          <w:lang w:val="en-US" w:eastAsia="zh-CN" w:bidi="ar-SA"/>
        </w:rPr>
        <w:t>3.</w:t>
      </w:r>
      <w:r>
        <w:rPr>
          <w:rFonts w:hint="default" w:ascii="Times New Roman" w:hAnsi="Times New Roman" w:eastAsia="仿宋_GB2312" w:cs="Times New Roman"/>
          <w:b/>
          <w:bCs/>
          <w:color w:val="auto"/>
          <w:kern w:val="0"/>
          <w:sz w:val="32"/>
          <w:szCs w:val="32"/>
          <w:lang w:val="zh-CN" w:eastAsia="zh-CN" w:bidi="ar-SA"/>
        </w:rPr>
        <w:t>资金使用</w:t>
      </w:r>
    </w:p>
    <w:p w14:paraId="3574C61C">
      <w:pPr>
        <w:keepNext w:val="0"/>
        <w:keepLines w:val="0"/>
        <w:pageBreakBefore w:val="0"/>
        <w:widowControl/>
        <w:numPr>
          <w:ilvl w:val="0"/>
          <w:numId w:val="0"/>
        </w:numPr>
        <w:kinsoku/>
        <w:wordWrap/>
        <w:overflowPunct/>
        <w:topLinePunct w:val="0"/>
        <w:autoSpaceDE/>
        <w:autoSpaceDN/>
        <w:bidi w:val="0"/>
        <w:adjustRightInd w:val="0"/>
        <w:snapToGrid w:val="0"/>
        <w:spacing w:line="600" w:lineRule="exact"/>
        <w:ind w:firstLine="640" w:firstLineChars="200"/>
        <w:contextualSpacing/>
        <w:jc w:val="left"/>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color w:val="auto"/>
          <w:kern w:val="0"/>
          <w:sz w:val="32"/>
          <w:szCs w:val="32"/>
          <w:lang w:val="zh-CN" w:eastAsia="zh-CN" w:bidi="ar-SA"/>
        </w:rPr>
        <w:t>此项目资金主要用于支付入驻政务中心单位租金、物业费及水电费。此项目资金到位后，市社会保险事务中心严格按财经纪律、财务管理等相关规定，严格审核各项支出，及时支付，专款专用，资金支付完成100%。</w:t>
      </w:r>
    </w:p>
    <w:p w14:paraId="6BB2170E">
      <w:pPr>
        <w:keepNext w:val="0"/>
        <w:keepLines w:val="0"/>
        <w:pageBreakBefore w:val="0"/>
        <w:kinsoku/>
        <w:wordWrap/>
        <w:overflowPunct/>
        <w:topLinePunct w:val="0"/>
        <w:autoSpaceDE/>
        <w:autoSpaceDN/>
        <w:bidi w:val="0"/>
        <w:adjustRightInd w:val="0"/>
        <w:snapToGrid w:val="0"/>
        <w:spacing w:line="600" w:lineRule="exact"/>
        <w:ind w:firstLine="720"/>
        <w:textAlignment w:val="auto"/>
        <w:rPr>
          <w:rFonts w:hint="default" w:ascii="Times New Roman" w:hAnsi="Times New Roman" w:eastAsia="楷体_GB2312" w:cs="Times New Roman"/>
          <w:b/>
          <w:bCs/>
          <w:color w:val="000000"/>
          <w:kern w:val="0"/>
          <w:sz w:val="32"/>
          <w:szCs w:val="32"/>
          <w:shd w:val="clear" w:color="auto" w:fill="FFFFFF"/>
          <w:lang w:val="zh-CN"/>
        </w:rPr>
      </w:pPr>
      <w:r>
        <w:rPr>
          <w:rFonts w:hint="default" w:ascii="Times New Roman" w:hAnsi="Times New Roman" w:eastAsia="楷体_GB2312" w:cs="Times New Roman"/>
          <w:b/>
          <w:bCs/>
          <w:color w:val="000000"/>
          <w:kern w:val="0"/>
          <w:sz w:val="32"/>
          <w:szCs w:val="32"/>
          <w:shd w:val="clear" w:color="auto" w:fill="FFFFFF"/>
          <w:lang w:val="zh-CN"/>
        </w:rPr>
        <w:t>（三）项目财务管理情况</w:t>
      </w:r>
    </w:p>
    <w:p w14:paraId="6D7B4DFF">
      <w:pPr>
        <w:keepNext w:val="0"/>
        <w:keepLines w:val="0"/>
        <w:pageBreakBefore w:val="0"/>
        <w:widowControl/>
        <w:numPr>
          <w:ilvl w:val="0"/>
          <w:numId w:val="0"/>
        </w:numPr>
        <w:kinsoku/>
        <w:wordWrap/>
        <w:overflowPunct/>
        <w:topLinePunct w:val="0"/>
        <w:autoSpaceDE/>
        <w:autoSpaceDN/>
        <w:bidi w:val="0"/>
        <w:adjustRightInd w:val="0"/>
        <w:snapToGrid w:val="0"/>
        <w:spacing w:line="600" w:lineRule="exact"/>
        <w:ind w:firstLine="640" w:firstLineChars="200"/>
        <w:contextualSpacing/>
        <w:jc w:val="left"/>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color w:val="auto"/>
          <w:kern w:val="0"/>
          <w:sz w:val="32"/>
          <w:szCs w:val="32"/>
          <w:lang w:val="zh-CN" w:eastAsia="zh-CN" w:bidi="ar-SA"/>
        </w:rPr>
        <w:t>市社会保险事务中心建立了财务管理制度，由办公室统一管理</w:t>
      </w:r>
      <w:r>
        <w:rPr>
          <w:rFonts w:hint="default" w:ascii="Times New Roman" w:hAnsi="Times New Roman" w:eastAsia="仿宋_GB2312" w:cs="Times New Roman"/>
          <w:color w:val="auto"/>
          <w:kern w:val="0"/>
          <w:sz w:val="32"/>
          <w:szCs w:val="32"/>
          <w:lang w:val="en-US" w:eastAsia="zh-CN" w:bidi="ar-SA"/>
        </w:rPr>
        <w:t xml:space="preserve"> </w:t>
      </w:r>
      <w:r>
        <w:rPr>
          <w:rFonts w:hint="default" w:ascii="Times New Roman" w:hAnsi="Times New Roman" w:eastAsia="仿宋_GB2312" w:cs="Times New Roman"/>
          <w:color w:val="auto"/>
          <w:kern w:val="0"/>
          <w:sz w:val="32"/>
          <w:szCs w:val="32"/>
          <w:lang w:val="zh-CN" w:eastAsia="zh-CN" w:bidi="ar-SA"/>
        </w:rPr>
        <w:t>“社保公共服务能力建设资金”项目资金，严格按照上级要求上报资金使用计划，并在实施过程中做到资金专项专用。所有支出严格按照财务会计管理规定，做到资金使用有计划、审批有手续、支出合理规范。并及时进行账务处理和会计核算，按财政要求及时编制和公开项目资金绩效目标。</w:t>
      </w:r>
    </w:p>
    <w:p w14:paraId="67BAC55F">
      <w:pPr>
        <w:keepNext w:val="0"/>
        <w:keepLines w:val="0"/>
        <w:pageBreakBefore w:val="0"/>
        <w:kinsoku/>
        <w:wordWrap/>
        <w:overflowPunct/>
        <w:topLinePunct w:val="0"/>
        <w:autoSpaceDE/>
        <w:autoSpaceDN/>
        <w:bidi w:val="0"/>
        <w:adjustRightInd w:val="0"/>
        <w:snapToGrid w:val="0"/>
        <w:spacing w:line="600" w:lineRule="exact"/>
        <w:ind w:firstLine="720"/>
        <w:textAlignment w:val="auto"/>
        <w:rPr>
          <w:rFonts w:hint="default" w:ascii="Times New Roman" w:hAnsi="Times New Roman" w:eastAsia="黑体" w:cs="Times New Roman"/>
          <w:sz w:val="32"/>
        </w:rPr>
      </w:pPr>
      <w:r>
        <w:rPr>
          <w:rFonts w:hint="default" w:ascii="Times New Roman" w:hAnsi="Times New Roman" w:eastAsia="黑体" w:cs="Times New Roman"/>
          <w:sz w:val="32"/>
        </w:rPr>
        <w:t>三、项目实施及管理情况</w:t>
      </w:r>
    </w:p>
    <w:p w14:paraId="50E0586A">
      <w:pPr>
        <w:keepNext w:val="0"/>
        <w:keepLines w:val="0"/>
        <w:pageBreakBefore w:val="0"/>
        <w:kinsoku/>
        <w:wordWrap/>
        <w:overflowPunct/>
        <w:topLinePunct w:val="0"/>
        <w:autoSpaceDE/>
        <w:autoSpaceDN/>
        <w:bidi w:val="0"/>
        <w:adjustRightInd w:val="0"/>
        <w:snapToGrid w:val="0"/>
        <w:spacing w:line="600" w:lineRule="exact"/>
        <w:ind w:firstLine="720"/>
        <w:textAlignment w:val="auto"/>
        <w:rPr>
          <w:rFonts w:hint="default" w:ascii="Times New Roman" w:hAnsi="Times New Roman" w:eastAsia="楷体_GB2312" w:cs="Times New Roman"/>
          <w:b/>
          <w:bCs/>
          <w:color w:val="000000"/>
          <w:kern w:val="0"/>
          <w:sz w:val="32"/>
          <w:szCs w:val="32"/>
          <w:shd w:val="clear" w:color="auto" w:fill="FFFFFF"/>
          <w:lang w:val="zh-CN"/>
        </w:rPr>
      </w:pPr>
      <w:r>
        <w:rPr>
          <w:rFonts w:hint="default" w:ascii="Times New Roman" w:hAnsi="Times New Roman" w:eastAsia="楷体_GB2312" w:cs="Times New Roman"/>
          <w:b/>
          <w:bCs/>
          <w:color w:val="000000"/>
          <w:kern w:val="0"/>
          <w:sz w:val="32"/>
          <w:szCs w:val="32"/>
          <w:shd w:val="clear" w:color="auto" w:fill="FFFFFF"/>
          <w:lang w:val="zh-CN"/>
        </w:rPr>
        <w:t>（</w:t>
      </w:r>
      <w:r>
        <w:rPr>
          <w:rFonts w:hint="default" w:ascii="Times New Roman" w:hAnsi="Times New Roman" w:eastAsia="楷体_GB2312" w:cs="Times New Roman"/>
          <w:b/>
          <w:bCs/>
          <w:color w:val="000000"/>
          <w:kern w:val="0"/>
          <w:sz w:val="32"/>
          <w:szCs w:val="32"/>
          <w:shd w:val="clear" w:color="auto" w:fill="FFFFFF"/>
          <w:lang w:val="en-US" w:eastAsia="zh-CN"/>
        </w:rPr>
        <w:t>一</w:t>
      </w:r>
      <w:r>
        <w:rPr>
          <w:rFonts w:hint="default" w:ascii="Times New Roman" w:hAnsi="Times New Roman" w:eastAsia="楷体_GB2312" w:cs="Times New Roman"/>
          <w:b/>
          <w:bCs/>
          <w:color w:val="000000"/>
          <w:kern w:val="0"/>
          <w:sz w:val="32"/>
          <w:szCs w:val="32"/>
          <w:shd w:val="clear" w:color="auto" w:fill="FFFFFF"/>
          <w:lang w:val="zh-CN"/>
        </w:rPr>
        <w:t>）项目组织架构及实施流程</w:t>
      </w:r>
    </w:p>
    <w:p w14:paraId="6763A57A">
      <w:pPr>
        <w:keepNext w:val="0"/>
        <w:keepLines w:val="0"/>
        <w:pageBreakBefore w:val="0"/>
        <w:widowControl/>
        <w:numPr>
          <w:ilvl w:val="0"/>
          <w:numId w:val="0"/>
        </w:numPr>
        <w:kinsoku/>
        <w:wordWrap/>
        <w:overflowPunct/>
        <w:topLinePunct w:val="0"/>
        <w:autoSpaceDE/>
        <w:autoSpaceDN/>
        <w:bidi w:val="0"/>
        <w:adjustRightInd w:val="0"/>
        <w:snapToGrid w:val="0"/>
        <w:spacing w:line="600" w:lineRule="exact"/>
        <w:ind w:firstLine="640" w:firstLineChars="200"/>
        <w:contextualSpacing/>
        <w:jc w:val="left"/>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color w:val="auto"/>
          <w:kern w:val="0"/>
          <w:sz w:val="32"/>
          <w:szCs w:val="32"/>
          <w:lang w:val="zh-CN" w:eastAsia="zh-CN" w:bidi="ar-SA"/>
        </w:rPr>
        <w:t>办公室在部门预算中申报项目资金，并制定绩效目标；按照项目执行情况在“预算管理一体化系统”中完成资金的申请和支付。</w:t>
      </w:r>
      <w:r>
        <w:rPr>
          <w:rFonts w:hint="default" w:ascii="Times New Roman" w:hAnsi="Times New Roman" w:eastAsia="仿宋_GB2312" w:cs="Times New Roman"/>
          <w:color w:val="auto"/>
          <w:kern w:val="0"/>
          <w:sz w:val="32"/>
          <w:szCs w:val="32"/>
          <w:lang w:val="en-US" w:eastAsia="zh-CN" w:bidi="ar-SA"/>
        </w:rPr>
        <w:t>稽核科成立项目督导检查工作小组，不定期对项目执行进度情况进行督导检查</w:t>
      </w:r>
      <w:r>
        <w:rPr>
          <w:rFonts w:hint="default" w:ascii="Times New Roman" w:hAnsi="Times New Roman" w:eastAsia="仿宋_GB2312" w:cs="Times New Roman"/>
          <w:color w:val="auto"/>
          <w:kern w:val="0"/>
          <w:sz w:val="32"/>
          <w:szCs w:val="32"/>
          <w:lang w:val="zh-CN" w:eastAsia="zh-CN" w:bidi="ar-SA"/>
        </w:rPr>
        <w:t>。</w:t>
      </w:r>
    </w:p>
    <w:p w14:paraId="6C8ED523">
      <w:pPr>
        <w:keepNext w:val="0"/>
        <w:keepLines w:val="0"/>
        <w:pageBreakBefore w:val="0"/>
        <w:kinsoku/>
        <w:wordWrap/>
        <w:overflowPunct/>
        <w:topLinePunct w:val="0"/>
        <w:autoSpaceDE/>
        <w:autoSpaceDN/>
        <w:bidi w:val="0"/>
        <w:adjustRightInd w:val="0"/>
        <w:snapToGrid w:val="0"/>
        <w:spacing w:line="600" w:lineRule="exact"/>
        <w:ind w:firstLine="720"/>
        <w:textAlignment w:val="auto"/>
        <w:rPr>
          <w:rFonts w:hint="default" w:ascii="Times New Roman" w:hAnsi="Times New Roman" w:eastAsia="楷体_GB2312" w:cs="Times New Roman"/>
          <w:b/>
          <w:bCs/>
          <w:color w:val="000000"/>
          <w:kern w:val="0"/>
          <w:sz w:val="32"/>
          <w:szCs w:val="32"/>
          <w:shd w:val="clear" w:color="auto" w:fill="FFFFFF"/>
          <w:lang w:val="zh-CN"/>
        </w:rPr>
      </w:pPr>
      <w:r>
        <w:rPr>
          <w:rFonts w:hint="default" w:ascii="Times New Roman" w:hAnsi="Times New Roman" w:eastAsia="楷体_GB2312" w:cs="Times New Roman"/>
          <w:b/>
          <w:bCs/>
          <w:color w:val="000000"/>
          <w:kern w:val="0"/>
          <w:sz w:val="32"/>
          <w:szCs w:val="32"/>
          <w:shd w:val="clear" w:color="auto" w:fill="FFFFFF"/>
          <w:lang w:val="zh-CN"/>
        </w:rPr>
        <w:t>（</w:t>
      </w:r>
      <w:r>
        <w:rPr>
          <w:rFonts w:hint="default" w:ascii="Times New Roman" w:hAnsi="Times New Roman" w:eastAsia="楷体_GB2312" w:cs="Times New Roman"/>
          <w:b/>
          <w:bCs/>
          <w:color w:val="000000"/>
          <w:kern w:val="0"/>
          <w:sz w:val="32"/>
          <w:szCs w:val="32"/>
          <w:shd w:val="clear" w:color="auto" w:fill="FFFFFF"/>
          <w:lang w:val="en-US" w:eastAsia="zh-CN"/>
        </w:rPr>
        <w:t>二</w:t>
      </w:r>
      <w:r>
        <w:rPr>
          <w:rFonts w:hint="default" w:ascii="Times New Roman" w:hAnsi="Times New Roman" w:eastAsia="楷体_GB2312" w:cs="Times New Roman"/>
          <w:b/>
          <w:bCs/>
          <w:color w:val="000000"/>
          <w:kern w:val="0"/>
          <w:sz w:val="32"/>
          <w:szCs w:val="32"/>
          <w:shd w:val="clear" w:color="auto" w:fill="FFFFFF"/>
          <w:lang w:val="zh-CN"/>
        </w:rPr>
        <w:t>）项目管理情况</w:t>
      </w:r>
    </w:p>
    <w:p w14:paraId="22799497">
      <w:pPr>
        <w:keepNext w:val="0"/>
        <w:keepLines w:val="0"/>
        <w:pageBreakBefore w:val="0"/>
        <w:widowControl/>
        <w:numPr>
          <w:ilvl w:val="0"/>
          <w:numId w:val="0"/>
        </w:numPr>
        <w:kinsoku/>
        <w:wordWrap/>
        <w:overflowPunct/>
        <w:topLinePunct w:val="0"/>
        <w:autoSpaceDE/>
        <w:autoSpaceDN/>
        <w:bidi w:val="0"/>
        <w:adjustRightInd w:val="0"/>
        <w:snapToGrid w:val="0"/>
        <w:spacing w:line="600" w:lineRule="exact"/>
        <w:ind w:firstLine="640" w:firstLineChars="200"/>
        <w:contextualSpacing/>
        <w:jc w:val="left"/>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color w:val="auto"/>
          <w:kern w:val="0"/>
          <w:sz w:val="32"/>
          <w:szCs w:val="32"/>
          <w:lang w:val="zh-CN" w:eastAsia="zh-CN" w:bidi="ar-SA"/>
        </w:rPr>
        <w:t>市社会保险事务中心严格按财经纪律、财务管理等相关规定，严格审核，及时支付，专款专用。</w:t>
      </w:r>
    </w:p>
    <w:p w14:paraId="727FEFD7">
      <w:pPr>
        <w:keepNext w:val="0"/>
        <w:keepLines w:val="0"/>
        <w:pageBreakBefore w:val="0"/>
        <w:kinsoku/>
        <w:wordWrap/>
        <w:overflowPunct/>
        <w:topLinePunct w:val="0"/>
        <w:autoSpaceDE/>
        <w:autoSpaceDN/>
        <w:bidi w:val="0"/>
        <w:adjustRightInd w:val="0"/>
        <w:snapToGrid w:val="0"/>
        <w:spacing w:line="600" w:lineRule="exact"/>
        <w:ind w:firstLine="720"/>
        <w:textAlignment w:val="auto"/>
        <w:rPr>
          <w:rFonts w:hint="default" w:ascii="Times New Roman" w:hAnsi="Times New Roman" w:eastAsia="楷体_GB2312" w:cs="Times New Roman"/>
          <w:b/>
          <w:bCs/>
          <w:color w:val="000000"/>
          <w:kern w:val="0"/>
          <w:sz w:val="32"/>
          <w:szCs w:val="32"/>
          <w:shd w:val="clear" w:color="auto" w:fill="FFFFFF"/>
          <w:lang w:val="zh-CN"/>
        </w:rPr>
      </w:pPr>
      <w:r>
        <w:rPr>
          <w:rFonts w:hint="default" w:ascii="Times New Roman" w:hAnsi="Times New Roman" w:eastAsia="楷体_GB2312" w:cs="Times New Roman"/>
          <w:b/>
          <w:bCs/>
          <w:color w:val="000000"/>
          <w:kern w:val="0"/>
          <w:sz w:val="32"/>
          <w:szCs w:val="32"/>
          <w:shd w:val="clear" w:color="auto" w:fill="FFFFFF"/>
          <w:lang w:val="zh-CN"/>
        </w:rPr>
        <w:t>（三）项目监管情况</w:t>
      </w:r>
    </w:p>
    <w:p w14:paraId="5721833B">
      <w:pPr>
        <w:keepNext w:val="0"/>
        <w:keepLines w:val="0"/>
        <w:pageBreakBefore w:val="0"/>
        <w:widowControl/>
        <w:numPr>
          <w:ilvl w:val="0"/>
          <w:numId w:val="0"/>
        </w:numPr>
        <w:kinsoku/>
        <w:wordWrap/>
        <w:overflowPunct/>
        <w:topLinePunct w:val="0"/>
        <w:autoSpaceDE/>
        <w:autoSpaceDN/>
        <w:bidi w:val="0"/>
        <w:adjustRightInd w:val="0"/>
        <w:snapToGrid w:val="0"/>
        <w:spacing w:line="600" w:lineRule="exact"/>
        <w:ind w:firstLine="640" w:firstLineChars="200"/>
        <w:contextualSpacing/>
        <w:jc w:val="left"/>
        <w:textAlignment w:val="auto"/>
        <w:rPr>
          <w:rFonts w:hint="default" w:ascii="Times New Roman" w:hAnsi="Times New Roman" w:eastAsia="仿宋_GB2312" w:cs="Times New Roman"/>
          <w:color w:val="auto"/>
          <w:kern w:val="0"/>
          <w:sz w:val="32"/>
          <w:szCs w:val="32"/>
          <w:lang w:val="en-US" w:eastAsia="zh-CN" w:bidi="ar-SA"/>
        </w:rPr>
      </w:pPr>
      <w:r>
        <w:rPr>
          <w:rFonts w:hint="default" w:ascii="Times New Roman" w:hAnsi="Times New Roman" w:eastAsia="仿宋_GB2312" w:cs="Times New Roman"/>
          <w:color w:val="auto"/>
          <w:kern w:val="0"/>
          <w:sz w:val="32"/>
          <w:szCs w:val="32"/>
          <w:lang w:val="en-US" w:eastAsia="zh-CN" w:bidi="ar-SA"/>
        </w:rPr>
        <w:t>市社会保险事务中心稽核科成立项目督导检查工作小组，不定期对项目执行进度情况进行督导检查，对检查过程中发现的问题及时督促整改，确保了项目按时保质完成。</w:t>
      </w:r>
    </w:p>
    <w:p w14:paraId="50D87597">
      <w:pPr>
        <w:keepNext w:val="0"/>
        <w:keepLines w:val="0"/>
        <w:pageBreakBefore w:val="0"/>
        <w:kinsoku/>
        <w:wordWrap/>
        <w:overflowPunct/>
        <w:topLinePunct w:val="0"/>
        <w:autoSpaceDE/>
        <w:autoSpaceDN/>
        <w:bidi w:val="0"/>
        <w:adjustRightInd w:val="0"/>
        <w:snapToGrid w:val="0"/>
        <w:spacing w:line="600" w:lineRule="exact"/>
        <w:ind w:firstLine="720"/>
        <w:textAlignment w:val="auto"/>
        <w:rPr>
          <w:rFonts w:hint="default" w:ascii="Times New Roman" w:hAnsi="Times New Roman" w:eastAsia="黑体" w:cs="Times New Roman"/>
          <w:sz w:val="32"/>
          <w:lang w:val="zh-CN"/>
        </w:rPr>
      </w:pPr>
      <w:r>
        <w:rPr>
          <w:rFonts w:hint="default" w:ascii="Times New Roman" w:hAnsi="Times New Roman" w:eastAsia="黑体" w:cs="Times New Roman"/>
          <w:sz w:val="32"/>
        </w:rPr>
        <w:t>四、项目绩效情况</w:t>
      </w:r>
      <w:r>
        <w:rPr>
          <w:rFonts w:hint="default" w:ascii="Times New Roman" w:hAnsi="Times New Roman" w:eastAsia="黑体" w:cs="Times New Roman"/>
          <w:sz w:val="32"/>
          <w:lang w:val="zh-CN"/>
        </w:rPr>
        <w:tab/>
      </w:r>
    </w:p>
    <w:p w14:paraId="4159D69E">
      <w:pPr>
        <w:keepNext w:val="0"/>
        <w:keepLines w:val="0"/>
        <w:pageBreakBefore w:val="0"/>
        <w:kinsoku/>
        <w:wordWrap/>
        <w:overflowPunct/>
        <w:topLinePunct w:val="0"/>
        <w:autoSpaceDE/>
        <w:autoSpaceDN/>
        <w:bidi w:val="0"/>
        <w:adjustRightInd w:val="0"/>
        <w:snapToGrid w:val="0"/>
        <w:spacing w:line="600" w:lineRule="exact"/>
        <w:ind w:firstLine="720"/>
        <w:textAlignment w:val="auto"/>
        <w:rPr>
          <w:rFonts w:hint="default" w:ascii="Times New Roman" w:hAnsi="Times New Roman" w:eastAsia="楷体_GB2312" w:cs="Times New Roman"/>
          <w:b/>
          <w:bCs/>
          <w:color w:val="000000"/>
          <w:kern w:val="0"/>
          <w:sz w:val="32"/>
          <w:szCs w:val="32"/>
          <w:shd w:val="clear" w:color="auto" w:fill="FFFFFF"/>
          <w:lang w:val="zh-CN"/>
        </w:rPr>
      </w:pPr>
      <w:r>
        <w:rPr>
          <w:rFonts w:hint="default" w:ascii="Times New Roman" w:hAnsi="Times New Roman" w:eastAsia="楷体_GB2312" w:cs="Times New Roman"/>
          <w:b/>
          <w:bCs/>
          <w:color w:val="000000"/>
          <w:kern w:val="0"/>
          <w:sz w:val="32"/>
          <w:szCs w:val="32"/>
          <w:shd w:val="clear" w:color="auto" w:fill="FFFFFF"/>
          <w:lang w:val="zh-CN"/>
        </w:rPr>
        <w:t>（一）项目完成情况</w:t>
      </w:r>
    </w:p>
    <w:p w14:paraId="67E14E93">
      <w:pPr>
        <w:keepNext w:val="0"/>
        <w:keepLines w:val="0"/>
        <w:pageBreakBefore w:val="0"/>
        <w:widowControl/>
        <w:numPr>
          <w:ilvl w:val="0"/>
          <w:numId w:val="0"/>
        </w:numPr>
        <w:kinsoku/>
        <w:wordWrap/>
        <w:overflowPunct/>
        <w:topLinePunct w:val="0"/>
        <w:autoSpaceDE/>
        <w:autoSpaceDN/>
        <w:bidi w:val="0"/>
        <w:adjustRightInd w:val="0"/>
        <w:snapToGrid w:val="0"/>
        <w:spacing w:line="600" w:lineRule="exact"/>
        <w:ind w:firstLine="640" w:firstLineChars="200"/>
        <w:contextualSpacing/>
        <w:jc w:val="left"/>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sz w:val="32"/>
          <w:szCs w:val="32"/>
        </w:rPr>
        <w:t>“</w:t>
      </w:r>
      <w:r>
        <w:rPr>
          <w:rFonts w:hint="default" w:ascii="Times New Roman" w:hAnsi="Times New Roman" w:eastAsia="仿宋_GB2312" w:cs="Times New Roman"/>
          <w:color w:val="auto"/>
          <w:kern w:val="0"/>
          <w:sz w:val="32"/>
          <w:szCs w:val="32"/>
          <w:lang w:val="en-US" w:eastAsia="zh-CN" w:bidi="ar-SA"/>
        </w:rPr>
        <w:t>入驻政务中心单位租金、物业费及水电费”项目在当期完成了项目的总体实施，执行率100%。</w:t>
      </w:r>
    </w:p>
    <w:p w14:paraId="40A228F2">
      <w:pPr>
        <w:keepNext w:val="0"/>
        <w:keepLines w:val="0"/>
        <w:pageBreakBefore w:val="0"/>
        <w:widowControl/>
        <w:numPr>
          <w:ilvl w:val="0"/>
          <w:numId w:val="0"/>
        </w:numPr>
        <w:kinsoku/>
        <w:wordWrap/>
        <w:overflowPunct/>
        <w:topLinePunct w:val="0"/>
        <w:autoSpaceDE/>
        <w:autoSpaceDN/>
        <w:bidi w:val="0"/>
        <w:adjustRightInd w:val="0"/>
        <w:snapToGrid w:val="0"/>
        <w:spacing w:line="600" w:lineRule="exact"/>
        <w:ind w:firstLine="640" w:firstLineChars="200"/>
        <w:contextualSpacing/>
        <w:jc w:val="left"/>
        <w:textAlignment w:val="auto"/>
        <w:rPr>
          <w:rFonts w:hint="default" w:ascii="Times New Roman" w:hAnsi="Times New Roman" w:eastAsia="仿宋_GB2312" w:cs="Times New Roman"/>
          <w:color w:val="auto"/>
          <w:kern w:val="0"/>
          <w:sz w:val="32"/>
          <w:szCs w:val="32"/>
          <w:lang w:val="en-US" w:eastAsia="zh-CN" w:bidi="ar-SA"/>
        </w:rPr>
      </w:pPr>
      <w:r>
        <w:rPr>
          <w:rFonts w:hint="eastAsia" w:eastAsia="仿宋_GB2312" w:cs="Times New Roman"/>
          <w:color w:val="auto"/>
          <w:kern w:val="0"/>
          <w:sz w:val="32"/>
          <w:szCs w:val="32"/>
          <w:lang w:val="en-US" w:eastAsia="zh-CN" w:bidi="ar-SA"/>
        </w:rPr>
        <w:t>1.</w:t>
      </w:r>
      <w:r>
        <w:rPr>
          <w:rFonts w:hint="default" w:ascii="Times New Roman" w:hAnsi="Times New Roman" w:eastAsia="仿宋_GB2312" w:cs="Times New Roman"/>
          <w:color w:val="auto"/>
          <w:kern w:val="0"/>
          <w:sz w:val="32"/>
          <w:szCs w:val="32"/>
          <w:lang w:val="en-US" w:eastAsia="zh-CN" w:bidi="ar-SA"/>
        </w:rPr>
        <w:t>数量指标：按季度缴纳</w:t>
      </w:r>
      <w:r>
        <w:rPr>
          <w:rFonts w:hint="eastAsia" w:eastAsia="仿宋_GB2312" w:cs="Times New Roman"/>
          <w:color w:val="auto"/>
          <w:kern w:val="0"/>
          <w:sz w:val="32"/>
          <w:szCs w:val="32"/>
          <w:lang w:val="en-US" w:eastAsia="zh-CN" w:bidi="ar-SA"/>
        </w:rPr>
        <w:t>，</w:t>
      </w:r>
      <w:r>
        <w:rPr>
          <w:rFonts w:hint="default" w:ascii="Times New Roman" w:hAnsi="Times New Roman" w:eastAsia="仿宋_GB2312" w:cs="Times New Roman"/>
          <w:color w:val="auto"/>
          <w:kern w:val="0"/>
          <w:sz w:val="32"/>
          <w:szCs w:val="32"/>
          <w:lang w:val="en-US" w:eastAsia="zh-CN" w:bidi="ar-SA"/>
        </w:rPr>
        <w:t>4次/年。</w:t>
      </w:r>
    </w:p>
    <w:p w14:paraId="6FB72258">
      <w:pPr>
        <w:keepNext w:val="0"/>
        <w:keepLines w:val="0"/>
        <w:pageBreakBefore w:val="0"/>
        <w:widowControl/>
        <w:numPr>
          <w:ilvl w:val="0"/>
          <w:numId w:val="0"/>
        </w:numPr>
        <w:kinsoku/>
        <w:wordWrap/>
        <w:overflowPunct/>
        <w:topLinePunct w:val="0"/>
        <w:autoSpaceDE/>
        <w:autoSpaceDN/>
        <w:bidi w:val="0"/>
        <w:adjustRightInd w:val="0"/>
        <w:snapToGrid w:val="0"/>
        <w:spacing w:line="600" w:lineRule="exact"/>
        <w:ind w:firstLine="640" w:firstLineChars="200"/>
        <w:contextualSpacing/>
        <w:jc w:val="left"/>
        <w:textAlignment w:val="auto"/>
        <w:rPr>
          <w:rFonts w:hint="default" w:ascii="Times New Roman" w:hAnsi="Times New Roman" w:eastAsia="仿宋_GB2312" w:cs="Times New Roman"/>
          <w:color w:val="auto"/>
          <w:kern w:val="0"/>
          <w:sz w:val="32"/>
          <w:szCs w:val="32"/>
          <w:lang w:val="en-US" w:eastAsia="zh-CN" w:bidi="ar-SA"/>
        </w:rPr>
      </w:pPr>
      <w:r>
        <w:rPr>
          <w:rFonts w:hint="eastAsia" w:eastAsia="仿宋_GB2312" w:cs="Times New Roman"/>
          <w:color w:val="auto"/>
          <w:kern w:val="0"/>
          <w:sz w:val="32"/>
          <w:szCs w:val="32"/>
          <w:lang w:val="en-US" w:eastAsia="zh-CN" w:bidi="ar-SA"/>
        </w:rPr>
        <w:t>2.</w:t>
      </w:r>
      <w:r>
        <w:rPr>
          <w:rFonts w:hint="default" w:ascii="Times New Roman" w:hAnsi="Times New Roman" w:eastAsia="仿宋_GB2312" w:cs="Times New Roman"/>
          <w:color w:val="auto"/>
          <w:kern w:val="0"/>
          <w:sz w:val="32"/>
          <w:szCs w:val="32"/>
          <w:lang w:val="en-US" w:eastAsia="zh-CN" w:bidi="ar-SA"/>
        </w:rPr>
        <w:t>质量指标：全额缴纳100%。</w:t>
      </w:r>
    </w:p>
    <w:p w14:paraId="1054945E">
      <w:pPr>
        <w:keepNext w:val="0"/>
        <w:keepLines w:val="0"/>
        <w:pageBreakBefore w:val="0"/>
        <w:widowControl/>
        <w:numPr>
          <w:ilvl w:val="0"/>
          <w:numId w:val="0"/>
        </w:numPr>
        <w:kinsoku/>
        <w:wordWrap/>
        <w:overflowPunct/>
        <w:topLinePunct w:val="0"/>
        <w:autoSpaceDE/>
        <w:autoSpaceDN/>
        <w:bidi w:val="0"/>
        <w:adjustRightInd w:val="0"/>
        <w:snapToGrid w:val="0"/>
        <w:spacing w:line="600" w:lineRule="exact"/>
        <w:ind w:firstLine="640" w:firstLineChars="200"/>
        <w:contextualSpacing/>
        <w:jc w:val="left"/>
        <w:textAlignment w:val="auto"/>
        <w:rPr>
          <w:rFonts w:hint="default" w:ascii="Times New Roman" w:hAnsi="Times New Roman" w:eastAsia="仿宋_GB2312" w:cs="Times New Roman"/>
          <w:color w:val="auto"/>
          <w:kern w:val="0"/>
          <w:sz w:val="32"/>
          <w:szCs w:val="32"/>
          <w:lang w:val="en-US" w:eastAsia="zh-CN" w:bidi="ar-SA"/>
        </w:rPr>
      </w:pPr>
      <w:r>
        <w:rPr>
          <w:rFonts w:hint="eastAsia" w:eastAsia="仿宋_GB2312" w:cs="Times New Roman"/>
          <w:color w:val="auto"/>
          <w:kern w:val="0"/>
          <w:sz w:val="32"/>
          <w:szCs w:val="32"/>
          <w:lang w:val="en-US" w:eastAsia="zh-CN" w:bidi="ar-SA"/>
        </w:rPr>
        <w:t>3.</w:t>
      </w:r>
      <w:r>
        <w:rPr>
          <w:rFonts w:hint="default" w:ascii="Times New Roman" w:hAnsi="Times New Roman" w:eastAsia="仿宋_GB2312" w:cs="Times New Roman"/>
          <w:color w:val="auto"/>
          <w:kern w:val="0"/>
          <w:sz w:val="32"/>
          <w:szCs w:val="32"/>
          <w:lang w:val="en-US" w:eastAsia="zh-CN" w:bidi="ar-SA"/>
        </w:rPr>
        <w:t>时效指标：资金支付及时率100%。</w:t>
      </w:r>
    </w:p>
    <w:p w14:paraId="477D9C8C">
      <w:pPr>
        <w:keepNext w:val="0"/>
        <w:keepLines w:val="0"/>
        <w:pageBreakBefore w:val="0"/>
        <w:widowControl/>
        <w:numPr>
          <w:ilvl w:val="0"/>
          <w:numId w:val="0"/>
        </w:numPr>
        <w:kinsoku/>
        <w:wordWrap/>
        <w:overflowPunct/>
        <w:topLinePunct w:val="0"/>
        <w:autoSpaceDE/>
        <w:autoSpaceDN/>
        <w:bidi w:val="0"/>
        <w:adjustRightInd w:val="0"/>
        <w:snapToGrid w:val="0"/>
        <w:spacing w:line="600" w:lineRule="exact"/>
        <w:ind w:firstLine="640" w:firstLineChars="200"/>
        <w:contextualSpacing/>
        <w:jc w:val="left"/>
        <w:textAlignment w:val="auto"/>
        <w:rPr>
          <w:rFonts w:hint="default" w:ascii="Times New Roman" w:hAnsi="Times New Roman" w:eastAsia="仿宋_GB2312" w:cs="Times New Roman"/>
          <w:color w:val="auto"/>
          <w:kern w:val="0"/>
          <w:sz w:val="32"/>
          <w:szCs w:val="32"/>
          <w:lang w:val="en-US" w:eastAsia="zh-CN" w:bidi="ar-SA"/>
        </w:rPr>
      </w:pPr>
      <w:r>
        <w:rPr>
          <w:rFonts w:hint="eastAsia" w:eastAsia="仿宋_GB2312" w:cs="Times New Roman"/>
          <w:color w:val="auto"/>
          <w:kern w:val="0"/>
          <w:sz w:val="32"/>
          <w:szCs w:val="32"/>
          <w:lang w:val="en-US" w:eastAsia="zh-CN" w:bidi="ar-SA"/>
        </w:rPr>
        <w:t>4.</w:t>
      </w:r>
      <w:r>
        <w:rPr>
          <w:rFonts w:hint="default" w:ascii="Times New Roman" w:hAnsi="Times New Roman" w:eastAsia="仿宋_GB2312" w:cs="Times New Roman"/>
          <w:color w:val="auto"/>
          <w:kern w:val="0"/>
          <w:sz w:val="32"/>
          <w:szCs w:val="32"/>
          <w:lang w:val="en-US" w:eastAsia="zh-CN" w:bidi="ar-SA"/>
        </w:rPr>
        <w:t>成本指标：入驻政务中心单位租金、物业费及水电费804089.4元/年。</w:t>
      </w:r>
    </w:p>
    <w:p w14:paraId="5B4D4587">
      <w:pPr>
        <w:keepNext w:val="0"/>
        <w:keepLines w:val="0"/>
        <w:pageBreakBefore w:val="0"/>
        <w:widowControl/>
        <w:numPr>
          <w:ilvl w:val="0"/>
          <w:numId w:val="0"/>
        </w:numPr>
        <w:kinsoku/>
        <w:wordWrap/>
        <w:overflowPunct/>
        <w:topLinePunct w:val="0"/>
        <w:autoSpaceDE/>
        <w:autoSpaceDN/>
        <w:bidi w:val="0"/>
        <w:adjustRightInd w:val="0"/>
        <w:snapToGrid w:val="0"/>
        <w:spacing w:line="600" w:lineRule="exact"/>
        <w:ind w:firstLine="640" w:firstLineChars="200"/>
        <w:contextualSpacing/>
        <w:jc w:val="left"/>
        <w:textAlignment w:val="auto"/>
        <w:rPr>
          <w:rFonts w:hint="default" w:ascii="Times New Roman" w:hAnsi="Times New Roman" w:eastAsia="仿宋_GB2312" w:cs="Times New Roman"/>
          <w:color w:val="auto"/>
          <w:kern w:val="0"/>
          <w:sz w:val="32"/>
          <w:szCs w:val="32"/>
          <w:lang w:val="en-US" w:eastAsia="zh-CN" w:bidi="ar-SA"/>
        </w:rPr>
      </w:pPr>
      <w:r>
        <w:rPr>
          <w:rFonts w:hint="eastAsia" w:eastAsia="仿宋_GB2312" w:cs="Times New Roman"/>
          <w:color w:val="auto"/>
          <w:kern w:val="0"/>
          <w:sz w:val="32"/>
          <w:szCs w:val="32"/>
          <w:lang w:val="en-US" w:eastAsia="zh-CN" w:bidi="ar-SA"/>
        </w:rPr>
        <w:t>5.</w:t>
      </w:r>
      <w:r>
        <w:rPr>
          <w:rFonts w:hint="default" w:ascii="Times New Roman" w:hAnsi="Times New Roman" w:eastAsia="仿宋_GB2312" w:cs="Times New Roman"/>
          <w:color w:val="auto"/>
          <w:kern w:val="0"/>
          <w:sz w:val="32"/>
          <w:szCs w:val="32"/>
          <w:lang w:val="en-US" w:eastAsia="zh-CN" w:bidi="ar-SA"/>
        </w:rPr>
        <w:t>社会效益指标：保障单位正常运转。</w:t>
      </w:r>
    </w:p>
    <w:p w14:paraId="34EEEADB">
      <w:pPr>
        <w:keepNext w:val="0"/>
        <w:keepLines w:val="0"/>
        <w:pageBreakBefore w:val="0"/>
        <w:widowControl/>
        <w:numPr>
          <w:ilvl w:val="0"/>
          <w:numId w:val="0"/>
        </w:numPr>
        <w:kinsoku/>
        <w:wordWrap/>
        <w:overflowPunct/>
        <w:topLinePunct w:val="0"/>
        <w:autoSpaceDE/>
        <w:autoSpaceDN/>
        <w:bidi w:val="0"/>
        <w:adjustRightInd w:val="0"/>
        <w:snapToGrid w:val="0"/>
        <w:spacing w:line="600" w:lineRule="exact"/>
        <w:ind w:firstLine="640" w:firstLineChars="200"/>
        <w:contextualSpacing/>
        <w:jc w:val="left"/>
        <w:textAlignment w:val="auto"/>
        <w:rPr>
          <w:rFonts w:hint="default" w:ascii="Times New Roman" w:hAnsi="Times New Roman" w:eastAsia="仿宋_GB2312" w:cs="Times New Roman"/>
          <w:sz w:val="32"/>
          <w:szCs w:val="32"/>
        </w:rPr>
      </w:pPr>
      <w:r>
        <w:rPr>
          <w:rFonts w:hint="eastAsia" w:eastAsia="仿宋_GB2312" w:cs="Times New Roman"/>
          <w:color w:val="auto"/>
          <w:kern w:val="0"/>
          <w:sz w:val="32"/>
          <w:szCs w:val="32"/>
          <w:lang w:val="en-US" w:eastAsia="zh-CN" w:bidi="ar-SA"/>
        </w:rPr>
        <w:t>6.</w:t>
      </w:r>
      <w:r>
        <w:rPr>
          <w:rFonts w:hint="default" w:ascii="Times New Roman" w:hAnsi="Times New Roman" w:eastAsia="仿宋_GB2312" w:cs="Times New Roman"/>
          <w:color w:val="auto"/>
          <w:kern w:val="0"/>
          <w:sz w:val="32"/>
          <w:szCs w:val="32"/>
          <w:lang w:val="en-US" w:eastAsia="zh-CN" w:bidi="ar-SA"/>
        </w:rPr>
        <w:t>满意度指标：物业公司满意度达到满意。</w:t>
      </w:r>
    </w:p>
    <w:p w14:paraId="638766C2">
      <w:pPr>
        <w:keepNext w:val="0"/>
        <w:keepLines w:val="0"/>
        <w:pageBreakBefore w:val="0"/>
        <w:kinsoku/>
        <w:wordWrap/>
        <w:overflowPunct/>
        <w:topLinePunct w:val="0"/>
        <w:autoSpaceDE/>
        <w:autoSpaceDN/>
        <w:bidi w:val="0"/>
        <w:adjustRightInd w:val="0"/>
        <w:snapToGrid w:val="0"/>
        <w:spacing w:line="600" w:lineRule="exact"/>
        <w:ind w:firstLine="720"/>
        <w:textAlignment w:val="auto"/>
        <w:rPr>
          <w:rFonts w:hint="default" w:ascii="Times New Roman" w:hAnsi="Times New Roman" w:eastAsia="楷体_GB2312" w:cs="Times New Roman"/>
          <w:b/>
          <w:bCs/>
          <w:color w:val="000000"/>
          <w:kern w:val="0"/>
          <w:sz w:val="32"/>
          <w:szCs w:val="32"/>
          <w:shd w:val="clear" w:color="auto" w:fill="FFFFFF"/>
          <w:lang w:val="zh-CN"/>
        </w:rPr>
      </w:pPr>
      <w:r>
        <w:rPr>
          <w:rFonts w:hint="default" w:ascii="Times New Roman" w:hAnsi="Times New Roman" w:eastAsia="楷体_GB2312" w:cs="Times New Roman"/>
          <w:b/>
          <w:bCs/>
          <w:color w:val="000000"/>
          <w:kern w:val="0"/>
          <w:sz w:val="32"/>
          <w:szCs w:val="32"/>
          <w:shd w:val="clear" w:color="auto" w:fill="FFFFFF"/>
          <w:lang w:val="zh-CN"/>
        </w:rPr>
        <w:t>（二）项目效益情况</w:t>
      </w:r>
    </w:p>
    <w:p w14:paraId="26869C82">
      <w:pPr>
        <w:keepNext w:val="0"/>
        <w:keepLines w:val="0"/>
        <w:pageBreakBefore w:val="0"/>
        <w:widowControl/>
        <w:numPr>
          <w:ilvl w:val="0"/>
          <w:numId w:val="0"/>
        </w:numPr>
        <w:kinsoku/>
        <w:wordWrap/>
        <w:overflowPunct/>
        <w:topLinePunct w:val="0"/>
        <w:autoSpaceDE/>
        <w:autoSpaceDN/>
        <w:bidi w:val="0"/>
        <w:adjustRightInd w:val="0"/>
        <w:snapToGrid w:val="0"/>
        <w:spacing w:line="600" w:lineRule="exact"/>
        <w:ind w:firstLine="640" w:firstLineChars="200"/>
        <w:contextualSpacing/>
        <w:jc w:val="left"/>
        <w:textAlignment w:val="auto"/>
        <w:rPr>
          <w:rFonts w:hint="default" w:ascii="Times New Roman" w:hAnsi="Times New Roman" w:eastAsia="仿宋_GB2312" w:cs="Times New Roman"/>
          <w:color w:val="auto"/>
          <w:kern w:val="0"/>
          <w:sz w:val="32"/>
          <w:szCs w:val="32"/>
          <w:lang w:val="en-US" w:eastAsia="zh-CN" w:bidi="ar-SA"/>
        </w:rPr>
      </w:pPr>
      <w:r>
        <w:rPr>
          <w:rFonts w:hint="default" w:ascii="Times New Roman" w:hAnsi="Times New Roman" w:eastAsia="仿宋_GB2312" w:cs="Times New Roman"/>
          <w:color w:val="auto"/>
          <w:kern w:val="0"/>
          <w:sz w:val="32"/>
          <w:szCs w:val="32"/>
          <w:lang w:val="en-US" w:eastAsia="zh-CN" w:bidi="ar-SA"/>
        </w:rPr>
        <w:t>通过 “入驻政务中心单位租金、物业费及水电费”项目，保障了单位正常运转，能更换的为参保人员提供社保服务。</w:t>
      </w:r>
    </w:p>
    <w:p w14:paraId="2059E4C3">
      <w:pPr>
        <w:keepNext w:val="0"/>
        <w:keepLines w:val="0"/>
        <w:pageBreakBefore w:val="0"/>
        <w:kinsoku/>
        <w:wordWrap/>
        <w:overflowPunct/>
        <w:topLinePunct w:val="0"/>
        <w:autoSpaceDE/>
        <w:autoSpaceDN/>
        <w:bidi w:val="0"/>
        <w:adjustRightInd w:val="0"/>
        <w:snapToGrid w:val="0"/>
        <w:spacing w:line="600" w:lineRule="exact"/>
        <w:ind w:firstLine="720"/>
        <w:textAlignment w:val="auto"/>
        <w:rPr>
          <w:rFonts w:hint="default" w:ascii="Times New Roman" w:hAnsi="Times New Roman" w:eastAsia="黑体" w:cs="Times New Roman"/>
          <w:sz w:val="32"/>
        </w:rPr>
      </w:pPr>
      <w:r>
        <w:rPr>
          <w:rFonts w:hint="default" w:ascii="Times New Roman" w:hAnsi="Times New Roman" w:eastAsia="黑体" w:cs="Times New Roman"/>
          <w:sz w:val="32"/>
        </w:rPr>
        <w:t>五、评价结论及建议</w:t>
      </w:r>
    </w:p>
    <w:p w14:paraId="7A8E094C">
      <w:pPr>
        <w:keepNext w:val="0"/>
        <w:keepLines w:val="0"/>
        <w:pageBreakBefore w:val="0"/>
        <w:kinsoku/>
        <w:wordWrap/>
        <w:overflowPunct/>
        <w:topLinePunct w:val="0"/>
        <w:autoSpaceDE/>
        <w:autoSpaceDN/>
        <w:bidi w:val="0"/>
        <w:adjustRightInd w:val="0"/>
        <w:snapToGrid w:val="0"/>
        <w:spacing w:line="600" w:lineRule="exact"/>
        <w:ind w:firstLine="720"/>
        <w:textAlignment w:val="auto"/>
        <w:rPr>
          <w:rFonts w:hint="default" w:ascii="Times New Roman" w:hAnsi="Times New Roman" w:eastAsia="楷体_GB2312" w:cs="Times New Roman"/>
          <w:b/>
          <w:bCs/>
          <w:color w:val="000000"/>
          <w:kern w:val="0"/>
          <w:sz w:val="32"/>
          <w:szCs w:val="32"/>
          <w:shd w:val="clear" w:color="auto" w:fill="FFFFFF"/>
          <w:lang w:val="zh-CN"/>
        </w:rPr>
      </w:pPr>
      <w:r>
        <w:rPr>
          <w:rFonts w:hint="default" w:ascii="Times New Roman" w:hAnsi="Times New Roman" w:eastAsia="楷体_GB2312" w:cs="Times New Roman"/>
          <w:b/>
          <w:bCs/>
          <w:color w:val="000000"/>
          <w:kern w:val="0"/>
          <w:sz w:val="32"/>
          <w:szCs w:val="32"/>
          <w:shd w:val="clear" w:color="auto" w:fill="FFFFFF"/>
          <w:lang w:val="zh-CN"/>
        </w:rPr>
        <w:t>（一）评价结论</w:t>
      </w:r>
    </w:p>
    <w:p w14:paraId="3D554523">
      <w:pPr>
        <w:keepNext w:val="0"/>
        <w:keepLines w:val="0"/>
        <w:pageBreakBefore w:val="0"/>
        <w:widowControl/>
        <w:numPr>
          <w:ilvl w:val="0"/>
          <w:numId w:val="0"/>
        </w:numPr>
        <w:kinsoku/>
        <w:wordWrap/>
        <w:overflowPunct/>
        <w:topLinePunct w:val="0"/>
        <w:autoSpaceDE/>
        <w:autoSpaceDN/>
        <w:bidi w:val="0"/>
        <w:adjustRightInd w:val="0"/>
        <w:snapToGrid w:val="0"/>
        <w:spacing w:line="600" w:lineRule="exact"/>
        <w:ind w:firstLine="640" w:firstLineChars="200"/>
        <w:contextualSpacing/>
        <w:jc w:val="left"/>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color w:val="auto"/>
          <w:kern w:val="0"/>
          <w:sz w:val="32"/>
          <w:szCs w:val="32"/>
          <w:lang w:val="en-US" w:eastAsia="zh-CN" w:bidi="ar-SA"/>
        </w:rPr>
        <w:t>“入驻政务中心单位租金、物业费及水电费”</w:t>
      </w:r>
      <w:r>
        <w:rPr>
          <w:rFonts w:hint="default" w:ascii="Times New Roman" w:hAnsi="Times New Roman" w:eastAsia="仿宋_GB2312" w:cs="Times New Roman"/>
          <w:color w:val="auto"/>
          <w:kern w:val="0"/>
          <w:sz w:val="32"/>
          <w:szCs w:val="32"/>
          <w:lang w:val="zh-CN" w:eastAsia="zh-CN" w:bidi="ar-SA"/>
        </w:rPr>
        <w:t>项目</w:t>
      </w:r>
      <w:r>
        <w:rPr>
          <w:rFonts w:hint="default" w:ascii="Times New Roman" w:hAnsi="Times New Roman" w:eastAsia="仿宋_GB2312" w:cs="Times New Roman"/>
          <w:color w:val="auto"/>
          <w:kern w:val="0"/>
          <w:sz w:val="32"/>
          <w:szCs w:val="32"/>
          <w:lang w:val="en-US" w:eastAsia="zh-CN" w:bidi="ar-SA"/>
        </w:rPr>
        <w:t>在当期完成了全部缴纳，执行率100%。保障了市社会保险事务中心工作正常开展</w:t>
      </w:r>
      <w:r>
        <w:rPr>
          <w:rFonts w:hint="default" w:ascii="Times New Roman" w:hAnsi="Times New Roman" w:eastAsia="仿宋_GB2312" w:cs="Times New Roman"/>
          <w:color w:val="auto"/>
          <w:kern w:val="0"/>
          <w:sz w:val="32"/>
          <w:szCs w:val="32"/>
          <w:lang w:val="zh-CN" w:eastAsia="zh-CN" w:bidi="ar-SA"/>
        </w:rPr>
        <w:t>。</w:t>
      </w:r>
    </w:p>
    <w:p w14:paraId="54E0258B">
      <w:pPr>
        <w:keepNext w:val="0"/>
        <w:keepLines w:val="0"/>
        <w:pageBreakBefore w:val="0"/>
        <w:kinsoku/>
        <w:wordWrap/>
        <w:overflowPunct/>
        <w:topLinePunct w:val="0"/>
        <w:autoSpaceDE/>
        <w:autoSpaceDN/>
        <w:bidi w:val="0"/>
        <w:adjustRightInd w:val="0"/>
        <w:snapToGrid w:val="0"/>
        <w:spacing w:line="600" w:lineRule="exact"/>
        <w:ind w:firstLine="720"/>
        <w:textAlignment w:val="auto"/>
        <w:rPr>
          <w:rFonts w:hint="default" w:ascii="Times New Roman" w:hAnsi="Times New Roman" w:eastAsia="楷体_GB2312" w:cs="Times New Roman"/>
          <w:b/>
          <w:bCs/>
          <w:color w:val="000000"/>
          <w:kern w:val="0"/>
          <w:sz w:val="32"/>
          <w:szCs w:val="32"/>
          <w:shd w:val="clear" w:color="auto" w:fill="FFFFFF"/>
          <w:lang w:val="zh-CN"/>
        </w:rPr>
      </w:pPr>
      <w:r>
        <w:rPr>
          <w:rFonts w:hint="default" w:ascii="Times New Roman" w:hAnsi="Times New Roman" w:eastAsia="楷体_GB2312" w:cs="Times New Roman"/>
          <w:b/>
          <w:bCs/>
          <w:color w:val="000000"/>
          <w:kern w:val="0"/>
          <w:sz w:val="32"/>
          <w:szCs w:val="32"/>
          <w:shd w:val="clear" w:color="auto" w:fill="FFFFFF"/>
          <w:lang w:val="zh-CN"/>
        </w:rPr>
        <w:t>（二）存在的问题</w:t>
      </w:r>
    </w:p>
    <w:p w14:paraId="2FBAAA72">
      <w:pPr>
        <w:keepNext w:val="0"/>
        <w:keepLines w:val="0"/>
        <w:pageBreakBefore w:val="0"/>
        <w:widowControl/>
        <w:numPr>
          <w:ilvl w:val="0"/>
          <w:numId w:val="0"/>
        </w:numPr>
        <w:kinsoku/>
        <w:wordWrap/>
        <w:overflowPunct/>
        <w:topLinePunct w:val="0"/>
        <w:autoSpaceDE/>
        <w:autoSpaceDN/>
        <w:bidi w:val="0"/>
        <w:adjustRightInd w:val="0"/>
        <w:snapToGrid w:val="0"/>
        <w:spacing w:line="600" w:lineRule="exact"/>
        <w:ind w:firstLine="640" w:firstLineChars="200"/>
        <w:contextualSpacing/>
        <w:jc w:val="left"/>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color w:val="auto"/>
          <w:kern w:val="0"/>
          <w:sz w:val="32"/>
          <w:szCs w:val="32"/>
          <w:lang w:val="zh-CN" w:eastAsia="zh-CN" w:bidi="ar-SA"/>
        </w:rPr>
        <w:t>无。</w:t>
      </w:r>
    </w:p>
    <w:p w14:paraId="300605E4">
      <w:pPr>
        <w:keepNext w:val="0"/>
        <w:keepLines w:val="0"/>
        <w:pageBreakBefore w:val="0"/>
        <w:kinsoku/>
        <w:wordWrap/>
        <w:overflowPunct/>
        <w:topLinePunct w:val="0"/>
        <w:autoSpaceDE/>
        <w:autoSpaceDN/>
        <w:bidi w:val="0"/>
        <w:adjustRightInd w:val="0"/>
        <w:snapToGrid w:val="0"/>
        <w:spacing w:line="600" w:lineRule="exact"/>
        <w:ind w:firstLine="720"/>
        <w:textAlignment w:val="auto"/>
        <w:rPr>
          <w:rFonts w:hint="default" w:ascii="Times New Roman" w:hAnsi="Times New Roman" w:eastAsia="楷体_GB2312" w:cs="Times New Roman"/>
          <w:b/>
          <w:bCs/>
          <w:color w:val="000000"/>
          <w:kern w:val="0"/>
          <w:sz w:val="32"/>
          <w:szCs w:val="32"/>
          <w:shd w:val="clear" w:color="auto" w:fill="FFFFFF"/>
          <w:lang w:val="zh-CN"/>
        </w:rPr>
      </w:pPr>
      <w:r>
        <w:rPr>
          <w:rFonts w:hint="default" w:ascii="Times New Roman" w:hAnsi="Times New Roman" w:eastAsia="楷体_GB2312" w:cs="Times New Roman"/>
          <w:b/>
          <w:bCs/>
          <w:color w:val="000000"/>
          <w:kern w:val="0"/>
          <w:sz w:val="32"/>
          <w:szCs w:val="32"/>
          <w:shd w:val="clear" w:color="auto" w:fill="FFFFFF"/>
          <w:lang w:val="zh-CN"/>
        </w:rPr>
        <w:t>（三）相关建议</w:t>
      </w:r>
    </w:p>
    <w:p w14:paraId="669BBF14">
      <w:pPr>
        <w:keepNext w:val="0"/>
        <w:keepLines w:val="0"/>
        <w:pageBreakBefore w:val="0"/>
        <w:widowControl/>
        <w:numPr>
          <w:ilvl w:val="0"/>
          <w:numId w:val="0"/>
        </w:numPr>
        <w:kinsoku/>
        <w:wordWrap/>
        <w:overflowPunct/>
        <w:topLinePunct w:val="0"/>
        <w:autoSpaceDE/>
        <w:autoSpaceDN/>
        <w:bidi w:val="0"/>
        <w:adjustRightInd w:val="0"/>
        <w:snapToGrid w:val="0"/>
        <w:spacing w:line="600" w:lineRule="exact"/>
        <w:ind w:firstLine="640" w:firstLineChars="200"/>
        <w:contextualSpacing/>
        <w:jc w:val="left"/>
        <w:textAlignment w:val="auto"/>
        <w:rPr>
          <w:rFonts w:hint="default" w:ascii="Times New Roman" w:hAnsi="Times New Roman" w:eastAsia="仿宋_GB2312" w:cs="Times New Roman"/>
          <w:color w:val="auto"/>
          <w:kern w:val="0"/>
          <w:sz w:val="32"/>
          <w:szCs w:val="32"/>
          <w:lang w:val="zh-CN" w:eastAsia="zh-CN" w:bidi="ar-SA"/>
        </w:rPr>
      </w:pPr>
      <w:r>
        <w:rPr>
          <w:rFonts w:hint="default" w:ascii="Times New Roman" w:hAnsi="Times New Roman" w:eastAsia="仿宋_GB2312" w:cs="Times New Roman"/>
          <w:color w:val="auto"/>
          <w:kern w:val="0"/>
          <w:sz w:val="32"/>
          <w:szCs w:val="32"/>
          <w:lang w:val="zh-CN" w:eastAsia="zh-CN" w:bidi="ar-SA"/>
        </w:rPr>
        <w:t>强化预算资金精细化管理，提高预算资金科学性、合理性。严格根据相关标准和依据，进行资金使用，确保资金使用效益。</w:t>
      </w:r>
    </w:p>
    <w:p w14:paraId="52EB2BB1">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Times New Roman" w:hAnsi="Times New Roman" w:eastAsia="仿宋_GB2312" w:cs="Times New Roman"/>
          <w:b w:val="0"/>
          <w:bCs w:val="0"/>
          <w:kern w:val="0"/>
          <w:position w:val="0"/>
          <w:sz w:val="32"/>
          <w:szCs w:val="32"/>
          <w:highlight w:val="none"/>
          <w:lang w:val="en-US" w:eastAsia="zh-CN" w:bidi="ar-SA"/>
        </w:rPr>
      </w:pPr>
    </w:p>
    <w:p w14:paraId="02C4D056">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Times New Roman" w:hAnsi="Times New Roman" w:eastAsia="仿宋_GB2312" w:cs="Times New Roman"/>
          <w:b w:val="0"/>
          <w:bCs w:val="0"/>
          <w:kern w:val="0"/>
          <w:position w:val="0"/>
          <w:sz w:val="32"/>
          <w:szCs w:val="32"/>
          <w:highlight w:val="none"/>
          <w:lang w:val="en-US" w:eastAsia="zh-CN" w:bidi="ar-SA"/>
        </w:rPr>
      </w:pPr>
    </w:p>
    <w:p w14:paraId="42120509">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Times New Roman" w:hAnsi="Times New Roman" w:eastAsia="仿宋_GB2312" w:cs="Times New Roman"/>
          <w:b w:val="0"/>
          <w:bCs w:val="0"/>
          <w:kern w:val="0"/>
          <w:position w:val="0"/>
          <w:sz w:val="32"/>
          <w:szCs w:val="32"/>
          <w:highlight w:val="none"/>
          <w:lang w:val="en-US" w:eastAsia="zh-CN" w:bidi="ar-SA"/>
        </w:rPr>
      </w:pPr>
      <w:bookmarkStart w:id="54" w:name="_Toc15396618"/>
      <w:r>
        <w:rPr>
          <w:rFonts w:hint="default" w:ascii="Times New Roman" w:hAnsi="Times New Roman" w:eastAsia="仿宋_GB2312" w:cs="Times New Roman"/>
          <w:b w:val="0"/>
          <w:bCs w:val="0"/>
          <w:kern w:val="0"/>
          <w:position w:val="0"/>
          <w:sz w:val="32"/>
          <w:szCs w:val="32"/>
          <w:highlight w:val="none"/>
          <w:lang w:val="en-US" w:eastAsia="zh-CN" w:bidi="ar-SA"/>
        </w:rPr>
        <w:br w:type="page"/>
      </w:r>
    </w:p>
    <w:p w14:paraId="74046D87">
      <w:pPr>
        <w:widowControl/>
        <w:jc w:val="center"/>
        <w:rPr>
          <w:rFonts w:hint="default" w:ascii="Times New Roman" w:hAnsi="Times New Roman" w:eastAsia="仿宋" w:cs="Times New Roman"/>
          <w:b w:val="0"/>
          <w:color w:val="auto"/>
          <w:highlight w:val="none"/>
        </w:rPr>
      </w:pPr>
      <w:r>
        <w:rPr>
          <w:rFonts w:hint="default" w:ascii="Times New Roman" w:hAnsi="Times New Roman" w:eastAsia="黑体" w:cs="Times New Roman"/>
          <w:color w:val="auto"/>
          <w:sz w:val="44"/>
          <w:szCs w:val="44"/>
          <w:highlight w:val="none"/>
        </w:rPr>
        <w:t>第</w:t>
      </w:r>
      <w:r>
        <w:rPr>
          <w:rStyle w:val="31"/>
          <w:rFonts w:hint="default" w:ascii="Times New Roman" w:hAnsi="Times New Roman" w:eastAsia="黑体" w:cs="Times New Roman"/>
          <w:b w:val="0"/>
          <w:color w:val="auto"/>
          <w:highlight w:val="none"/>
        </w:rPr>
        <w:t>五部分 附表</w:t>
      </w:r>
      <w:bookmarkEnd w:id="52"/>
      <w:bookmarkEnd w:id="54"/>
      <w:bookmarkStart w:id="55" w:name="_Toc15396619"/>
    </w:p>
    <w:p w14:paraId="321F8376">
      <w:pPr>
        <w:pStyle w:val="15"/>
        <w:keepNext w:val="0"/>
        <w:keepLines w:val="0"/>
        <w:pageBreakBefore w:val="0"/>
        <w:kinsoku/>
        <w:wordWrap/>
        <w:overflowPunct/>
        <w:topLinePunct w:val="0"/>
        <w:autoSpaceDE/>
        <w:autoSpaceDN/>
        <w:bidi w:val="0"/>
        <w:adjustRightInd w:val="0"/>
        <w:snapToGrid w:val="0"/>
        <w:spacing w:line="560" w:lineRule="exact"/>
        <w:jc w:val="left"/>
        <w:textAlignment w:val="auto"/>
        <w:rPr>
          <w:rFonts w:hint="default" w:ascii="Times New Roman" w:hAnsi="Times New Roman" w:eastAsia="仿宋_GB2312" w:cs="Times New Roman"/>
          <w:color w:val="auto"/>
          <w:sz w:val="32"/>
          <w:szCs w:val="32"/>
          <w:highlight w:val="none"/>
        </w:rPr>
      </w:pPr>
    </w:p>
    <w:p w14:paraId="196C3F7E">
      <w:pPr>
        <w:pStyle w:val="15"/>
        <w:keepNext w:val="0"/>
        <w:keepLines w:val="0"/>
        <w:pageBreakBefore w:val="0"/>
        <w:kinsoku/>
        <w:wordWrap/>
        <w:overflowPunct/>
        <w:topLinePunct w:val="0"/>
        <w:autoSpaceDE/>
        <w:autoSpaceDN/>
        <w:bidi w:val="0"/>
        <w:adjustRightInd w:val="0"/>
        <w:snapToGrid w:val="0"/>
        <w:spacing w:line="600" w:lineRule="exact"/>
        <w:ind w:left="0" w:leftChars="0" w:firstLine="640" w:firstLineChars="200"/>
        <w:jc w:val="left"/>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一、收入支出决算总表</w:t>
      </w:r>
      <w:bookmarkEnd w:id="55"/>
    </w:p>
    <w:p w14:paraId="43BA7FB0">
      <w:pPr>
        <w:pStyle w:val="15"/>
        <w:keepNext w:val="0"/>
        <w:keepLines w:val="0"/>
        <w:pageBreakBefore w:val="0"/>
        <w:kinsoku/>
        <w:wordWrap/>
        <w:overflowPunct/>
        <w:topLinePunct w:val="0"/>
        <w:autoSpaceDE/>
        <w:autoSpaceDN/>
        <w:bidi w:val="0"/>
        <w:adjustRightInd w:val="0"/>
        <w:snapToGrid w:val="0"/>
        <w:spacing w:line="600" w:lineRule="exact"/>
        <w:ind w:left="0" w:leftChars="0" w:firstLine="640" w:firstLineChars="200"/>
        <w:jc w:val="left"/>
        <w:textAlignment w:val="auto"/>
        <w:rPr>
          <w:rFonts w:hint="default" w:ascii="Times New Roman" w:hAnsi="Times New Roman" w:eastAsia="仿宋_GB2312" w:cs="Times New Roman"/>
          <w:color w:val="auto"/>
          <w:sz w:val="32"/>
          <w:szCs w:val="32"/>
          <w:highlight w:val="none"/>
        </w:rPr>
      </w:pPr>
      <w:bookmarkStart w:id="56" w:name="_Toc15396620"/>
      <w:r>
        <w:rPr>
          <w:rFonts w:hint="default" w:ascii="Times New Roman" w:hAnsi="Times New Roman" w:eastAsia="仿宋_GB2312" w:cs="Times New Roman"/>
          <w:color w:val="auto"/>
          <w:sz w:val="32"/>
          <w:szCs w:val="32"/>
          <w:highlight w:val="none"/>
        </w:rPr>
        <w:t>二、收入决算表</w:t>
      </w:r>
      <w:bookmarkEnd w:id="56"/>
    </w:p>
    <w:p w14:paraId="47483415">
      <w:pPr>
        <w:pStyle w:val="15"/>
        <w:keepNext w:val="0"/>
        <w:keepLines w:val="0"/>
        <w:pageBreakBefore w:val="0"/>
        <w:kinsoku/>
        <w:wordWrap/>
        <w:overflowPunct/>
        <w:topLinePunct w:val="0"/>
        <w:autoSpaceDE/>
        <w:autoSpaceDN/>
        <w:bidi w:val="0"/>
        <w:adjustRightInd w:val="0"/>
        <w:snapToGrid w:val="0"/>
        <w:spacing w:line="600" w:lineRule="exact"/>
        <w:ind w:left="0" w:leftChars="0" w:firstLine="640" w:firstLineChars="200"/>
        <w:jc w:val="left"/>
        <w:textAlignment w:val="auto"/>
        <w:rPr>
          <w:rFonts w:hint="default" w:ascii="Times New Roman" w:hAnsi="Times New Roman" w:eastAsia="仿宋_GB2312" w:cs="Times New Roman"/>
          <w:color w:val="auto"/>
          <w:sz w:val="32"/>
          <w:szCs w:val="32"/>
          <w:highlight w:val="none"/>
        </w:rPr>
      </w:pPr>
      <w:bookmarkStart w:id="57" w:name="_Toc15396621"/>
      <w:r>
        <w:rPr>
          <w:rFonts w:hint="default" w:ascii="Times New Roman" w:hAnsi="Times New Roman" w:eastAsia="仿宋_GB2312" w:cs="Times New Roman"/>
          <w:color w:val="auto"/>
          <w:sz w:val="32"/>
          <w:szCs w:val="32"/>
          <w:highlight w:val="none"/>
        </w:rPr>
        <w:t>三、支出决算表</w:t>
      </w:r>
      <w:bookmarkEnd w:id="57"/>
    </w:p>
    <w:p w14:paraId="6AA6D2EA">
      <w:pPr>
        <w:pStyle w:val="15"/>
        <w:keepNext w:val="0"/>
        <w:keepLines w:val="0"/>
        <w:pageBreakBefore w:val="0"/>
        <w:kinsoku/>
        <w:wordWrap/>
        <w:overflowPunct/>
        <w:topLinePunct w:val="0"/>
        <w:autoSpaceDE/>
        <w:autoSpaceDN/>
        <w:bidi w:val="0"/>
        <w:adjustRightInd w:val="0"/>
        <w:snapToGrid w:val="0"/>
        <w:spacing w:line="600" w:lineRule="exact"/>
        <w:ind w:left="0" w:leftChars="0" w:firstLine="640" w:firstLineChars="200"/>
        <w:jc w:val="left"/>
        <w:textAlignment w:val="auto"/>
        <w:rPr>
          <w:rFonts w:hint="default" w:ascii="Times New Roman" w:hAnsi="Times New Roman" w:eastAsia="仿宋_GB2312" w:cs="Times New Roman"/>
          <w:color w:val="auto"/>
          <w:sz w:val="32"/>
          <w:szCs w:val="32"/>
          <w:highlight w:val="none"/>
        </w:rPr>
      </w:pPr>
      <w:bookmarkStart w:id="58" w:name="_Toc15396622"/>
      <w:r>
        <w:rPr>
          <w:rFonts w:hint="default" w:ascii="Times New Roman" w:hAnsi="Times New Roman" w:eastAsia="仿宋_GB2312" w:cs="Times New Roman"/>
          <w:color w:val="auto"/>
          <w:sz w:val="32"/>
          <w:szCs w:val="32"/>
          <w:highlight w:val="none"/>
        </w:rPr>
        <w:t>四、财政拨款收入支出决算总表</w:t>
      </w:r>
      <w:bookmarkEnd w:id="58"/>
    </w:p>
    <w:p w14:paraId="50CE706F">
      <w:pPr>
        <w:pStyle w:val="15"/>
        <w:keepNext w:val="0"/>
        <w:keepLines w:val="0"/>
        <w:pageBreakBefore w:val="0"/>
        <w:kinsoku/>
        <w:wordWrap/>
        <w:overflowPunct/>
        <w:topLinePunct w:val="0"/>
        <w:autoSpaceDE/>
        <w:autoSpaceDN/>
        <w:bidi w:val="0"/>
        <w:adjustRightInd w:val="0"/>
        <w:snapToGrid w:val="0"/>
        <w:spacing w:line="600" w:lineRule="exact"/>
        <w:ind w:left="0" w:leftChars="0" w:firstLine="640" w:firstLineChars="200"/>
        <w:jc w:val="left"/>
        <w:textAlignment w:val="auto"/>
        <w:rPr>
          <w:rFonts w:hint="default" w:ascii="Times New Roman" w:hAnsi="Times New Roman" w:eastAsia="仿宋_GB2312" w:cs="Times New Roman"/>
          <w:color w:val="auto"/>
          <w:sz w:val="32"/>
          <w:szCs w:val="32"/>
          <w:highlight w:val="none"/>
        </w:rPr>
      </w:pPr>
      <w:bookmarkStart w:id="59" w:name="_Toc15396623"/>
      <w:r>
        <w:rPr>
          <w:rFonts w:hint="default" w:ascii="Times New Roman" w:hAnsi="Times New Roman" w:eastAsia="仿宋_GB2312" w:cs="Times New Roman"/>
          <w:color w:val="auto"/>
          <w:sz w:val="32"/>
          <w:szCs w:val="32"/>
          <w:highlight w:val="none"/>
        </w:rPr>
        <w:t>五、财政拨款支出决算明细表</w:t>
      </w:r>
      <w:bookmarkEnd w:id="59"/>
      <w:bookmarkStart w:id="60" w:name="_Toc15396624"/>
    </w:p>
    <w:p w14:paraId="0A3525C3">
      <w:pPr>
        <w:pStyle w:val="15"/>
        <w:keepNext w:val="0"/>
        <w:keepLines w:val="0"/>
        <w:pageBreakBefore w:val="0"/>
        <w:kinsoku/>
        <w:wordWrap/>
        <w:overflowPunct/>
        <w:topLinePunct w:val="0"/>
        <w:autoSpaceDE/>
        <w:autoSpaceDN/>
        <w:bidi w:val="0"/>
        <w:adjustRightInd w:val="0"/>
        <w:snapToGrid w:val="0"/>
        <w:spacing w:line="600" w:lineRule="exact"/>
        <w:ind w:left="0" w:leftChars="0" w:firstLine="640" w:firstLineChars="200"/>
        <w:jc w:val="left"/>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六、一般公共预算财政拨款支出决算表</w:t>
      </w:r>
      <w:bookmarkEnd w:id="60"/>
    </w:p>
    <w:p w14:paraId="61791B7C">
      <w:pPr>
        <w:pStyle w:val="15"/>
        <w:keepNext w:val="0"/>
        <w:keepLines w:val="0"/>
        <w:pageBreakBefore w:val="0"/>
        <w:kinsoku/>
        <w:wordWrap/>
        <w:overflowPunct/>
        <w:topLinePunct w:val="0"/>
        <w:autoSpaceDE/>
        <w:autoSpaceDN/>
        <w:bidi w:val="0"/>
        <w:adjustRightInd w:val="0"/>
        <w:snapToGrid w:val="0"/>
        <w:spacing w:line="600" w:lineRule="exact"/>
        <w:ind w:left="0" w:leftChars="0" w:firstLine="640" w:firstLineChars="200"/>
        <w:jc w:val="left"/>
        <w:textAlignment w:val="auto"/>
        <w:rPr>
          <w:rFonts w:hint="default" w:ascii="Times New Roman" w:hAnsi="Times New Roman" w:eastAsia="仿宋_GB2312" w:cs="Times New Roman"/>
          <w:color w:val="auto"/>
          <w:sz w:val="32"/>
          <w:szCs w:val="32"/>
          <w:highlight w:val="none"/>
        </w:rPr>
      </w:pPr>
      <w:bookmarkStart w:id="61" w:name="_Toc15396625"/>
      <w:r>
        <w:rPr>
          <w:rFonts w:hint="default" w:ascii="Times New Roman" w:hAnsi="Times New Roman" w:eastAsia="仿宋_GB2312" w:cs="Times New Roman"/>
          <w:color w:val="auto"/>
          <w:sz w:val="32"/>
          <w:szCs w:val="32"/>
          <w:highlight w:val="none"/>
        </w:rPr>
        <w:t>七、一般公共预算财政拨款支出决算明细表</w:t>
      </w:r>
      <w:bookmarkEnd w:id="61"/>
    </w:p>
    <w:p w14:paraId="575D2E78">
      <w:pPr>
        <w:pStyle w:val="15"/>
        <w:keepNext w:val="0"/>
        <w:keepLines w:val="0"/>
        <w:pageBreakBefore w:val="0"/>
        <w:kinsoku/>
        <w:wordWrap/>
        <w:overflowPunct/>
        <w:topLinePunct w:val="0"/>
        <w:autoSpaceDE/>
        <w:autoSpaceDN/>
        <w:bidi w:val="0"/>
        <w:adjustRightInd w:val="0"/>
        <w:snapToGrid w:val="0"/>
        <w:spacing w:line="600" w:lineRule="exact"/>
        <w:ind w:left="0" w:leftChars="0" w:firstLine="640" w:firstLineChars="200"/>
        <w:jc w:val="left"/>
        <w:textAlignment w:val="auto"/>
        <w:rPr>
          <w:rFonts w:hint="default" w:ascii="Times New Roman" w:hAnsi="Times New Roman" w:eastAsia="仿宋_GB2312" w:cs="Times New Roman"/>
          <w:color w:val="auto"/>
          <w:sz w:val="32"/>
          <w:szCs w:val="32"/>
          <w:highlight w:val="none"/>
        </w:rPr>
      </w:pPr>
      <w:bookmarkStart w:id="62" w:name="_Toc15396626"/>
      <w:r>
        <w:rPr>
          <w:rFonts w:hint="default" w:ascii="Times New Roman" w:hAnsi="Times New Roman" w:eastAsia="仿宋_GB2312" w:cs="Times New Roman"/>
          <w:color w:val="auto"/>
          <w:sz w:val="32"/>
          <w:szCs w:val="32"/>
          <w:highlight w:val="none"/>
        </w:rPr>
        <w:t>八、一般公共预算财政拨款基本支出决算表</w:t>
      </w:r>
      <w:bookmarkEnd w:id="62"/>
    </w:p>
    <w:p w14:paraId="53B283C5">
      <w:pPr>
        <w:pStyle w:val="15"/>
        <w:keepNext w:val="0"/>
        <w:keepLines w:val="0"/>
        <w:pageBreakBefore w:val="0"/>
        <w:kinsoku/>
        <w:wordWrap/>
        <w:overflowPunct/>
        <w:topLinePunct w:val="0"/>
        <w:autoSpaceDE/>
        <w:autoSpaceDN/>
        <w:bidi w:val="0"/>
        <w:adjustRightInd w:val="0"/>
        <w:snapToGrid w:val="0"/>
        <w:spacing w:line="600" w:lineRule="exact"/>
        <w:ind w:left="0" w:leftChars="0" w:firstLine="640" w:firstLineChars="200"/>
        <w:jc w:val="left"/>
        <w:textAlignment w:val="auto"/>
        <w:rPr>
          <w:rFonts w:hint="default" w:ascii="Times New Roman" w:hAnsi="Times New Roman" w:eastAsia="仿宋_GB2312" w:cs="Times New Roman"/>
          <w:color w:val="auto"/>
          <w:sz w:val="32"/>
          <w:szCs w:val="32"/>
          <w:highlight w:val="none"/>
        </w:rPr>
      </w:pPr>
      <w:bookmarkStart w:id="63" w:name="_Toc15396627"/>
      <w:r>
        <w:rPr>
          <w:rFonts w:hint="default" w:ascii="Times New Roman" w:hAnsi="Times New Roman" w:eastAsia="仿宋_GB2312" w:cs="Times New Roman"/>
          <w:color w:val="auto"/>
          <w:sz w:val="32"/>
          <w:szCs w:val="32"/>
          <w:highlight w:val="none"/>
        </w:rPr>
        <w:t>九、一般公共预算财政拨款项目支出决算表</w:t>
      </w:r>
      <w:bookmarkEnd w:id="63"/>
    </w:p>
    <w:p w14:paraId="13FED2C4">
      <w:pPr>
        <w:pStyle w:val="15"/>
        <w:keepNext w:val="0"/>
        <w:keepLines w:val="0"/>
        <w:pageBreakBefore w:val="0"/>
        <w:kinsoku/>
        <w:wordWrap/>
        <w:overflowPunct/>
        <w:topLinePunct w:val="0"/>
        <w:autoSpaceDE/>
        <w:autoSpaceDN/>
        <w:bidi w:val="0"/>
        <w:adjustRightInd w:val="0"/>
        <w:snapToGrid w:val="0"/>
        <w:spacing w:line="600" w:lineRule="exact"/>
        <w:ind w:left="0" w:leftChars="0" w:firstLine="640" w:firstLineChars="200"/>
        <w:jc w:val="left"/>
        <w:textAlignment w:val="auto"/>
        <w:rPr>
          <w:rFonts w:hint="default" w:ascii="Times New Roman" w:hAnsi="Times New Roman" w:eastAsia="仿宋_GB2312" w:cs="Times New Roman"/>
          <w:color w:val="auto"/>
          <w:sz w:val="32"/>
          <w:szCs w:val="32"/>
          <w:highlight w:val="none"/>
        </w:rPr>
      </w:pPr>
      <w:bookmarkStart w:id="64" w:name="_Toc15396628"/>
      <w:r>
        <w:rPr>
          <w:rFonts w:hint="default" w:ascii="Times New Roman" w:hAnsi="Times New Roman" w:eastAsia="仿宋_GB2312" w:cs="Times New Roman"/>
          <w:color w:val="auto"/>
          <w:sz w:val="32"/>
          <w:szCs w:val="32"/>
          <w:highlight w:val="none"/>
        </w:rPr>
        <w:t>十、</w:t>
      </w:r>
      <w:bookmarkEnd w:id="64"/>
      <w:r>
        <w:rPr>
          <w:rFonts w:hint="default" w:ascii="Times New Roman" w:hAnsi="Times New Roman" w:eastAsia="仿宋_GB2312" w:cs="Times New Roman"/>
          <w:color w:val="auto"/>
          <w:sz w:val="32"/>
          <w:szCs w:val="32"/>
          <w:highlight w:val="none"/>
        </w:rPr>
        <w:t>政府性基金预算财政拨款收入支出决算表</w:t>
      </w:r>
    </w:p>
    <w:p w14:paraId="404E9CF8">
      <w:pPr>
        <w:pStyle w:val="15"/>
        <w:keepNext w:val="0"/>
        <w:keepLines w:val="0"/>
        <w:pageBreakBefore w:val="0"/>
        <w:kinsoku/>
        <w:wordWrap/>
        <w:overflowPunct/>
        <w:topLinePunct w:val="0"/>
        <w:autoSpaceDE/>
        <w:autoSpaceDN/>
        <w:bidi w:val="0"/>
        <w:adjustRightInd w:val="0"/>
        <w:snapToGrid w:val="0"/>
        <w:spacing w:line="600" w:lineRule="exact"/>
        <w:ind w:left="0" w:leftChars="0" w:firstLine="640" w:firstLineChars="200"/>
        <w:jc w:val="left"/>
        <w:textAlignment w:val="auto"/>
        <w:rPr>
          <w:rFonts w:hint="default" w:ascii="Times New Roman" w:hAnsi="Times New Roman" w:eastAsia="仿宋_GB2312" w:cs="Times New Roman"/>
          <w:color w:val="auto"/>
          <w:sz w:val="32"/>
          <w:szCs w:val="32"/>
          <w:highlight w:val="none"/>
        </w:rPr>
      </w:pPr>
      <w:bookmarkStart w:id="65" w:name="_Toc15396629"/>
      <w:r>
        <w:rPr>
          <w:rFonts w:hint="default" w:ascii="Times New Roman" w:hAnsi="Times New Roman" w:eastAsia="仿宋_GB2312" w:cs="Times New Roman"/>
          <w:color w:val="auto"/>
          <w:sz w:val="32"/>
          <w:szCs w:val="32"/>
          <w:highlight w:val="none"/>
        </w:rPr>
        <w:t>十一、</w:t>
      </w:r>
      <w:bookmarkEnd w:id="65"/>
      <w:r>
        <w:rPr>
          <w:rFonts w:hint="default" w:ascii="Times New Roman" w:hAnsi="Times New Roman" w:eastAsia="仿宋_GB2312" w:cs="Times New Roman"/>
          <w:color w:val="auto"/>
          <w:sz w:val="32"/>
          <w:szCs w:val="32"/>
          <w:highlight w:val="none"/>
        </w:rPr>
        <w:t>国有资本经营预算</w:t>
      </w:r>
      <w:r>
        <w:rPr>
          <w:rFonts w:hint="default" w:ascii="Times New Roman" w:hAnsi="Times New Roman" w:eastAsia="仿宋_GB2312" w:cs="Times New Roman"/>
          <w:color w:val="auto"/>
          <w:sz w:val="32"/>
          <w:szCs w:val="32"/>
          <w:highlight w:val="none"/>
          <w:lang w:eastAsia="zh-CN"/>
        </w:rPr>
        <w:t>财政拨款收入</w:t>
      </w:r>
      <w:r>
        <w:rPr>
          <w:rFonts w:hint="default" w:ascii="Times New Roman" w:hAnsi="Times New Roman" w:eastAsia="仿宋_GB2312" w:cs="Times New Roman"/>
          <w:color w:val="auto"/>
          <w:sz w:val="32"/>
          <w:szCs w:val="32"/>
          <w:highlight w:val="none"/>
        </w:rPr>
        <w:t>支出决算表</w:t>
      </w:r>
    </w:p>
    <w:p w14:paraId="57ED5769">
      <w:pPr>
        <w:pStyle w:val="15"/>
        <w:keepNext w:val="0"/>
        <w:keepLines w:val="0"/>
        <w:pageBreakBefore w:val="0"/>
        <w:kinsoku/>
        <w:wordWrap/>
        <w:overflowPunct/>
        <w:topLinePunct w:val="0"/>
        <w:autoSpaceDE/>
        <w:autoSpaceDN/>
        <w:bidi w:val="0"/>
        <w:adjustRightInd w:val="0"/>
        <w:snapToGrid w:val="0"/>
        <w:spacing w:line="600" w:lineRule="exact"/>
        <w:ind w:left="0" w:leftChars="0" w:firstLine="640" w:firstLineChars="200"/>
        <w:jc w:val="left"/>
        <w:textAlignment w:val="auto"/>
        <w:rPr>
          <w:rFonts w:hint="default" w:ascii="Times New Roman" w:hAnsi="Times New Roman" w:eastAsia="仿宋_GB2312" w:cs="Times New Roman"/>
          <w:color w:val="auto"/>
          <w:sz w:val="32"/>
          <w:szCs w:val="32"/>
          <w:highlight w:val="none"/>
        </w:rPr>
      </w:pPr>
      <w:bookmarkStart w:id="66" w:name="_Toc15396630"/>
      <w:r>
        <w:rPr>
          <w:rFonts w:hint="default" w:ascii="Times New Roman" w:hAnsi="Times New Roman" w:eastAsia="仿宋_GB2312" w:cs="Times New Roman"/>
          <w:color w:val="auto"/>
          <w:sz w:val="32"/>
          <w:szCs w:val="32"/>
          <w:highlight w:val="none"/>
        </w:rPr>
        <w:t>十二、</w:t>
      </w:r>
      <w:bookmarkEnd w:id="66"/>
      <w:r>
        <w:rPr>
          <w:rFonts w:hint="default" w:ascii="Times New Roman" w:hAnsi="Times New Roman" w:eastAsia="仿宋_GB2312" w:cs="Times New Roman"/>
          <w:color w:val="auto"/>
          <w:sz w:val="32"/>
          <w:szCs w:val="32"/>
          <w:highlight w:val="none"/>
          <w:lang w:eastAsia="zh-CN"/>
        </w:rPr>
        <w:t>国有资本经营预算财政拨款支出决算表</w:t>
      </w:r>
    </w:p>
    <w:p w14:paraId="59E10232">
      <w:pPr>
        <w:pStyle w:val="15"/>
        <w:keepNext w:val="0"/>
        <w:keepLines w:val="0"/>
        <w:pageBreakBefore w:val="0"/>
        <w:kinsoku/>
        <w:wordWrap/>
        <w:overflowPunct/>
        <w:topLinePunct w:val="0"/>
        <w:autoSpaceDE/>
        <w:autoSpaceDN/>
        <w:bidi w:val="0"/>
        <w:adjustRightInd w:val="0"/>
        <w:snapToGrid w:val="0"/>
        <w:spacing w:line="600" w:lineRule="exact"/>
        <w:ind w:left="0" w:leftChars="0" w:firstLine="640" w:firstLineChars="200"/>
        <w:jc w:val="left"/>
        <w:textAlignment w:val="auto"/>
        <w:rPr>
          <w:rFonts w:hint="default" w:ascii="Times New Roman" w:hAnsi="Times New Roman" w:eastAsia="仿宋_GB2312" w:cs="Times New Roman"/>
          <w:color w:val="auto"/>
          <w:sz w:val="32"/>
          <w:szCs w:val="32"/>
          <w:highlight w:val="none"/>
          <w:lang w:eastAsia="zh-CN"/>
        </w:rPr>
      </w:pPr>
      <w:bookmarkStart w:id="67" w:name="_Toc15396631"/>
      <w:r>
        <w:rPr>
          <w:rFonts w:hint="default" w:ascii="Times New Roman" w:hAnsi="Times New Roman" w:eastAsia="仿宋_GB2312" w:cs="Times New Roman"/>
          <w:color w:val="auto"/>
          <w:sz w:val="32"/>
          <w:szCs w:val="32"/>
          <w:highlight w:val="none"/>
        </w:rPr>
        <w:t>十三、</w:t>
      </w:r>
      <w:bookmarkEnd w:id="67"/>
      <w:r>
        <w:rPr>
          <w:rFonts w:hint="default" w:ascii="Times New Roman" w:hAnsi="Times New Roman" w:eastAsia="仿宋_GB2312" w:cs="Times New Roman"/>
          <w:color w:val="auto"/>
          <w:sz w:val="32"/>
          <w:szCs w:val="32"/>
          <w:highlight w:val="none"/>
          <w:lang w:eastAsia="zh-CN"/>
        </w:rPr>
        <w:t>财政拨款“三公”经费支出决算表</w:t>
      </w:r>
    </w:p>
    <w:p w14:paraId="012C918E">
      <w:pPr>
        <w:spacing w:line="600" w:lineRule="exact"/>
        <w:ind w:firstLine="420" w:firstLineChars="200"/>
        <w:rPr>
          <w:rFonts w:hint="default" w:ascii="Times New Roman" w:hAnsi="Times New Roman" w:cs="Times New Roman"/>
          <w:lang w:eastAsia="zh-CN"/>
        </w:rPr>
      </w:pPr>
    </w:p>
    <w:sectPr>
      <w:footerReference r:id="rId8"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
    <w:altName w:val="Segoe Print"/>
    <w:panose1 w:val="00000000000000000000"/>
    <w:charset w:val="00"/>
    <w:family w:val="roman"/>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方正小标宋简体">
    <w:panose1 w:val="02010601030101010101"/>
    <w:charset w:val="86"/>
    <w:family w:val="script"/>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楷体_GB2312">
    <w:panose1 w:val="02010609030101010101"/>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89EC3E">
    <w:pPr>
      <w:pStyle w:val="11"/>
      <w:jc w:val="center"/>
    </w:pPr>
  </w:p>
  <w:p w14:paraId="49F078DF">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A940B7">
    <w:pPr>
      <w:pStyle w:val="11"/>
      <w:jc w:val="center"/>
    </w:pPr>
  </w:p>
  <w:p w14:paraId="243B4FD2">
    <w:pPr>
      <w:pStyle w:val="1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1E4B80">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57B7C2">
                          <w:pPr>
                            <w:pStyle w:val="11"/>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6A57B7C2">
                    <w:pPr>
                      <w:pStyle w:val="11"/>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0682A8">
    <w:pPr>
      <w:pStyle w:val="11"/>
      <w:jc w:val="center"/>
    </w:pPr>
  </w:p>
  <w:p w14:paraId="7C51EE31">
    <w:pPr>
      <w:pStyle w:val="1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A7309B">
    <w:pPr>
      <w:pStyle w:val="11"/>
      <w:jc w:val="center"/>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1A7B6C">
                          <w:pPr>
                            <w:pStyle w:val="11"/>
                            <w:rPr>
                              <w:rFonts w:hint="default" w:ascii="Times New Roman" w:hAnsi="Times New Roman" w:cs="Times New Roman" w:eastAsiaTheme="minorEastAsia"/>
                              <w:sz w:val="28"/>
                              <w:szCs w:val="28"/>
                              <w:lang w:val="en-US" w:eastAsia="zh-CN"/>
                            </w:rPr>
                          </w:pPr>
                          <w:r>
                            <w:rPr>
                              <w:rFonts w:hint="default" w:ascii="Times New Roman" w:hAnsi="Times New Roman" w:cs="Times New Roman" w:eastAsiaTheme="minorEastAsia"/>
                              <w:sz w:val="28"/>
                              <w:szCs w:val="28"/>
                              <w:lang w:eastAsia="zh-CN"/>
                            </w:rPr>
                            <w:t>—</w:t>
                          </w:r>
                          <w:r>
                            <w:rPr>
                              <w:rFonts w:hint="default" w:ascii="Times New Roman" w:hAnsi="Times New Roman" w:cs="Times New Roman" w:eastAsiaTheme="minorEastAsia"/>
                              <w:sz w:val="28"/>
                              <w:szCs w:val="28"/>
                              <w:lang w:val="en-US" w:eastAsia="zh-CN"/>
                            </w:rPr>
                            <w:t xml:space="preserve"> </w:t>
                          </w:r>
                          <w:r>
                            <w:rPr>
                              <w:rFonts w:hint="default" w:ascii="Times New Roman" w:hAnsi="Times New Roman" w:cs="Times New Roman" w:eastAsiaTheme="minorEastAsia"/>
                              <w:sz w:val="28"/>
                              <w:szCs w:val="28"/>
                            </w:rPr>
                            <w:fldChar w:fldCharType="begin"/>
                          </w:r>
                          <w:r>
                            <w:rPr>
                              <w:rFonts w:hint="default" w:ascii="Times New Roman" w:hAnsi="Times New Roman" w:cs="Times New Roman" w:eastAsiaTheme="minorEastAsia"/>
                              <w:sz w:val="28"/>
                              <w:szCs w:val="28"/>
                            </w:rPr>
                            <w:instrText xml:space="preserve"> PAGE  \* MERGEFORMAT </w:instrText>
                          </w:r>
                          <w:r>
                            <w:rPr>
                              <w:rFonts w:hint="default" w:ascii="Times New Roman" w:hAnsi="Times New Roman" w:cs="Times New Roman" w:eastAsiaTheme="minorEastAsia"/>
                              <w:sz w:val="28"/>
                              <w:szCs w:val="28"/>
                            </w:rPr>
                            <w:fldChar w:fldCharType="separate"/>
                          </w:r>
                          <w:r>
                            <w:rPr>
                              <w:rFonts w:hint="default" w:ascii="Times New Roman" w:hAnsi="Times New Roman" w:cs="Times New Roman" w:eastAsiaTheme="minorEastAsia"/>
                              <w:sz w:val="28"/>
                              <w:szCs w:val="28"/>
                            </w:rPr>
                            <w:t>1</w:t>
                          </w:r>
                          <w:r>
                            <w:rPr>
                              <w:rFonts w:hint="default" w:ascii="Times New Roman" w:hAnsi="Times New Roman" w:cs="Times New Roman" w:eastAsiaTheme="minorEastAsia"/>
                              <w:sz w:val="28"/>
                              <w:szCs w:val="28"/>
                            </w:rPr>
                            <w:fldChar w:fldCharType="end"/>
                          </w:r>
                          <w:r>
                            <w:rPr>
                              <w:rFonts w:hint="default" w:ascii="Times New Roman" w:hAnsi="Times New Roman" w:cs="Times New Roman" w:eastAsiaTheme="minorEastAsia"/>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2F1A7B6C">
                    <w:pPr>
                      <w:pStyle w:val="11"/>
                      <w:rPr>
                        <w:rFonts w:hint="default" w:ascii="Times New Roman" w:hAnsi="Times New Roman" w:cs="Times New Roman" w:eastAsiaTheme="minorEastAsia"/>
                        <w:sz w:val="28"/>
                        <w:szCs w:val="28"/>
                        <w:lang w:val="en-US" w:eastAsia="zh-CN"/>
                      </w:rPr>
                    </w:pPr>
                    <w:r>
                      <w:rPr>
                        <w:rFonts w:hint="default" w:ascii="Times New Roman" w:hAnsi="Times New Roman" w:cs="Times New Roman" w:eastAsiaTheme="minorEastAsia"/>
                        <w:sz w:val="28"/>
                        <w:szCs w:val="28"/>
                        <w:lang w:eastAsia="zh-CN"/>
                      </w:rPr>
                      <w:t>—</w:t>
                    </w:r>
                    <w:r>
                      <w:rPr>
                        <w:rFonts w:hint="default" w:ascii="Times New Roman" w:hAnsi="Times New Roman" w:cs="Times New Roman" w:eastAsiaTheme="minorEastAsia"/>
                        <w:sz w:val="28"/>
                        <w:szCs w:val="28"/>
                        <w:lang w:val="en-US" w:eastAsia="zh-CN"/>
                      </w:rPr>
                      <w:t xml:space="preserve"> </w:t>
                    </w:r>
                    <w:r>
                      <w:rPr>
                        <w:rFonts w:hint="default" w:ascii="Times New Roman" w:hAnsi="Times New Roman" w:cs="Times New Roman" w:eastAsiaTheme="minorEastAsia"/>
                        <w:sz w:val="28"/>
                        <w:szCs w:val="28"/>
                      </w:rPr>
                      <w:fldChar w:fldCharType="begin"/>
                    </w:r>
                    <w:r>
                      <w:rPr>
                        <w:rFonts w:hint="default" w:ascii="Times New Roman" w:hAnsi="Times New Roman" w:cs="Times New Roman" w:eastAsiaTheme="minorEastAsia"/>
                        <w:sz w:val="28"/>
                        <w:szCs w:val="28"/>
                      </w:rPr>
                      <w:instrText xml:space="preserve"> PAGE  \* MERGEFORMAT </w:instrText>
                    </w:r>
                    <w:r>
                      <w:rPr>
                        <w:rFonts w:hint="default" w:ascii="Times New Roman" w:hAnsi="Times New Roman" w:cs="Times New Roman" w:eastAsiaTheme="minorEastAsia"/>
                        <w:sz w:val="28"/>
                        <w:szCs w:val="28"/>
                      </w:rPr>
                      <w:fldChar w:fldCharType="separate"/>
                    </w:r>
                    <w:r>
                      <w:rPr>
                        <w:rFonts w:hint="default" w:ascii="Times New Roman" w:hAnsi="Times New Roman" w:cs="Times New Roman" w:eastAsiaTheme="minorEastAsia"/>
                        <w:sz w:val="28"/>
                        <w:szCs w:val="28"/>
                      </w:rPr>
                      <w:t>1</w:t>
                    </w:r>
                    <w:r>
                      <w:rPr>
                        <w:rFonts w:hint="default" w:ascii="Times New Roman" w:hAnsi="Times New Roman" w:cs="Times New Roman" w:eastAsiaTheme="minorEastAsia"/>
                        <w:sz w:val="28"/>
                        <w:szCs w:val="28"/>
                      </w:rPr>
                      <w:fldChar w:fldCharType="end"/>
                    </w:r>
                    <w:r>
                      <w:rPr>
                        <w:rFonts w:hint="default" w:ascii="Times New Roman" w:hAnsi="Times New Roman" w:cs="Times New Roman" w:eastAsiaTheme="minorEastAsia"/>
                        <w:sz w:val="28"/>
                        <w:szCs w:val="28"/>
                        <w:lang w:val="en-US" w:eastAsia="zh-CN"/>
                      </w:rPr>
                      <w:t xml:space="preserve"> —</w:t>
                    </w:r>
                  </w:p>
                </w:txbxContent>
              </v:textbox>
            </v:shape>
          </w:pict>
        </mc:Fallback>
      </mc:AlternateContent>
    </w:r>
  </w:p>
  <w:p w14:paraId="347E9E8F">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2A4AF7">
    <w:pPr>
      <w:pStyle w:val="12"/>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trackRevisions w:val="1"/>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361C"/>
    <w:rsid w:val="000222C6"/>
    <w:rsid w:val="0002549F"/>
    <w:rsid w:val="000468DB"/>
    <w:rsid w:val="0006487A"/>
    <w:rsid w:val="00065F8F"/>
    <w:rsid w:val="00070A43"/>
    <w:rsid w:val="000768F2"/>
    <w:rsid w:val="0009184B"/>
    <w:rsid w:val="00094236"/>
    <w:rsid w:val="0009593C"/>
    <w:rsid w:val="00097322"/>
    <w:rsid w:val="000A6A92"/>
    <w:rsid w:val="000B047F"/>
    <w:rsid w:val="000B5923"/>
    <w:rsid w:val="000B5A48"/>
    <w:rsid w:val="000B6FF3"/>
    <w:rsid w:val="000C3467"/>
    <w:rsid w:val="000C3CA6"/>
    <w:rsid w:val="000D1267"/>
    <w:rsid w:val="000D1D50"/>
    <w:rsid w:val="000D5782"/>
    <w:rsid w:val="000E6613"/>
    <w:rsid w:val="000E7119"/>
    <w:rsid w:val="00114E9B"/>
    <w:rsid w:val="00142216"/>
    <w:rsid w:val="00144D6A"/>
    <w:rsid w:val="0014729F"/>
    <w:rsid w:val="00157BAB"/>
    <w:rsid w:val="001654D1"/>
    <w:rsid w:val="00174518"/>
    <w:rsid w:val="0018106D"/>
    <w:rsid w:val="001877A7"/>
    <w:rsid w:val="00191536"/>
    <w:rsid w:val="00196687"/>
    <w:rsid w:val="001C0962"/>
    <w:rsid w:val="001D7531"/>
    <w:rsid w:val="001E737D"/>
    <w:rsid w:val="001F0592"/>
    <w:rsid w:val="001F7506"/>
    <w:rsid w:val="002006CD"/>
    <w:rsid w:val="00202B36"/>
    <w:rsid w:val="00204B7A"/>
    <w:rsid w:val="00204CDE"/>
    <w:rsid w:val="0021101A"/>
    <w:rsid w:val="00220536"/>
    <w:rsid w:val="00235629"/>
    <w:rsid w:val="00260C38"/>
    <w:rsid w:val="002616C0"/>
    <w:rsid w:val="00265372"/>
    <w:rsid w:val="002662AA"/>
    <w:rsid w:val="00280496"/>
    <w:rsid w:val="00294DC9"/>
    <w:rsid w:val="00295495"/>
    <w:rsid w:val="002A31DE"/>
    <w:rsid w:val="002B2613"/>
    <w:rsid w:val="002D6D05"/>
    <w:rsid w:val="002F1818"/>
    <w:rsid w:val="002F567B"/>
    <w:rsid w:val="003216A9"/>
    <w:rsid w:val="00335A74"/>
    <w:rsid w:val="0036561B"/>
    <w:rsid w:val="0037013F"/>
    <w:rsid w:val="00380C92"/>
    <w:rsid w:val="003A484F"/>
    <w:rsid w:val="003A4883"/>
    <w:rsid w:val="003B0BE0"/>
    <w:rsid w:val="003B0C1B"/>
    <w:rsid w:val="003B688C"/>
    <w:rsid w:val="003C0291"/>
    <w:rsid w:val="003C39AE"/>
    <w:rsid w:val="003C7B60"/>
    <w:rsid w:val="003D0C0F"/>
    <w:rsid w:val="003D1FB2"/>
    <w:rsid w:val="003D66DA"/>
    <w:rsid w:val="003E1310"/>
    <w:rsid w:val="003E6F55"/>
    <w:rsid w:val="00406254"/>
    <w:rsid w:val="004223DE"/>
    <w:rsid w:val="00434489"/>
    <w:rsid w:val="00437085"/>
    <w:rsid w:val="00443880"/>
    <w:rsid w:val="004464F4"/>
    <w:rsid w:val="00471401"/>
    <w:rsid w:val="00473F31"/>
    <w:rsid w:val="0048263A"/>
    <w:rsid w:val="00487E5D"/>
    <w:rsid w:val="004A711F"/>
    <w:rsid w:val="004B199D"/>
    <w:rsid w:val="004B4690"/>
    <w:rsid w:val="004E0A2D"/>
    <w:rsid w:val="004E206B"/>
    <w:rsid w:val="004E6DF7"/>
    <w:rsid w:val="004F0FBD"/>
    <w:rsid w:val="00505A47"/>
    <w:rsid w:val="00512FDA"/>
    <w:rsid w:val="00520DA0"/>
    <w:rsid w:val="005664BB"/>
    <w:rsid w:val="00566FFA"/>
    <w:rsid w:val="0057481D"/>
    <w:rsid w:val="0058486E"/>
    <w:rsid w:val="00585B33"/>
    <w:rsid w:val="0059014D"/>
    <w:rsid w:val="005B5C64"/>
    <w:rsid w:val="005C5337"/>
    <w:rsid w:val="005C6BD0"/>
    <w:rsid w:val="005D1C8B"/>
    <w:rsid w:val="005D468D"/>
    <w:rsid w:val="005D5CED"/>
    <w:rsid w:val="005F1A4C"/>
    <w:rsid w:val="00605688"/>
    <w:rsid w:val="006070AF"/>
    <w:rsid w:val="00607E6C"/>
    <w:rsid w:val="006101B1"/>
    <w:rsid w:val="00614E44"/>
    <w:rsid w:val="0062270A"/>
    <w:rsid w:val="00622830"/>
    <w:rsid w:val="00623DA0"/>
    <w:rsid w:val="00630AEF"/>
    <w:rsid w:val="006325F8"/>
    <w:rsid w:val="00633463"/>
    <w:rsid w:val="00634C9A"/>
    <w:rsid w:val="006440E4"/>
    <w:rsid w:val="0066343B"/>
    <w:rsid w:val="00664777"/>
    <w:rsid w:val="006748A4"/>
    <w:rsid w:val="00681A31"/>
    <w:rsid w:val="00683E73"/>
    <w:rsid w:val="006A3141"/>
    <w:rsid w:val="006A5E34"/>
    <w:rsid w:val="006B2422"/>
    <w:rsid w:val="006B2B9A"/>
    <w:rsid w:val="006C1937"/>
    <w:rsid w:val="006F020C"/>
    <w:rsid w:val="007127B7"/>
    <w:rsid w:val="0071798E"/>
    <w:rsid w:val="00734760"/>
    <w:rsid w:val="007416B6"/>
    <w:rsid w:val="00746F48"/>
    <w:rsid w:val="0075404D"/>
    <w:rsid w:val="0076182A"/>
    <w:rsid w:val="00767B7E"/>
    <w:rsid w:val="007770C3"/>
    <w:rsid w:val="00784D24"/>
    <w:rsid w:val="00785FBA"/>
    <w:rsid w:val="00786E4A"/>
    <w:rsid w:val="007875EB"/>
    <w:rsid w:val="0079426B"/>
    <w:rsid w:val="007D1682"/>
    <w:rsid w:val="007D312A"/>
    <w:rsid w:val="007D3F19"/>
    <w:rsid w:val="007E23B0"/>
    <w:rsid w:val="007E23E5"/>
    <w:rsid w:val="007F1991"/>
    <w:rsid w:val="007F2C2F"/>
    <w:rsid w:val="007F55FC"/>
    <w:rsid w:val="007F5665"/>
    <w:rsid w:val="00800112"/>
    <w:rsid w:val="00813348"/>
    <w:rsid w:val="008253BB"/>
    <w:rsid w:val="0083706E"/>
    <w:rsid w:val="008408F6"/>
    <w:rsid w:val="008423A5"/>
    <w:rsid w:val="00850625"/>
    <w:rsid w:val="00853718"/>
    <w:rsid w:val="00855221"/>
    <w:rsid w:val="00860645"/>
    <w:rsid w:val="00871F71"/>
    <w:rsid w:val="00872FD8"/>
    <w:rsid w:val="00885AF4"/>
    <w:rsid w:val="008939CD"/>
    <w:rsid w:val="008B768C"/>
    <w:rsid w:val="008C4DB1"/>
    <w:rsid w:val="008C4EAF"/>
    <w:rsid w:val="008C5176"/>
    <w:rsid w:val="008C7FD0"/>
    <w:rsid w:val="008E1DE7"/>
    <w:rsid w:val="008E707C"/>
    <w:rsid w:val="00900B08"/>
    <w:rsid w:val="00902155"/>
    <w:rsid w:val="00902FA3"/>
    <w:rsid w:val="00923564"/>
    <w:rsid w:val="0092392E"/>
    <w:rsid w:val="009315F9"/>
    <w:rsid w:val="00933499"/>
    <w:rsid w:val="00935C98"/>
    <w:rsid w:val="00946945"/>
    <w:rsid w:val="00951248"/>
    <w:rsid w:val="0095152F"/>
    <w:rsid w:val="00954C49"/>
    <w:rsid w:val="00955E37"/>
    <w:rsid w:val="0097099F"/>
    <w:rsid w:val="00971997"/>
    <w:rsid w:val="00971FFC"/>
    <w:rsid w:val="0098660A"/>
    <w:rsid w:val="009931C3"/>
    <w:rsid w:val="009B2C43"/>
    <w:rsid w:val="009B4EAE"/>
    <w:rsid w:val="009B7573"/>
    <w:rsid w:val="009C22F4"/>
    <w:rsid w:val="009C2A4B"/>
    <w:rsid w:val="009C2E98"/>
    <w:rsid w:val="009D3447"/>
    <w:rsid w:val="009D4711"/>
    <w:rsid w:val="009F1185"/>
    <w:rsid w:val="009F18CD"/>
    <w:rsid w:val="009F2A13"/>
    <w:rsid w:val="009F7527"/>
    <w:rsid w:val="00A04EB0"/>
    <w:rsid w:val="00A13CC1"/>
    <w:rsid w:val="00A16847"/>
    <w:rsid w:val="00A237D8"/>
    <w:rsid w:val="00A268C4"/>
    <w:rsid w:val="00A307CD"/>
    <w:rsid w:val="00A331C8"/>
    <w:rsid w:val="00A40A00"/>
    <w:rsid w:val="00A4142F"/>
    <w:rsid w:val="00A422EB"/>
    <w:rsid w:val="00A45BB7"/>
    <w:rsid w:val="00A56DF2"/>
    <w:rsid w:val="00A56E6E"/>
    <w:rsid w:val="00A67AB5"/>
    <w:rsid w:val="00A733B2"/>
    <w:rsid w:val="00A741C2"/>
    <w:rsid w:val="00A91760"/>
    <w:rsid w:val="00A93B00"/>
    <w:rsid w:val="00A93C21"/>
    <w:rsid w:val="00AB64C9"/>
    <w:rsid w:val="00AC3C6A"/>
    <w:rsid w:val="00AD5620"/>
    <w:rsid w:val="00AD656B"/>
    <w:rsid w:val="00AD7C1B"/>
    <w:rsid w:val="00AE16BA"/>
    <w:rsid w:val="00AE1EBE"/>
    <w:rsid w:val="00B03C9D"/>
    <w:rsid w:val="00B060AE"/>
    <w:rsid w:val="00B10517"/>
    <w:rsid w:val="00B14E76"/>
    <w:rsid w:val="00B161B8"/>
    <w:rsid w:val="00B2048C"/>
    <w:rsid w:val="00B310B9"/>
    <w:rsid w:val="00B35F3F"/>
    <w:rsid w:val="00B36CBB"/>
    <w:rsid w:val="00B425E0"/>
    <w:rsid w:val="00B440AA"/>
    <w:rsid w:val="00B44B70"/>
    <w:rsid w:val="00B53C56"/>
    <w:rsid w:val="00B57DAF"/>
    <w:rsid w:val="00B77EA6"/>
    <w:rsid w:val="00B81598"/>
    <w:rsid w:val="00B841F1"/>
    <w:rsid w:val="00B944D6"/>
    <w:rsid w:val="00BB4DF0"/>
    <w:rsid w:val="00BC289F"/>
    <w:rsid w:val="00BC2D50"/>
    <w:rsid w:val="00BC5361"/>
    <w:rsid w:val="00BC5460"/>
    <w:rsid w:val="00BC6B50"/>
    <w:rsid w:val="00BD0E25"/>
    <w:rsid w:val="00BF5BD6"/>
    <w:rsid w:val="00C03E31"/>
    <w:rsid w:val="00C33E72"/>
    <w:rsid w:val="00C354B2"/>
    <w:rsid w:val="00C35554"/>
    <w:rsid w:val="00C42709"/>
    <w:rsid w:val="00C533CC"/>
    <w:rsid w:val="00C5751C"/>
    <w:rsid w:val="00C61BFC"/>
    <w:rsid w:val="00C62B85"/>
    <w:rsid w:val="00C65438"/>
    <w:rsid w:val="00C87FD8"/>
    <w:rsid w:val="00C91381"/>
    <w:rsid w:val="00C91CBB"/>
    <w:rsid w:val="00CB4E70"/>
    <w:rsid w:val="00CC09B6"/>
    <w:rsid w:val="00CC666F"/>
    <w:rsid w:val="00CD1E3F"/>
    <w:rsid w:val="00CE44F6"/>
    <w:rsid w:val="00CE49DA"/>
    <w:rsid w:val="00CE7B61"/>
    <w:rsid w:val="00D00095"/>
    <w:rsid w:val="00D114F0"/>
    <w:rsid w:val="00D20620"/>
    <w:rsid w:val="00D254F7"/>
    <w:rsid w:val="00D26091"/>
    <w:rsid w:val="00D2685C"/>
    <w:rsid w:val="00D34E7C"/>
    <w:rsid w:val="00D35489"/>
    <w:rsid w:val="00D36AFE"/>
    <w:rsid w:val="00D51276"/>
    <w:rsid w:val="00D7035F"/>
    <w:rsid w:val="00DA634F"/>
    <w:rsid w:val="00DA65AC"/>
    <w:rsid w:val="00DB1913"/>
    <w:rsid w:val="00DC410D"/>
    <w:rsid w:val="00DC5A81"/>
    <w:rsid w:val="00DC68CA"/>
    <w:rsid w:val="00DC7CBA"/>
    <w:rsid w:val="00DD73B7"/>
    <w:rsid w:val="00DF28BC"/>
    <w:rsid w:val="00DF34B9"/>
    <w:rsid w:val="00E01053"/>
    <w:rsid w:val="00E07ACF"/>
    <w:rsid w:val="00E331A1"/>
    <w:rsid w:val="00E33202"/>
    <w:rsid w:val="00E336A9"/>
    <w:rsid w:val="00E472B1"/>
    <w:rsid w:val="00E50624"/>
    <w:rsid w:val="00E54633"/>
    <w:rsid w:val="00E568DF"/>
    <w:rsid w:val="00E64269"/>
    <w:rsid w:val="00E82267"/>
    <w:rsid w:val="00E853CE"/>
    <w:rsid w:val="00E867B6"/>
    <w:rsid w:val="00EA010F"/>
    <w:rsid w:val="00ED1B63"/>
    <w:rsid w:val="00ED3C1F"/>
    <w:rsid w:val="00ED4085"/>
    <w:rsid w:val="00ED420E"/>
    <w:rsid w:val="00ED6FBE"/>
    <w:rsid w:val="00EE2F57"/>
    <w:rsid w:val="00EF4C34"/>
    <w:rsid w:val="00EF77C6"/>
    <w:rsid w:val="00F05438"/>
    <w:rsid w:val="00F1361C"/>
    <w:rsid w:val="00F156F0"/>
    <w:rsid w:val="00F160C7"/>
    <w:rsid w:val="00F2408F"/>
    <w:rsid w:val="00F240E9"/>
    <w:rsid w:val="00F36D8F"/>
    <w:rsid w:val="00F417B1"/>
    <w:rsid w:val="00F45853"/>
    <w:rsid w:val="00F602DF"/>
    <w:rsid w:val="00F754A1"/>
    <w:rsid w:val="00F81FD9"/>
    <w:rsid w:val="00F841AA"/>
    <w:rsid w:val="00F84A94"/>
    <w:rsid w:val="00F87E96"/>
    <w:rsid w:val="00FA23E8"/>
    <w:rsid w:val="00FD3CC1"/>
    <w:rsid w:val="00FF1E02"/>
    <w:rsid w:val="00FF30B4"/>
    <w:rsid w:val="015975B8"/>
    <w:rsid w:val="01A23516"/>
    <w:rsid w:val="01FC185F"/>
    <w:rsid w:val="02317B1B"/>
    <w:rsid w:val="02DF2ECB"/>
    <w:rsid w:val="02FEBE30"/>
    <w:rsid w:val="04554DB0"/>
    <w:rsid w:val="061E35DE"/>
    <w:rsid w:val="06316315"/>
    <w:rsid w:val="06450013"/>
    <w:rsid w:val="066E0107"/>
    <w:rsid w:val="06C90F3D"/>
    <w:rsid w:val="07882F1C"/>
    <w:rsid w:val="07996F6E"/>
    <w:rsid w:val="07DFD8BA"/>
    <w:rsid w:val="08805F77"/>
    <w:rsid w:val="08DB07E4"/>
    <w:rsid w:val="09047D11"/>
    <w:rsid w:val="09867E8F"/>
    <w:rsid w:val="09A679FD"/>
    <w:rsid w:val="0A2032A3"/>
    <w:rsid w:val="0A4D4680"/>
    <w:rsid w:val="0B3E0200"/>
    <w:rsid w:val="0BA54512"/>
    <w:rsid w:val="0C396A19"/>
    <w:rsid w:val="0C6C4794"/>
    <w:rsid w:val="0CA8290A"/>
    <w:rsid w:val="0D35B1ED"/>
    <w:rsid w:val="0DE07E2B"/>
    <w:rsid w:val="0DE10795"/>
    <w:rsid w:val="0E2967B1"/>
    <w:rsid w:val="0E3F3CBD"/>
    <w:rsid w:val="0F98263C"/>
    <w:rsid w:val="101860EC"/>
    <w:rsid w:val="10C055FF"/>
    <w:rsid w:val="10CD30DE"/>
    <w:rsid w:val="110805BA"/>
    <w:rsid w:val="113121D6"/>
    <w:rsid w:val="11772AA4"/>
    <w:rsid w:val="118107EC"/>
    <w:rsid w:val="11A976A8"/>
    <w:rsid w:val="11C1207B"/>
    <w:rsid w:val="11D44A46"/>
    <w:rsid w:val="12633CFA"/>
    <w:rsid w:val="129514FE"/>
    <w:rsid w:val="13957196"/>
    <w:rsid w:val="13D50BC4"/>
    <w:rsid w:val="13F76DF0"/>
    <w:rsid w:val="14022904"/>
    <w:rsid w:val="14E60C13"/>
    <w:rsid w:val="14E90E5C"/>
    <w:rsid w:val="151823B4"/>
    <w:rsid w:val="152F2A07"/>
    <w:rsid w:val="15A14BF4"/>
    <w:rsid w:val="16433F34"/>
    <w:rsid w:val="165E0673"/>
    <w:rsid w:val="169F6585"/>
    <w:rsid w:val="16BB723D"/>
    <w:rsid w:val="16F13FCB"/>
    <w:rsid w:val="171E4694"/>
    <w:rsid w:val="18534811"/>
    <w:rsid w:val="186504BB"/>
    <w:rsid w:val="188C387F"/>
    <w:rsid w:val="19033B41"/>
    <w:rsid w:val="1938089F"/>
    <w:rsid w:val="1977452F"/>
    <w:rsid w:val="19A445FC"/>
    <w:rsid w:val="1A1C6B46"/>
    <w:rsid w:val="1B453001"/>
    <w:rsid w:val="1B7D550C"/>
    <w:rsid w:val="1BE8440E"/>
    <w:rsid w:val="1C7760E2"/>
    <w:rsid w:val="1D062E2D"/>
    <w:rsid w:val="1D091942"/>
    <w:rsid w:val="1D155CEE"/>
    <w:rsid w:val="1D641ADB"/>
    <w:rsid w:val="1DE178F3"/>
    <w:rsid w:val="1E740ACF"/>
    <w:rsid w:val="1FDB75C6"/>
    <w:rsid w:val="1FF35744"/>
    <w:rsid w:val="1FF6BC77"/>
    <w:rsid w:val="21962A9E"/>
    <w:rsid w:val="21AE7C77"/>
    <w:rsid w:val="22BC3C41"/>
    <w:rsid w:val="23200E03"/>
    <w:rsid w:val="2322469F"/>
    <w:rsid w:val="23860B96"/>
    <w:rsid w:val="240371BF"/>
    <w:rsid w:val="24526E20"/>
    <w:rsid w:val="24CC5C28"/>
    <w:rsid w:val="25A7574A"/>
    <w:rsid w:val="260F557C"/>
    <w:rsid w:val="26C77525"/>
    <w:rsid w:val="2756033A"/>
    <w:rsid w:val="2768359D"/>
    <w:rsid w:val="277773B2"/>
    <w:rsid w:val="27795441"/>
    <w:rsid w:val="27D91CD2"/>
    <w:rsid w:val="281408E2"/>
    <w:rsid w:val="29C7422F"/>
    <w:rsid w:val="29FD04D3"/>
    <w:rsid w:val="2AF17658"/>
    <w:rsid w:val="2B93404B"/>
    <w:rsid w:val="2BFF7BC6"/>
    <w:rsid w:val="2C6F4BF8"/>
    <w:rsid w:val="2C8A61B5"/>
    <w:rsid w:val="2CBF4938"/>
    <w:rsid w:val="2CDD2239"/>
    <w:rsid w:val="2CFC7EE5"/>
    <w:rsid w:val="2D2E01CF"/>
    <w:rsid w:val="2D312C5E"/>
    <w:rsid w:val="2D684463"/>
    <w:rsid w:val="2DBD3C64"/>
    <w:rsid w:val="2DF04E50"/>
    <w:rsid w:val="2E0C6CD0"/>
    <w:rsid w:val="2E9545B0"/>
    <w:rsid w:val="2F040D46"/>
    <w:rsid w:val="2FAE5751"/>
    <w:rsid w:val="2FB1A395"/>
    <w:rsid w:val="2FD9A7D8"/>
    <w:rsid w:val="3034687E"/>
    <w:rsid w:val="30704335"/>
    <w:rsid w:val="30D065A7"/>
    <w:rsid w:val="319F7F4E"/>
    <w:rsid w:val="31E9781A"/>
    <w:rsid w:val="321B2544"/>
    <w:rsid w:val="3304709D"/>
    <w:rsid w:val="336074D2"/>
    <w:rsid w:val="33D57001"/>
    <w:rsid w:val="33FB24E0"/>
    <w:rsid w:val="342311DD"/>
    <w:rsid w:val="34281836"/>
    <w:rsid w:val="344F1ED9"/>
    <w:rsid w:val="349D6851"/>
    <w:rsid w:val="35150A2C"/>
    <w:rsid w:val="35BA6CAF"/>
    <w:rsid w:val="35C22019"/>
    <w:rsid w:val="35D37231"/>
    <w:rsid w:val="35DA3A24"/>
    <w:rsid w:val="364D14C1"/>
    <w:rsid w:val="36AA5135"/>
    <w:rsid w:val="36BE0DA7"/>
    <w:rsid w:val="376B6AA6"/>
    <w:rsid w:val="376D39B2"/>
    <w:rsid w:val="378B488C"/>
    <w:rsid w:val="37E16F03"/>
    <w:rsid w:val="37F53A3B"/>
    <w:rsid w:val="389B6C89"/>
    <w:rsid w:val="38D469F0"/>
    <w:rsid w:val="39627CCD"/>
    <w:rsid w:val="397BAF1F"/>
    <w:rsid w:val="39C346F0"/>
    <w:rsid w:val="39FC040D"/>
    <w:rsid w:val="3A1C2091"/>
    <w:rsid w:val="3AB79AF3"/>
    <w:rsid w:val="3B326685"/>
    <w:rsid w:val="3B5348AB"/>
    <w:rsid w:val="3B7EF35A"/>
    <w:rsid w:val="3B9FDB6C"/>
    <w:rsid w:val="3BF5BC2F"/>
    <w:rsid w:val="3C8363F9"/>
    <w:rsid w:val="3CEBA265"/>
    <w:rsid w:val="3D1D4D02"/>
    <w:rsid w:val="3D230B0B"/>
    <w:rsid w:val="3D98207C"/>
    <w:rsid w:val="3D9B0D99"/>
    <w:rsid w:val="3DEE7CF3"/>
    <w:rsid w:val="3DF02244"/>
    <w:rsid w:val="3E3A42C0"/>
    <w:rsid w:val="3E6B1FDB"/>
    <w:rsid w:val="3E78745D"/>
    <w:rsid w:val="3E9559FB"/>
    <w:rsid w:val="3F485A1E"/>
    <w:rsid w:val="3FA946AA"/>
    <w:rsid w:val="3FF4CAE0"/>
    <w:rsid w:val="3FF7B227"/>
    <w:rsid w:val="40704BED"/>
    <w:rsid w:val="40A7650A"/>
    <w:rsid w:val="40E54C45"/>
    <w:rsid w:val="41313393"/>
    <w:rsid w:val="415D3E87"/>
    <w:rsid w:val="4292190E"/>
    <w:rsid w:val="43A407DF"/>
    <w:rsid w:val="43A57B96"/>
    <w:rsid w:val="44396490"/>
    <w:rsid w:val="44515BEA"/>
    <w:rsid w:val="44BB7C4E"/>
    <w:rsid w:val="44E268DA"/>
    <w:rsid w:val="453F7E5B"/>
    <w:rsid w:val="45CF2E79"/>
    <w:rsid w:val="45E3134D"/>
    <w:rsid w:val="462D72F1"/>
    <w:rsid w:val="47176886"/>
    <w:rsid w:val="4729669E"/>
    <w:rsid w:val="47971775"/>
    <w:rsid w:val="48141018"/>
    <w:rsid w:val="48643D4D"/>
    <w:rsid w:val="486A6C7A"/>
    <w:rsid w:val="48D03190"/>
    <w:rsid w:val="49176D9B"/>
    <w:rsid w:val="49374FBE"/>
    <w:rsid w:val="494006BD"/>
    <w:rsid w:val="4A627F82"/>
    <w:rsid w:val="4B0E749A"/>
    <w:rsid w:val="4B4F25DA"/>
    <w:rsid w:val="4BDA0CFB"/>
    <w:rsid w:val="4BE068DB"/>
    <w:rsid w:val="4C075B69"/>
    <w:rsid w:val="4D1B231A"/>
    <w:rsid w:val="4D3C0CCC"/>
    <w:rsid w:val="4D577224"/>
    <w:rsid w:val="4D9B0906"/>
    <w:rsid w:val="4DBF1CEB"/>
    <w:rsid w:val="4EAB630A"/>
    <w:rsid w:val="4ECE2238"/>
    <w:rsid w:val="4F19335A"/>
    <w:rsid w:val="4F252ED8"/>
    <w:rsid w:val="4F365D17"/>
    <w:rsid w:val="4F833267"/>
    <w:rsid w:val="4FC02D0D"/>
    <w:rsid w:val="4FE9BD67"/>
    <w:rsid w:val="4FF510CA"/>
    <w:rsid w:val="4FFB052F"/>
    <w:rsid w:val="51183507"/>
    <w:rsid w:val="52BB04D1"/>
    <w:rsid w:val="52C84ED8"/>
    <w:rsid w:val="53083A92"/>
    <w:rsid w:val="537E6D0A"/>
    <w:rsid w:val="53AF27A2"/>
    <w:rsid w:val="53F74C96"/>
    <w:rsid w:val="55320D2F"/>
    <w:rsid w:val="55436576"/>
    <w:rsid w:val="554F368F"/>
    <w:rsid w:val="55985EE0"/>
    <w:rsid w:val="55A776B4"/>
    <w:rsid w:val="55F04007"/>
    <w:rsid w:val="56E21C78"/>
    <w:rsid w:val="56E47B74"/>
    <w:rsid w:val="573B31E1"/>
    <w:rsid w:val="57B20374"/>
    <w:rsid w:val="57BD3DD4"/>
    <w:rsid w:val="58D06FA9"/>
    <w:rsid w:val="58F00CE5"/>
    <w:rsid w:val="59E817EF"/>
    <w:rsid w:val="5A281BC6"/>
    <w:rsid w:val="5AF92295"/>
    <w:rsid w:val="5B8B40D1"/>
    <w:rsid w:val="5BDD79E6"/>
    <w:rsid w:val="5BF561CA"/>
    <w:rsid w:val="5BFF5DFC"/>
    <w:rsid w:val="5C473E4D"/>
    <w:rsid w:val="5CD71FC4"/>
    <w:rsid w:val="5D1F11B5"/>
    <w:rsid w:val="5D4F3E18"/>
    <w:rsid w:val="5D8C03E7"/>
    <w:rsid w:val="5DAE1B18"/>
    <w:rsid w:val="5DBF32C1"/>
    <w:rsid w:val="5DE7D9E5"/>
    <w:rsid w:val="5E784EDC"/>
    <w:rsid w:val="5ECEC941"/>
    <w:rsid w:val="5F493CB7"/>
    <w:rsid w:val="5FBF9FF3"/>
    <w:rsid w:val="5FCD4E2C"/>
    <w:rsid w:val="5FD15F49"/>
    <w:rsid w:val="5FEF394A"/>
    <w:rsid w:val="5FF67715"/>
    <w:rsid w:val="6115578D"/>
    <w:rsid w:val="62BF3928"/>
    <w:rsid w:val="630C0F08"/>
    <w:rsid w:val="63B76FCF"/>
    <w:rsid w:val="63E92571"/>
    <w:rsid w:val="64754395"/>
    <w:rsid w:val="647F5392"/>
    <w:rsid w:val="64AA1726"/>
    <w:rsid w:val="650C3341"/>
    <w:rsid w:val="65710D93"/>
    <w:rsid w:val="661C6796"/>
    <w:rsid w:val="664B1D71"/>
    <w:rsid w:val="672D2175"/>
    <w:rsid w:val="67315BAE"/>
    <w:rsid w:val="67AA3209"/>
    <w:rsid w:val="67D16185"/>
    <w:rsid w:val="67F602FA"/>
    <w:rsid w:val="681C4F0D"/>
    <w:rsid w:val="68DB3760"/>
    <w:rsid w:val="69046D0F"/>
    <w:rsid w:val="69424091"/>
    <w:rsid w:val="698D0931"/>
    <w:rsid w:val="6A993CED"/>
    <w:rsid w:val="6AEC1DA6"/>
    <w:rsid w:val="6B053271"/>
    <w:rsid w:val="6B93088B"/>
    <w:rsid w:val="6BAE57F3"/>
    <w:rsid w:val="6BCE6674"/>
    <w:rsid w:val="6C353187"/>
    <w:rsid w:val="6C4A05C8"/>
    <w:rsid w:val="6C6B0957"/>
    <w:rsid w:val="6C8742B8"/>
    <w:rsid w:val="6C8A170F"/>
    <w:rsid w:val="6CA5123A"/>
    <w:rsid w:val="6CB54609"/>
    <w:rsid w:val="6CF07CA7"/>
    <w:rsid w:val="6DBF5E93"/>
    <w:rsid w:val="6DFF077E"/>
    <w:rsid w:val="6E6A0C25"/>
    <w:rsid w:val="6E7E3605"/>
    <w:rsid w:val="6E7FDCC7"/>
    <w:rsid w:val="6ED6A62E"/>
    <w:rsid w:val="6EE00B15"/>
    <w:rsid w:val="6F424616"/>
    <w:rsid w:val="6F544B20"/>
    <w:rsid w:val="6F6FB3EB"/>
    <w:rsid w:val="6F784160"/>
    <w:rsid w:val="6F8731EA"/>
    <w:rsid w:val="6FCE6052"/>
    <w:rsid w:val="6FD57C00"/>
    <w:rsid w:val="6FEFFFD8"/>
    <w:rsid w:val="6FF5CC65"/>
    <w:rsid w:val="6FFB47EC"/>
    <w:rsid w:val="6FFF034A"/>
    <w:rsid w:val="702F7EED"/>
    <w:rsid w:val="70496804"/>
    <w:rsid w:val="70FE448F"/>
    <w:rsid w:val="712A28F1"/>
    <w:rsid w:val="713167C5"/>
    <w:rsid w:val="715B772D"/>
    <w:rsid w:val="715C0E4B"/>
    <w:rsid w:val="72233669"/>
    <w:rsid w:val="72473A1C"/>
    <w:rsid w:val="72734D90"/>
    <w:rsid w:val="733273AC"/>
    <w:rsid w:val="7332FE48"/>
    <w:rsid w:val="733A72D5"/>
    <w:rsid w:val="73AB61DA"/>
    <w:rsid w:val="73AD73D5"/>
    <w:rsid w:val="73B6EB34"/>
    <w:rsid w:val="73CF5C6F"/>
    <w:rsid w:val="73FA497D"/>
    <w:rsid w:val="744731E5"/>
    <w:rsid w:val="74527205"/>
    <w:rsid w:val="74BBD01D"/>
    <w:rsid w:val="74ED5379"/>
    <w:rsid w:val="74FC2395"/>
    <w:rsid w:val="75752846"/>
    <w:rsid w:val="757F36C5"/>
    <w:rsid w:val="75DEEEC2"/>
    <w:rsid w:val="76B80C3C"/>
    <w:rsid w:val="76E3355F"/>
    <w:rsid w:val="76FE0619"/>
    <w:rsid w:val="76FF5125"/>
    <w:rsid w:val="776F6FFA"/>
    <w:rsid w:val="778769C8"/>
    <w:rsid w:val="77DC22F5"/>
    <w:rsid w:val="79086DAD"/>
    <w:rsid w:val="79425135"/>
    <w:rsid w:val="79974F09"/>
    <w:rsid w:val="79D7FD79"/>
    <w:rsid w:val="79EE5BA4"/>
    <w:rsid w:val="7A133F73"/>
    <w:rsid w:val="7A894339"/>
    <w:rsid w:val="7AAE414E"/>
    <w:rsid w:val="7AFF7572"/>
    <w:rsid w:val="7B0F19BD"/>
    <w:rsid w:val="7B44017D"/>
    <w:rsid w:val="7B6C7DFB"/>
    <w:rsid w:val="7BBFBED0"/>
    <w:rsid w:val="7BC3E394"/>
    <w:rsid w:val="7BCE7BD3"/>
    <w:rsid w:val="7C1F3737"/>
    <w:rsid w:val="7C940FC9"/>
    <w:rsid w:val="7CBFC87B"/>
    <w:rsid w:val="7CFE0F48"/>
    <w:rsid w:val="7D3B3B9E"/>
    <w:rsid w:val="7D620E06"/>
    <w:rsid w:val="7D7EC23E"/>
    <w:rsid w:val="7D916348"/>
    <w:rsid w:val="7E680235"/>
    <w:rsid w:val="7E7924D3"/>
    <w:rsid w:val="7E8ADEBF"/>
    <w:rsid w:val="7EEF11D3"/>
    <w:rsid w:val="7F0971A6"/>
    <w:rsid w:val="7F3F679B"/>
    <w:rsid w:val="7F4FC4EF"/>
    <w:rsid w:val="7F5E4D54"/>
    <w:rsid w:val="7F6E0135"/>
    <w:rsid w:val="7FA30C79"/>
    <w:rsid w:val="7FAF8ABF"/>
    <w:rsid w:val="7FB7269E"/>
    <w:rsid w:val="7FC96657"/>
    <w:rsid w:val="7FDA9588"/>
    <w:rsid w:val="7FDF220F"/>
    <w:rsid w:val="7FEDC5F7"/>
    <w:rsid w:val="7FEDD9DE"/>
    <w:rsid w:val="7FF07450"/>
    <w:rsid w:val="7FF5890D"/>
    <w:rsid w:val="7FF93490"/>
    <w:rsid w:val="99FF2014"/>
    <w:rsid w:val="A6DD0D7F"/>
    <w:rsid w:val="ADC6F725"/>
    <w:rsid w:val="B7CF06AB"/>
    <w:rsid w:val="B7CFA926"/>
    <w:rsid w:val="B7F8786B"/>
    <w:rsid w:val="BABB6AA1"/>
    <w:rsid w:val="BB2F4199"/>
    <w:rsid w:val="BD079C78"/>
    <w:rsid w:val="BD733540"/>
    <w:rsid w:val="BF3735D5"/>
    <w:rsid w:val="BF7F09AC"/>
    <w:rsid w:val="BFD475C3"/>
    <w:rsid w:val="BFDE5EA6"/>
    <w:rsid w:val="CF6FC6F3"/>
    <w:rsid w:val="CFD3D3D7"/>
    <w:rsid w:val="CFDF1009"/>
    <w:rsid w:val="D7D7B16A"/>
    <w:rsid w:val="D8D6DB89"/>
    <w:rsid w:val="DB6F4CAB"/>
    <w:rsid w:val="DB777682"/>
    <w:rsid w:val="DD1FB521"/>
    <w:rsid w:val="DEFBFEAE"/>
    <w:rsid w:val="DF1F3B80"/>
    <w:rsid w:val="DF6F9789"/>
    <w:rsid w:val="DFFFA9E8"/>
    <w:rsid w:val="E5F4E9DC"/>
    <w:rsid w:val="E70FE695"/>
    <w:rsid w:val="ECFED1BC"/>
    <w:rsid w:val="ED1D69BB"/>
    <w:rsid w:val="ED7FD312"/>
    <w:rsid w:val="EF53993F"/>
    <w:rsid w:val="EF6FD633"/>
    <w:rsid w:val="EFBFB2F4"/>
    <w:rsid w:val="EFBFFA21"/>
    <w:rsid w:val="F2BEBCB8"/>
    <w:rsid w:val="F36FB518"/>
    <w:rsid w:val="F3DE1A04"/>
    <w:rsid w:val="F3F722E5"/>
    <w:rsid w:val="FA5F1E70"/>
    <w:rsid w:val="FA5FDB97"/>
    <w:rsid w:val="FB7F486A"/>
    <w:rsid w:val="FBFF5B2E"/>
    <w:rsid w:val="FD7FFE2B"/>
    <w:rsid w:val="FDEE196B"/>
    <w:rsid w:val="FDFE6575"/>
    <w:rsid w:val="FEDFDDC2"/>
    <w:rsid w:val="FEED32F6"/>
    <w:rsid w:val="FEF781DD"/>
    <w:rsid w:val="FF3F7E3F"/>
    <w:rsid w:val="FFBA12D7"/>
    <w:rsid w:val="FFDFFAEE"/>
    <w:rsid w:val="FFF9B57B"/>
    <w:rsid w:val="FFFD61D9"/>
    <w:rsid w:val="FFFD8F59"/>
    <w:rsid w:val="FFFF2BB1"/>
    <w:rsid w:val="FFFFB04D"/>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name="footnote text"/>
    <w:lsdException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99"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31"/>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32"/>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35"/>
    <w:unhideWhenUsed/>
    <w:qFormat/>
    <w:uiPriority w:val="9"/>
    <w:pPr>
      <w:keepNext/>
      <w:keepLines/>
      <w:spacing w:before="260" w:after="260" w:line="416" w:lineRule="auto"/>
      <w:outlineLvl w:val="2"/>
    </w:pPr>
    <w:rPr>
      <w:b/>
      <w:bCs/>
      <w:sz w:val="32"/>
      <w:szCs w:val="32"/>
    </w:rPr>
  </w:style>
  <w:style w:type="character" w:default="1" w:styleId="19">
    <w:name w:val="Default Paragraph Font"/>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Body Text"/>
    <w:basedOn w:val="1"/>
    <w:link w:val="28"/>
    <w:qFormat/>
    <w:uiPriority w:val="99"/>
    <w:pPr>
      <w:spacing w:beforeLines="30"/>
    </w:pPr>
    <w:rPr>
      <w:rFonts w:ascii="仿宋_GB2312" w:eastAsia="仿宋_GB2312"/>
      <w:kern w:val="0"/>
      <w:sz w:val="30"/>
    </w:rPr>
  </w:style>
  <w:style w:type="paragraph" w:styleId="6">
    <w:name w:val="Body Text Indent"/>
    <w:basedOn w:val="1"/>
    <w:next w:val="7"/>
    <w:qFormat/>
    <w:uiPriority w:val="0"/>
    <w:pPr>
      <w:spacing w:after="120"/>
      <w:ind w:leftChars="200"/>
    </w:pPr>
    <w:rPr>
      <w:rFonts w:ascii="仿宋_GB2312"/>
      <w:szCs w:val="32"/>
    </w:rPr>
  </w:style>
  <w:style w:type="paragraph" w:styleId="7">
    <w:name w:val="Body Text First Indent 2"/>
    <w:basedOn w:val="6"/>
    <w:next w:val="1"/>
    <w:unhideWhenUsed/>
    <w:qFormat/>
    <w:uiPriority w:val="99"/>
    <w:pPr>
      <w:ind w:firstLine="420" w:firstLineChars="200"/>
    </w:pPr>
  </w:style>
  <w:style w:type="paragraph" w:styleId="8">
    <w:name w:val="toc 3"/>
    <w:basedOn w:val="1"/>
    <w:next w:val="1"/>
    <w:unhideWhenUsed/>
    <w:qFormat/>
    <w:uiPriority w:val="39"/>
    <w:pPr>
      <w:tabs>
        <w:tab w:val="right" w:leader="dot" w:pos="8296"/>
      </w:tabs>
      <w:ind w:left="840" w:leftChars="400"/>
    </w:pPr>
  </w:style>
  <w:style w:type="paragraph" w:styleId="9">
    <w:name w:val="Plain Text"/>
    <w:basedOn w:val="1"/>
    <w:qFormat/>
    <w:uiPriority w:val="0"/>
    <w:rPr>
      <w:rFonts w:ascii="宋体" w:hAnsi="Courier New" w:eastAsia="宋体"/>
      <w:sz w:val="21"/>
    </w:rPr>
  </w:style>
  <w:style w:type="paragraph" w:styleId="10">
    <w:name w:val="Balloon Text"/>
    <w:basedOn w:val="1"/>
    <w:link w:val="34"/>
    <w:semiHidden/>
    <w:unhideWhenUsed/>
    <w:qFormat/>
    <w:uiPriority w:val="99"/>
    <w:rPr>
      <w:sz w:val="18"/>
      <w:szCs w:val="18"/>
    </w:rPr>
  </w:style>
  <w:style w:type="paragraph" w:styleId="11">
    <w:name w:val="footer"/>
    <w:basedOn w:val="1"/>
    <w:link w:val="26"/>
    <w:qFormat/>
    <w:uiPriority w:val="99"/>
    <w:pPr>
      <w:tabs>
        <w:tab w:val="center" w:pos="4153"/>
        <w:tab w:val="right" w:pos="8306"/>
      </w:tabs>
      <w:snapToGrid w:val="0"/>
      <w:jc w:val="left"/>
    </w:pPr>
    <w:rPr>
      <w:rFonts w:ascii="Calibri" w:hAnsi="Calibri"/>
      <w:kern w:val="0"/>
      <w:sz w:val="18"/>
      <w:szCs w:val="18"/>
    </w:rPr>
  </w:style>
  <w:style w:type="paragraph" w:styleId="12">
    <w:name w:val="header"/>
    <w:basedOn w:val="1"/>
    <w:link w:val="24"/>
    <w:semiHidden/>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13">
    <w:name w:val="toc 1"/>
    <w:basedOn w:val="1"/>
    <w:next w:val="1"/>
    <w:unhideWhenUsed/>
    <w:qFormat/>
    <w:uiPriority w:val="39"/>
    <w:pPr>
      <w:tabs>
        <w:tab w:val="right" w:leader="dot" w:pos="8296"/>
      </w:tabs>
      <w:spacing w:before="93"/>
      <w:jc w:val="center"/>
    </w:pPr>
    <w:rPr>
      <w:rFonts w:ascii="仿宋" w:hAnsi="仿宋" w:eastAsia="仿宋"/>
      <w:sz w:val="28"/>
      <w:szCs w:val="28"/>
    </w:rPr>
  </w:style>
  <w:style w:type="paragraph" w:styleId="14">
    <w:name w:val="footnote text"/>
    <w:basedOn w:val="1"/>
    <w:next w:val="7"/>
    <w:semiHidden/>
    <w:qFormat/>
    <w:uiPriority w:val="0"/>
    <w:pPr>
      <w:snapToGrid w:val="0"/>
      <w:jc w:val="left"/>
    </w:pPr>
    <w:rPr>
      <w:sz w:val="18"/>
      <w:szCs w:val="18"/>
    </w:rPr>
  </w:style>
  <w:style w:type="paragraph" w:styleId="15">
    <w:name w:val="toc 2"/>
    <w:basedOn w:val="1"/>
    <w:next w:val="1"/>
    <w:unhideWhenUsed/>
    <w:qFormat/>
    <w:uiPriority w:val="39"/>
    <w:pPr>
      <w:tabs>
        <w:tab w:val="right" w:leader="dot" w:pos="8296"/>
      </w:tabs>
      <w:ind w:left="420" w:leftChars="200"/>
    </w:pPr>
  </w:style>
  <w:style w:type="paragraph" w:styleId="16">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17">
    <w:name w:val="Normal (Web)"/>
    <w:basedOn w:val="1"/>
    <w:qFormat/>
    <w:uiPriority w:val="0"/>
    <w:pPr>
      <w:spacing w:before="100" w:beforeAutospacing="1" w:after="100" w:afterAutospacing="1"/>
      <w:ind w:left="0" w:right="0"/>
      <w:jc w:val="left"/>
    </w:pPr>
    <w:rPr>
      <w:kern w:val="0"/>
      <w:sz w:val="24"/>
      <w:lang w:val="en-US" w:eastAsia="zh-CN" w:bidi="ar"/>
    </w:rPr>
  </w:style>
  <w:style w:type="character" w:styleId="20">
    <w:name w:val="Strong"/>
    <w:basedOn w:val="19"/>
    <w:qFormat/>
    <w:uiPriority w:val="99"/>
    <w:rPr>
      <w:b/>
    </w:rPr>
  </w:style>
  <w:style w:type="character" w:styleId="21">
    <w:name w:val="Hyperlink"/>
    <w:basedOn w:val="19"/>
    <w:unhideWhenUsed/>
    <w:qFormat/>
    <w:uiPriority w:val="99"/>
    <w:rPr>
      <w:color w:val="0000FF" w:themeColor="hyperlink"/>
      <w:u w:val="single"/>
      <w14:textFill>
        <w14:solidFill>
          <w14:schemeClr w14:val="hlink"/>
        </w14:solidFill>
      </w14:textFill>
    </w:rPr>
  </w:style>
  <w:style w:type="paragraph" w:customStyle="1" w:styleId="22">
    <w:name w:val="标题 5（有编号）（绿盟科技）"/>
    <w:next w:val="1"/>
    <w:qFormat/>
    <w:uiPriority w:val="99"/>
    <w:pPr>
      <w:keepNext/>
      <w:keepLines/>
      <w:widowControl w:val="0"/>
      <w:spacing w:before="280" w:after="156" w:line="377" w:lineRule="auto"/>
      <w:jc w:val="left"/>
      <w:outlineLvl w:val="4"/>
    </w:pPr>
    <w:rPr>
      <w:rFonts w:ascii="Arial" w:hAnsi="Arial" w:eastAsia="黑体" w:cs="Times New Roman"/>
      <w:b/>
      <w:kern w:val="2"/>
      <w:sz w:val="24"/>
      <w:szCs w:val="28"/>
      <w:lang w:val="en-US" w:eastAsia="zh-CN" w:bidi="ar-SA"/>
    </w:rPr>
  </w:style>
  <w:style w:type="character" w:customStyle="1" w:styleId="23">
    <w:name w:val="Header Char"/>
    <w:basedOn w:val="19"/>
    <w:semiHidden/>
    <w:qFormat/>
    <w:uiPriority w:val="99"/>
    <w:rPr>
      <w:rFonts w:ascii="Times New Roman" w:hAnsi="Times New Roman"/>
      <w:sz w:val="18"/>
      <w:szCs w:val="18"/>
    </w:rPr>
  </w:style>
  <w:style w:type="character" w:customStyle="1" w:styleId="24">
    <w:name w:val="页眉 Char"/>
    <w:link w:val="12"/>
    <w:semiHidden/>
    <w:qFormat/>
    <w:locked/>
    <w:uiPriority w:val="99"/>
    <w:rPr>
      <w:sz w:val="18"/>
    </w:rPr>
  </w:style>
  <w:style w:type="character" w:customStyle="1" w:styleId="25">
    <w:name w:val="Footer Char"/>
    <w:basedOn w:val="19"/>
    <w:semiHidden/>
    <w:qFormat/>
    <w:uiPriority w:val="99"/>
    <w:rPr>
      <w:rFonts w:ascii="Times New Roman" w:hAnsi="Times New Roman"/>
      <w:sz w:val="18"/>
      <w:szCs w:val="18"/>
    </w:rPr>
  </w:style>
  <w:style w:type="character" w:customStyle="1" w:styleId="26">
    <w:name w:val="页脚 Char"/>
    <w:link w:val="11"/>
    <w:qFormat/>
    <w:locked/>
    <w:uiPriority w:val="99"/>
    <w:rPr>
      <w:sz w:val="18"/>
    </w:rPr>
  </w:style>
  <w:style w:type="character" w:customStyle="1" w:styleId="27">
    <w:name w:val="Body Text Char"/>
    <w:basedOn w:val="19"/>
    <w:semiHidden/>
    <w:qFormat/>
    <w:uiPriority w:val="99"/>
    <w:rPr>
      <w:rFonts w:ascii="Times New Roman" w:hAnsi="Times New Roman"/>
      <w:szCs w:val="24"/>
    </w:rPr>
  </w:style>
  <w:style w:type="character" w:customStyle="1" w:styleId="28">
    <w:name w:val="正文文本 Char"/>
    <w:link w:val="5"/>
    <w:qFormat/>
    <w:locked/>
    <w:uiPriority w:val="99"/>
    <w:rPr>
      <w:rFonts w:ascii="仿宋_GB2312" w:hAnsi="Times New Roman" w:eastAsia="仿宋_GB2312"/>
      <w:sz w:val="24"/>
    </w:rPr>
  </w:style>
  <w:style w:type="paragraph" w:customStyle="1" w:styleId="29">
    <w:name w:val="Default"/>
    <w:qFormat/>
    <w:uiPriority w:val="99"/>
    <w:pPr>
      <w:widowControl w:val="0"/>
      <w:autoSpaceDE w:val="0"/>
      <w:autoSpaceDN w:val="0"/>
      <w:adjustRightInd w:val="0"/>
    </w:pPr>
    <w:rPr>
      <w:rFonts w:ascii="仿宋" w:hAnsi="Calibri" w:eastAsia="仿宋" w:cs="仿宋"/>
      <w:color w:val="000000"/>
      <w:sz w:val="24"/>
      <w:szCs w:val="24"/>
      <w:lang w:val="en-US" w:eastAsia="zh-CN" w:bidi="ar-SA"/>
    </w:rPr>
  </w:style>
  <w:style w:type="paragraph" w:styleId="30">
    <w:name w:val="List Paragraph"/>
    <w:basedOn w:val="1"/>
    <w:qFormat/>
    <w:uiPriority w:val="34"/>
    <w:pPr>
      <w:ind w:firstLine="420" w:firstLineChars="200"/>
    </w:pPr>
  </w:style>
  <w:style w:type="character" w:customStyle="1" w:styleId="31">
    <w:name w:val="标题 1 Char"/>
    <w:basedOn w:val="19"/>
    <w:link w:val="2"/>
    <w:qFormat/>
    <w:uiPriority w:val="9"/>
    <w:rPr>
      <w:rFonts w:ascii="Times New Roman" w:hAnsi="Times New Roman"/>
      <w:b/>
      <w:bCs/>
      <w:kern w:val="44"/>
      <w:sz w:val="44"/>
      <w:szCs w:val="44"/>
    </w:rPr>
  </w:style>
  <w:style w:type="character" w:customStyle="1" w:styleId="32">
    <w:name w:val="标题 2 Char"/>
    <w:basedOn w:val="19"/>
    <w:link w:val="3"/>
    <w:qFormat/>
    <w:uiPriority w:val="9"/>
    <w:rPr>
      <w:rFonts w:asciiTheme="majorHAnsi" w:hAnsiTheme="majorHAnsi" w:eastAsiaTheme="majorEastAsia" w:cstheme="majorBidi"/>
      <w:b/>
      <w:bCs/>
      <w:kern w:val="2"/>
      <w:sz w:val="32"/>
      <w:szCs w:val="32"/>
    </w:rPr>
  </w:style>
  <w:style w:type="paragraph" w:customStyle="1" w:styleId="33">
    <w:name w:val="TOC 标题1"/>
    <w:basedOn w:val="2"/>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34">
    <w:name w:val="批注框文本 Char"/>
    <w:basedOn w:val="19"/>
    <w:link w:val="10"/>
    <w:semiHidden/>
    <w:qFormat/>
    <w:uiPriority w:val="99"/>
    <w:rPr>
      <w:rFonts w:ascii="Times New Roman" w:hAnsi="Times New Roman"/>
      <w:kern w:val="2"/>
      <w:sz w:val="18"/>
      <w:szCs w:val="18"/>
    </w:rPr>
  </w:style>
  <w:style w:type="character" w:customStyle="1" w:styleId="35">
    <w:name w:val="标题 3 Char"/>
    <w:basedOn w:val="19"/>
    <w:link w:val="4"/>
    <w:qFormat/>
    <w:uiPriority w:val="9"/>
    <w:rPr>
      <w:rFonts w:ascii="Times New Roman" w:hAnsi="Times New Roman"/>
      <w:b/>
      <w:bCs/>
      <w:kern w:val="2"/>
      <w:sz w:val="32"/>
      <w:szCs w:val="32"/>
    </w:rPr>
  </w:style>
  <w:style w:type="paragraph" w:customStyle="1" w:styleId="36">
    <w:name w:val="TOC Heading"/>
    <w:basedOn w:val="2"/>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paragraph" w:customStyle="1" w:styleId="37">
    <w:name w:val="四号正文"/>
    <w:basedOn w:val="1"/>
    <w:qFormat/>
    <w:uiPriority w:val="0"/>
    <w:pPr>
      <w:spacing w:line="360" w:lineRule="auto"/>
    </w:pPr>
    <w:rPr>
      <w:rFonts w:ascii="??" w:hAnsi="??" w:eastAsia="宋体"/>
      <w:color w:val="000000"/>
      <w:kern w:val="0"/>
      <w:sz w:val="28"/>
      <w:szCs w:val="21"/>
      <w:lang w:val="zh-CN" w:eastAsia="zh-CN"/>
    </w:rPr>
  </w:style>
  <w:style w:type="character" w:customStyle="1" w:styleId="38">
    <w:name w:val="font31"/>
    <w:basedOn w:val="19"/>
    <w:qFormat/>
    <w:uiPriority w:val="0"/>
    <w:rPr>
      <w:rFonts w:hint="eastAsia" w:ascii="黑体" w:hAnsi="黑体" w:eastAsia="黑体" w:cs="黑体"/>
      <w:color w:val="000000"/>
      <w:sz w:val="18"/>
      <w:szCs w:val="18"/>
      <w:u w:val="none"/>
    </w:rPr>
  </w:style>
  <w:style w:type="character" w:customStyle="1" w:styleId="39">
    <w:name w:val="font61"/>
    <w:basedOn w:val="19"/>
    <w:qFormat/>
    <w:uiPriority w:val="0"/>
    <w:rPr>
      <w:rFonts w:hint="eastAsia" w:ascii="宋体" w:hAnsi="宋体" w:eastAsia="宋体" w:cs="宋体"/>
      <w:color w:val="000000"/>
      <w:sz w:val="18"/>
      <w:szCs w:val="18"/>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1.xml"/><Relationship Id="rId16" Type="http://schemas.openxmlformats.org/officeDocument/2006/relationships/chart" Target="charts/chart7.xml"/><Relationship Id="rId15" Type="http://schemas.openxmlformats.org/officeDocument/2006/relationships/chart" Target="charts/chart6.xml"/><Relationship Id="rId14" Type="http://schemas.openxmlformats.org/officeDocument/2006/relationships/chart" Target="charts/chart5.xml"/><Relationship Id="rId13" Type="http://schemas.openxmlformats.org/officeDocument/2006/relationships/chart" Target="charts/chart4.xml"/><Relationship Id="rId12" Type="http://schemas.openxmlformats.org/officeDocument/2006/relationships/chart" Target="charts/chart3.xml"/><Relationship Id="rId11" Type="http://schemas.openxmlformats.org/officeDocument/2006/relationships/chart" Target="charts/chart2.xml"/><Relationship Id="rId10" Type="http://schemas.openxmlformats.org/officeDocument/2006/relationships/chart" Target="charts/chart1.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4" Type="http://schemas.microsoft.com/office/2011/relationships/chartColorStyle" Target="colors1.xml"/><Relationship Id="rId3" Type="http://schemas.microsoft.com/office/2011/relationships/chartStyle" Target="style1.xml"/><Relationship Id="rId2" Type="http://schemas.openxmlformats.org/officeDocument/2006/relationships/themeOverride" Target="../theme/themeOverride1.xml"/><Relationship Id="rId1" Type="http://schemas.openxmlformats.org/officeDocument/2006/relationships/oleObject" Target="file:///C:\Users\Admin\Desktop\2025&#24180;&#20915;&#31639;&#20844;&#24320;&#22270;&#34920;.xlsx" TargetMode="External"/></Relationships>
</file>

<file path=word/charts/_rels/chart2.xml.rels><?xml version="1.0" encoding="UTF-8" standalone="yes"?>
<Relationships xmlns="http://schemas.openxmlformats.org/package/2006/relationships"><Relationship Id="rId4" Type="http://schemas.microsoft.com/office/2011/relationships/chartColorStyle" Target="colors2.xml"/><Relationship Id="rId3" Type="http://schemas.microsoft.com/office/2011/relationships/chartStyle" Target="style2.xml"/><Relationship Id="rId2" Type="http://schemas.openxmlformats.org/officeDocument/2006/relationships/themeOverride" Target="../theme/themeOverride2.xml"/><Relationship Id="rId1" Type="http://schemas.openxmlformats.org/officeDocument/2006/relationships/oleObject" Target="file:///C:\Users\Admin\Desktop\2025&#24180;&#20915;&#31639;&#20844;&#24320;&#22270;&#34920;.xlsx" TargetMode="External"/></Relationships>
</file>

<file path=word/charts/_rels/chart3.xml.rels><?xml version="1.0" encoding="UTF-8" standalone="yes"?>
<Relationships xmlns="http://schemas.openxmlformats.org/package/2006/relationships"><Relationship Id="rId2" Type="http://schemas.openxmlformats.org/officeDocument/2006/relationships/themeOverride" Target="../theme/themeOverride3.xml"/><Relationship Id="rId1" Type="http://schemas.openxmlformats.org/officeDocument/2006/relationships/oleObject" Target="file:///C:\Users\Admin\Desktop\2025&#24180;&#20915;&#31639;&#20844;&#24320;&#22270;&#34920;.xlsx" TargetMode="External"/></Relationships>
</file>

<file path=word/charts/_rels/chart4.xml.rels><?xml version="1.0" encoding="UTF-8" standalone="yes"?>
<Relationships xmlns="http://schemas.openxmlformats.org/package/2006/relationships"><Relationship Id="rId5" Type="http://schemas.microsoft.com/office/2011/relationships/chartColorStyle" Target="colors5.xml"/><Relationship Id="rId4" Type="http://schemas.microsoft.com/office/2011/relationships/chartStyle" Target="style5.xml"/><Relationship Id="rId3" Type="http://schemas.openxmlformats.org/officeDocument/2006/relationships/image" Target="../media/image3.png"/><Relationship Id="rId2" Type="http://schemas.openxmlformats.org/officeDocument/2006/relationships/themeOverride" Target="../theme/themeOverride5.xml"/><Relationship Id="rId1" Type="http://schemas.openxmlformats.org/officeDocument/2006/relationships/oleObject" Target="file:///C:\Users\Admin\Desktop\2025&#24180;&#20915;&#31639;&#20844;&#24320;&#22270;&#34920;.xlsx" TargetMode="External"/></Relationships>
</file>

<file path=word/charts/_rels/chart5.xml.rels><?xml version="1.0" encoding="UTF-8" standalone="yes"?>
<Relationships xmlns="http://schemas.openxmlformats.org/package/2006/relationships"><Relationship Id="rId5" Type="http://schemas.microsoft.com/office/2011/relationships/chartColorStyle" Target="colors4.xml"/><Relationship Id="rId4" Type="http://schemas.microsoft.com/office/2011/relationships/chartStyle" Target="style4.xml"/><Relationship Id="rId3" Type="http://schemas.openxmlformats.org/officeDocument/2006/relationships/image" Target="../media/image2.png"/><Relationship Id="rId2" Type="http://schemas.openxmlformats.org/officeDocument/2006/relationships/image" Target="../media/image1.png"/><Relationship Id="rId1" Type="http://schemas.openxmlformats.org/officeDocument/2006/relationships/oleObject" Target="file:///C:\Users\Admin\Desktop\2025&#24180;&#20915;&#31639;&#20844;&#24320;&#22270;&#34920;.xlsx" TargetMode="External"/></Relationships>
</file>

<file path=word/charts/_rels/chart6.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oleObject" Target="file:///C:\Users\Admin\Desktop\2025&#24180;&#20915;&#31639;&#20844;&#24320;&#22270;&#34920;.xlsx" TargetMode="External"/></Relationships>
</file>

<file path=word/charts/_rels/chart7.xml.rels><?xml version="1.0" encoding="UTF-8" standalone="yes"?>
<Relationships xmlns="http://schemas.openxmlformats.org/package/2006/relationships"><Relationship Id="rId2" Type="http://schemas.openxmlformats.org/officeDocument/2006/relationships/themeOverride" Target="../theme/themeOverride4.xml"/><Relationship Id="rId1" Type="http://schemas.openxmlformats.org/officeDocument/2006/relationships/oleObject" Target="file:///C:\Users\Admin\Desktop\2025&#24180;&#20915;&#31639;&#20844;&#24320;&#22270;&#34920;.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0" vertOverflow="ellipsis" vert="horz" wrap="square" anchor="ctr" anchorCtr="1" forceAA="0"/>
          <a:lstStyle/>
          <a:p>
            <a:pPr>
              <a:defRPr lang="zh-CN" sz="1400" b="0" i="0" u="none" strike="noStrike" kern="1200" baseline="0">
                <a:solidFill>
                  <a:schemeClr val="tx1">
                    <a:lumMod val="75000"/>
                    <a:lumOff val="2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r>
              <a:t>收入、支出决算总计变动情况图</a:t>
            </a:r>
          </a:p>
        </c:rich>
      </c:tx>
      <c:layout/>
      <c:overlay val="0"/>
      <c:spPr>
        <a:noFill/>
        <a:ln>
          <a:noFill/>
        </a:ln>
        <a:effectLst/>
      </c:spPr>
    </c:title>
    <c:autoTitleDeleted val="0"/>
    <c:plotArea>
      <c:layout/>
      <c:barChart>
        <c:barDir val="col"/>
        <c:grouping val="clustered"/>
        <c:varyColors val="0"/>
        <c:ser>
          <c:idx val="0"/>
          <c:order val="0"/>
          <c:spPr>
            <a:gradFill>
              <a:gsLst>
                <a:gs pos="0">
                  <a:srgbClr val="BDD4F6"/>
                </a:gs>
                <a:gs pos="100000">
                  <a:srgbClr val="4D8DE5"/>
                </a:gs>
              </a:gsLst>
              <a:lin ang="5400000" scaled="1"/>
            </a:gra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[2025年决算公开图表.xlsx]Sheet1!$A$2:$A$3</c:f>
              <c:strCache>
                <c:ptCount val="2"/>
                <c:pt idx="0">
                  <c:v>2024年</c:v>
                </c:pt>
                <c:pt idx="1">
                  <c:v>2025年</c:v>
                </c:pt>
              </c:strCache>
            </c:strRef>
          </c:cat>
          <c:val>
            <c:numRef>
              <c:f>[2025年决算公开图表.xlsx]Sheet1!$B$2:$B$3</c:f>
              <c:numCache>
                <c:formatCode>General</c:formatCode>
                <c:ptCount val="2"/>
                <c:pt idx="0">
                  <c:v>1482.05</c:v>
                </c:pt>
                <c:pt idx="1">
                  <c:v>1550.82</c:v>
                </c:pt>
              </c:numCache>
            </c:numRef>
          </c:val>
        </c:ser>
        <c:dLbls>
          <c:showLegendKey val="0"/>
          <c:showVal val="1"/>
          <c:showCatName val="0"/>
          <c:showSerName val="0"/>
          <c:showPercent val="0"/>
          <c:showBubbleSize val="0"/>
        </c:dLbls>
        <c:gapWidth val="150"/>
        <c:overlap val="0"/>
        <c:axId val="264479035"/>
        <c:axId val="721636125"/>
      </c:barChart>
      <c:catAx>
        <c:axId val="264479035"/>
        <c:scaling>
          <c:orientation val="minMax"/>
        </c:scaling>
        <c:delete val="0"/>
        <c:axPos val="b"/>
        <c:numFmt formatCode="General" sourceLinked="1"/>
        <c:majorTickMark val="none"/>
        <c:minorTickMark val="none"/>
        <c:tickLblPos val="nextTo"/>
        <c:spPr>
          <a:noFill/>
          <a:ln w="6350" cap="flat" cmpd="sng" algn="ctr">
            <a:solidFill>
              <a:schemeClr val="tx1">
                <a:lumMod val="50000"/>
                <a:lumOff val="50000"/>
                <a:alpha val="25000"/>
              </a:schemeClr>
            </a:solidFill>
            <a:round/>
          </a:ln>
          <a:effectLst/>
        </c:spPr>
        <c:txPr>
          <a:bodyPr rot="-60000000" spcFirstLastPara="0" vertOverflow="ellipsis" vert="horz" wrap="square" anchor="ctr" anchorCtr="1" forceAA="0"/>
          <a:lstStyle/>
          <a:p>
            <a:pPr>
              <a:defRPr lang="zh-CN" sz="900" b="0" i="0" u="none" strike="noStrike" kern="1200" baseline="0">
                <a:solidFill>
                  <a:schemeClr val="tx1">
                    <a:lumMod val="65000"/>
                    <a:lumOff val="3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crossAx val="721636125"/>
        <c:crosses val="autoZero"/>
        <c:auto val="1"/>
        <c:lblAlgn val="ctr"/>
        <c:lblOffset val="100"/>
        <c:noMultiLvlLbl val="0"/>
      </c:catAx>
      <c:valAx>
        <c:axId val="721636125"/>
        <c:scaling>
          <c:orientation val="minMax"/>
        </c:scaling>
        <c:delete val="0"/>
        <c:axPos val="l"/>
        <c:majorGridlines>
          <c:spPr>
            <a:ln w="6350" cap="flat" cmpd="sng" algn="ctr">
              <a:solidFill>
                <a:schemeClr val="tx1">
                  <a:lumMod val="50000"/>
                  <a:lumOff val="50000"/>
                  <a:alpha val="2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forceAA="0"/>
          <a:lstStyle/>
          <a:p>
            <a:pPr>
              <a:defRPr lang="zh-CN" sz="900" b="0" i="0" u="none" strike="noStrike" kern="1200" baseline="0">
                <a:solidFill>
                  <a:schemeClr val="tx1">
                    <a:lumMod val="65000"/>
                    <a:lumOff val="3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crossAx val="264479035"/>
        <c:crosses val="autoZero"/>
        <c:crossBetween val="between"/>
      </c:valAx>
      <c:spPr>
        <a:noFill/>
        <a:ln>
          <a:noFill/>
        </a:ln>
        <a:effectLst/>
      </c:spPr>
    </c:plotArea>
    <c:plotVisOnly val="1"/>
    <c:dispBlanksAs val="gap"/>
    <c:showDLblsOverMax val="0"/>
    <c:extLst>
      <c:ext uri="{0b15fc19-7d7d-44ad-8c2d-2c3a37ce22c3}">
        <chartProps xmlns="https://web.wps.cn/et/2018/main" chartId="{e1b31d5d-ad36-4fab-a9a8-47828b907ff5}"/>
      </c:ext>
    </c:extLst>
  </c:chart>
  <c:spPr>
    <a:solidFill>
      <a:schemeClr val="bg1"/>
    </a:solidFill>
    <a:ln w="6350" cap="flat" cmpd="sng" algn="ctr">
      <a:solidFill>
        <a:schemeClr val="tx1">
          <a:lumMod val="50000"/>
          <a:lumOff val="50000"/>
          <a:alpha val="25000"/>
        </a:schemeClr>
      </a:solidFill>
      <a:round/>
    </a:ln>
    <a:effectLst/>
  </c:spPr>
  <c:txPr>
    <a:bodyPr/>
    <a:lstStyle/>
    <a:p>
      <a:pPr>
        <a:defRPr lang="zh-CN">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0" vertOverflow="ellipsis" vert="horz" wrap="square" anchor="ctr" anchorCtr="1" forceAA="0"/>
          <a:lstStyle/>
          <a:p>
            <a:pPr>
              <a:defRPr lang="zh-CN" sz="1400" b="0" i="0" u="none" strike="noStrike" kern="1200" spc="0" baseline="0">
                <a:solidFill>
                  <a:schemeClr val="tx1">
                    <a:lumMod val="75000"/>
                    <a:lumOff val="25000"/>
                  </a:schemeClr>
                </a:solidFill>
                <a:latin typeface="微软雅黑" panose="020B0503020204020204" charset="-122"/>
                <a:ea typeface="微软雅黑" panose="020B0503020204020204" charset="-122"/>
                <a:cs typeface="+mn-cs"/>
              </a:defRPr>
            </a:pPr>
            <a:r>
              <a:t>收入决算结构图</a:t>
            </a:r>
          </a:p>
        </c:rich>
      </c:tx>
      <c:layout/>
      <c:overlay val="0"/>
      <c:spPr>
        <a:noFill/>
        <a:ln>
          <a:noFill/>
        </a:ln>
        <a:effectLst/>
      </c:spPr>
    </c:title>
    <c:autoTitleDeleted val="0"/>
    <c:plotArea>
      <c:layout/>
      <c:pieChart>
        <c:varyColors val="1"/>
        <c:ser>
          <c:idx val="0"/>
          <c:order val="0"/>
          <c:spPr>
            <a:gradFill>
              <a:gsLst>
                <a:gs pos="51300">
                  <a:srgbClr val="4888CF"/>
                </a:gs>
                <a:gs pos="0">
                  <a:srgbClr val="95D2FF"/>
                </a:gs>
                <a:gs pos="95000">
                  <a:srgbClr val="3965A3"/>
                </a:gs>
              </a:gsLst>
              <a:lin ang="5400000" scaled="1"/>
            </a:gradFill>
            <a:ln w="15875">
              <a:noFill/>
            </a:ln>
            <a:effectLst>
              <a:outerShdw blurRad="63500" sx="102000" sy="102000" algn="ctr" rotWithShape="0">
                <a:schemeClr val="tx1">
                  <a:lumMod val="50000"/>
                  <a:lumOff val="50000"/>
                  <a:alpha val="40000"/>
                </a:schemeClr>
              </a:outerShdw>
            </a:effectLst>
          </c:spPr>
          <c:explosion val="0"/>
          <c:dPt>
            <c:idx val="0"/>
            <c:bubble3D val="0"/>
            <c:explosion val="10"/>
            <c:spPr>
              <a:gradFill>
                <a:gsLst>
                  <a:gs pos="51300">
                    <a:srgbClr val="4888CF"/>
                  </a:gs>
                  <a:gs pos="0">
                    <a:srgbClr val="95D2FF"/>
                  </a:gs>
                  <a:gs pos="95000">
                    <a:srgbClr val="3965A3"/>
                  </a:gs>
                </a:gsLst>
                <a:lin ang="5400000" scaled="1"/>
              </a:gradFill>
              <a:ln w="15875">
                <a:noFill/>
              </a:ln>
              <a:effectLst>
                <a:outerShdw blurRad="63500" sx="102000" sy="102000" algn="ctr" rotWithShape="0">
                  <a:schemeClr val="tx1">
                    <a:lumMod val="50000"/>
                    <a:lumOff val="50000"/>
                    <a:alpha val="40000"/>
                  </a:schemeClr>
                </a:outerShdw>
              </a:effectLst>
            </c:spPr>
          </c:dPt>
          <c:dPt>
            <c:idx val="1"/>
            <c:bubble3D val="0"/>
            <c:spPr>
              <a:solidFill>
                <a:srgbClr val="EE822F"/>
              </a:solidFill>
              <a:ln w="15875">
                <a:noFill/>
              </a:ln>
              <a:effectLst>
                <a:outerShdw blurRad="63500" sx="102000" sy="102000" algn="ctr" rotWithShape="0">
                  <a:schemeClr val="tx1">
                    <a:lumMod val="50000"/>
                    <a:lumOff val="50000"/>
                    <a:alpha val="40000"/>
                  </a:schemeClr>
                </a:outerShdw>
              </a:effectLst>
            </c:spPr>
          </c:dPt>
          <c:dLbls>
            <c:dLbl>
              <c:idx val="1"/>
              <c:layout>
                <c:manualLayout>
                  <c:x val="-0.00196934840837993"/>
                  <c:y val="0.218159722032777"/>
                </c:manualLayout>
              </c:layout>
              <c:dLblPos val="bestFit"/>
              <c:showLegendKey val="0"/>
              <c:showVal val="0"/>
              <c:showCatName val="0"/>
              <c:showSerName val="0"/>
              <c:showPercent val="1"/>
              <c:showBubbleSize val="0"/>
              <c:separator>
</c:separator>
              <c:extLst>
                <c:ext xmlns:c15="http://schemas.microsoft.com/office/drawing/2012/chart" uri="{CE6537A1-D6FC-4f65-9D91-7224C49458BB}">
                  <c15:layout/>
                </c:ext>
              </c:extLst>
            </c:dLbl>
            <c:numFmt formatCode="General" sourceLinked="1"/>
            <c:spPr>
              <a:noFill/>
              <a:ln>
                <a:noFill/>
              </a:ln>
              <a:effectLst/>
            </c:spPr>
            <c:txPr>
              <a:bodyPr rot="0" spcFirstLastPara="0" vertOverflow="ellipsis" vert="horz" wrap="square" lIns="38100" tIns="19050" rIns="38100" bIns="19050" anchor="ctr" anchorCtr="1" forceAA="0"/>
              <a:lstStyle/>
              <a:p>
                <a:pPr>
                  <a:defRPr lang="zh-CN" sz="900" b="0" i="0" u="none" strike="noStrike" kern="1200" baseline="0">
                    <a:solidFill>
                      <a:schemeClr val="bg1"/>
                    </a:solidFill>
                    <a:latin typeface="微软雅黑" panose="020B0503020204020204" charset="-122"/>
                    <a:ea typeface="微软雅黑" panose="020B0503020204020204" charset="-122"/>
                    <a:cs typeface="+mn-cs"/>
                  </a:defRPr>
                </a:pPr>
              </a:p>
            </c:txPr>
            <c:dLblPos val="inEnd"/>
            <c:showLegendKey val="0"/>
            <c:showVal val="0"/>
            <c:showCatName val="0"/>
            <c:showSerName val="0"/>
            <c:showPercent val="1"/>
            <c:showBubbleSize val="0"/>
            <c:separator>
</c:separator>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[2025年决算公开图表.xlsx]Sheet1!$A$7:$A$8</c:f>
              <c:strCache>
                <c:ptCount val="2"/>
                <c:pt idx="0">
                  <c:v>一般公共预算财政拨款收入</c:v>
                </c:pt>
                <c:pt idx="1">
                  <c:v>其他收入</c:v>
                </c:pt>
              </c:strCache>
            </c:strRef>
          </c:cat>
          <c:val>
            <c:numRef>
              <c:f>[2025年决算公开图表.xlsx]Sheet1!$B$7:$B$8</c:f>
              <c:numCache>
                <c:formatCode>General</c:formatCode>
                <c:ptCount val="2"/>
                <c:pt idx="0">
                  <c:v>1550.79</c:v>
                </c:pt>
                <c:pt idx="1">
                  <c:v>0.03</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r"/>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微软雅黑" panose="020B0503020204020204" charset="-122"/>
              <a:ea typeface="微软雅黑" panose="020B0503020204020204" charset="-122"/>
              <a:cs typeface="+mn-cs"/>
            </a:defRPr>
          </a:pPr>
        </a:p>
      </c:txPr>
    </c:legend>
    <c:plotVisOnly val="1"/>
    <c:dispBlanksAs val="gap"/>
    <c:showDLblsOverMax val="0"/>
    <c:extLst>
      <c:ext uri="{0b15fc19-7d7d-44ad-8c2d-2c3a37ce22c3}">
        <chartProps xmlns="https://web.wps.cn/et/2018/main" chartId="{60c12b71-d9d7-4e17-84b7-aed4b13a8e35}"/>
      </c:ext>
    </c:extLst>
  </c:chart>
  <c:spPr>
    <a:solidFill>
      <a:schemeClr val="bg1"/>
    </a:solidFill>
    <a:ln w="6350" cap="flat" cmpd="sng" algn="ctr">
      <a:solidFill>
        <a:schemeClr val="tx1">
          <a:lumMod val="50000"/>
          <a:lumOff val="50000"/>
          <a:alpha val="25000"/>
        </a:schemeClr>
      </a:solidFill>
      <a:round/>
    </a:ln>
    <a:effectLst>
      <a:outerShdw blurRad="63500" dist="37357" dir="2700000" sx="0" sy="0" rotWithShape="0">
        <a:scrgbClr r="0" g="0" b="0"/>
      </a:outerShdw>
    </a:effectLst>
  </c:spPr>
  <c:txPr>
    <a:bodyPr/>
    <a:lstStyle/>
    <a:p>
      <a:pPr>
        <a:defRPr lang="zh-CN">
          <a:latin typeface="微软雅黑" panose="020B0503020204020204" charset="-122"/>
          <a:ea typeface="微软雅黑" panose="020B0503020204020204" charset="-122"/>
        </a:defRPr>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0" vertOverflow="ellipsis" vert="horz" wrap="square" anchor="ctr" anchorCtr="1" forceAA="0"/>
          <a:lstStyle/>
          <a:p>
            <a:pPr>
              <a:defRPr lang="zh-CN" sz="1400" b="0" i="0" u="none" strike="noStrike" kern="1200" spc="0" baseline="0">
                <a:solidFill>
                  <a:schemeClr val="tx1">
                    <a:lumMod val="75000"/>
                    <a:lumOff val="2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r>
              <a:t>支出决算结构图</a:t>
            </a:r>
          </a:p>
        </c:rich>
      </c:tx>
      <c:layout/>
      <c:overlay val="0"/>
      <c:spPr>
        <a:noFill/>
        <a:ln>
          <a:noFill/>
        </a:ln>
        <a:effectLst/>
      </c:spPr>
    </c:title>
    <c:autoTitleDeleted val="0"/>
    <c:view3D>
      <c:rotX val="30"/>
      <c:rotY val="0"/>
      <c:depthPercent val="100"/>
      <c:rAngAx val="0"/>
    </c:view3D>
    <c:floor>
      <c:thickness val="0"/>
    </c:floor>
    <c:sideWall>
      <c:thickness val="0"/>
    </c:sideWall>
    <c:backWall>
      <c:thickness val="0"/>
    </c:backWall>
    <c:plotArea>
      <c:layout/>
      <c:pie3DChart>
        <c:varyColors val="1"/>
        <c:ser>
          <c:idx val="0"/>
          <c:order val="0"/>
          <c:spPr>
            <a:solidFill>
              <a:schemeClr val="accent1"/>
            </a:solidFill>
            <a:ln w="22225" cmpd="sng">
              <a:solidFill>
                <a:schemeClr val="bg1"/>
              </a:solidFill>
              <a:prstDash val="solid"/>
            </a:ln>
            <a:effectLst/>
            <a:scene3d>
              <a:camera prst="orthographicFront"/>
              <a:lightRig rig="threePt" dir="t"/>
            </a:scene3d>
            <a:sp3d contourW="22225" prstMaterial="flat"/>
          </c:spPr>
          <c:explosion val="0"/>
          <c:dPt>
            <c:idx val="0"/>
            <c:bubble3D val="0"/>
            <c:spPr>
              <a:solidFill>
                <a:schemeClr val="accent1"/>
              </a:solidFill>
              <a:ln w="22225">
                <a:solidFill>
                  <a:schemeClr val="bg1"/>
                </a:solidFill>
              </a:ln>
              <a:effectLst/>
              <a:scene3d>
                <a:camera prst="orthographicFront"/>
                <a:lightRig rig="threePt" dir="t"/>
              </a:scene3d>
              <a:sp3d contourW="22225" prstMaterial="flat"/>
            </c:spPr>
          </c:dPt>
          <c:dPt>
            <c:idx val="1"/>
            <c:bubble3D val="0"/>
            <c:spPr>
              <a:solidFill>
                <a:schemeClr val="accent1">
                  <a:lumMod val="60000"/>
                  <a:lumOff val="40000"/>
                </a:schemeClr>
              </a:solidFill>
              <a:ln w="22225" cmpd="sng">
                <a:solidFill>
                  <a:schemeClr val="bg1"/>
                </a:solidFill>
                <a:prstDash val="solid"/>
              </a:ln>
              <a:effectLst/>
              <a:scene3d>
                <a:camera prst="orthographicFront"/>
                <a:lightRig rig="threePt" dir="t"/>
              </a:scene3d>
              <a:sp3d contourW="22225" prstMaterial="flat"/>
            </c:spPr>
          </c:dPt>
          <c:dLbls>
            <c:numFmt formatCode="General" sourceLinked="1"/>
            <c:spPr>
              <a:noFill/>
              <a:ln>
                <a:noFill/>
              </a:ln>
              <a:effectLst/>
            </c:spPr>
            <c:txPr>
              <a:bodyPr rot="0" spcFirstLastPara="0" vertOverflow="ellipsis" vert="horz" wrap="square" lIns="38100" tIns="19050" rIns="38100" bIns="19050" anchor="ctr" anchorCtr="1" forceAA="0"/>
              <a:lstStyle/>
              <a:p>
                <a:pPr>
                  <a:defRPr lang="zh-CN" sz="1000" b="0" i="0" u="none" strike="noStrike" kern="1200" baseline="0">
                    <a:solidFill>
                      <a:schemeClr val="bg1"/>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dLblPos val="inEnd"/>
            <c:showLegendKey val="0"/>
            <c:showVal val="0"/>
            <c:showCatName val="0"/>
            <c:showSerName val="0"/>
            <c:showPercent val="1"/>
            <c:showBubbleSize val="0"/>
            <c:separator>
</c:separator>
            <c:showLeaderLines val="1"/>
            <c:extLst>
              <c:ext xmlns:c15="http://schemas.microsoft.com/office/drawing/2012/chart" uri="{CE6537A1-D6FC-4f65-9D91-7224C49458BB}">
                <c15:layout/>
                <c15:showLeaderLines val="1"/>
                <c15:leaderLines/>
              </c:ext>
            </c:extLst>
          </c:dLbls>
          <c:cat>
            <c:strRef>
              <c:f>[2025年决算公开图表.xlsx]Sheet1!$A$10:$A$11</c:f>
              <c:strCache>
                <c:ptCount val="2"/>
                <c:pt idx="0">
                  <c:v>基本支出</c:v>
                </c:pt>
                <c:pt idx="1">
                  <c:v>项目支出</c:v>
                </c:pt>
              </c:strCache>
            </c:strRef>
          </c:cat>
          <c:val>
            <c:numRef>
              <c:f>[2025年决算公开图表.xlsx]Sheet1!$B$10:$B$11</c:f>
              <c:numCache>
                <c:formatCode>General</c:formatCode>
                <c:ptCount val="2"/>
                <c:pt idx="0">
                  <c:v>1462.72</c:v>
                </c:pt>
                <c:pt idx="1">
                  <c:v>88.1</c:v>
                </c:pt>
              </c:numCache>
            </c:numRef>
          </c:val>
        </c:ser>
        <c:dLbls>
          <c:showLegendKey val="0"/>
          <c:showVal val="1"/>
          <c:showCatName val="0"/>
          <c:showSerName val="0"/>
          <c:showPercent val="0"/>
          <c:showBubbleSize val="0"/>
        </c:dLbls>
      </c:pie3DChart>
      <c:spPr>
        <a:noFill/>
        <a:ln>
          <a:noFill/>
        </a:ln>
        <a:effectLst/>
      </c:spPr>
    </c:plotArea>
    <c:legend>
      <c:legendPos val="r"/>
      <c:layout/>
      <c:overlay val="0"/>
      <c:txPr>
        <a:bodyPr rot="0" spcFirstLastPara="0" vertOverflow="ellipsis" vert="horz" wrap="square" anchor="ctr" anchorCtr="1"/>
        <a:lstStyle/>
        <a:p>
          <a:pPr>
            <a:defRPr lang="zh-CN" sz="1000" b="0" i="0" u="none" strike="noStrike" kern="1200" baseline="0">
              <a:solidFill>
                <a:schemeClr val="tx1">
                  <a:lumMod val="75000"/>
                  <a:lumOff val="2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legend>
    <c:plotVisOnly val="1"/>
    <c:dispBlanksAs val="gap"/>
    <c:showDLblsOverMax val="0"/>
    <c:extLst>
      <c:ext uri="{0b15fc19-7d7d-44ad-8c2d-2c3a37ce22c3}">
        <chartProps xmlns="https://web.wps.cn/et/2018/main" chartId="{36cd8b66-2d69-4985-860b-fcff31f464fe}"/>
      </c:ext>
    </c:extLst>
  </c:chart>
  <c:spPr>
    <a:solidFill>
      <a:schemeClr val="bg1"/>
    </a:solidFill>
    <a:ln w="6350" cap="flat" cmpd="sng" algn="ctr">
      <a:solidFill>
        <a:schemeClr val="tx1">
          <a:lumMod val="50000"/>
          <a:lumOff val="50000"/>
          <a:alpha val="25000"/>
        </a:schemeClr>
      </a:solidFill>
      <a:prstDash val="solid"/>
      <a:round/>
    </a:ln>
    <a:effectLst>
      <a:outerShdw blurRad="63500" dist="37357" dir="2700000" sx="0" sy="0" rotWithShape="0">
        <a:scrgbClr r="0" g="0" b="0"/>
      </a:outerShdw>
    </a:effectLst>
  </c:spPr>
  <c:txPr>
    <a:bodyPr/>
    <a:lstStyle/>
    <a:p>
      <a:pPr>
        <a:defRPr lang="zh-CN">
          <a:solidFill>
            <a:schemeClr val="tx1">
              <a:lumMod val="75000"/>
              <a:lumOff val="2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0" vertOverflow="ellipsis" vert="horz" wrap="square" anchor="ctr" anchorCtr="1" forceAA="0"/>
          <a:lstStyle/>
          <a:p>
            <a:pPr>
              <a:defRPr lang="zh-CN" sz="1400" b="0" i="0" u="none" strike="noStrike" kern="1200" spc="0" baseline="0">
                <a:solidFill>
                  <a:schemeClr val="tx1">
                    <a:lumMod val="75000"/>
                    <a:lumOff val="2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r>
              <a:t>财政拨款收、支决算总计变动情况</a:t>
            </a:r>
          </a:p>
        </c:rich>
      </c:tx>
      <c:layout/>
      <c:overlay val="0"/>
      <c:spPr>
        <a:noFill/>
        <a:ln>
          <a:noFill/>
        </a:ln>
        <a:effectLst/>
      </c:spPr>
    </c:title>
    <c:autoTitleDeleted val="0"/>
    <c:plotArea>
      <c:layout/>
      <c:barChart>
        <c:barDir val="col"/>
        <c:grouping val="clustered"/>
        <c:varyColors val="0"/>
        <c:ser>
          <c:idx val="0"/>
          <c:order val="0"/>
          <c:spPr>
            <a:blipFill dpi="0" rotWithShape="1">
              <a:blip xmlns:r="http://schemas.openxmlformats.org/officeDocument/2006/relationships" r:embed="rId3">
                <a:alphaModFix amt="80000"/>
                <a:duotone>
                  <a:schemeClr val="accent1"/>
                  <a:prstClr val="white"/>
                </a:duotone>
              </a:blip>
              <a:srcRect/>
              <a:stretch>
                <a:fillRect/>
              </a:stretch>
            </a:blipFill>
            <a:ln>
              <a:noFill/>
            </a:ln>
            <a:effectLst/>
          </c:spPr>
          <c:invertIfNegative val="0"/>
          <c:dPt>
            <c:idx val="0"/>
            <c:invertIfNegative val="0"/>
            <c:bubble3D val="0"/>
            <c:spPr>
              <a:blipFill dpi="0" rotWithShape="1">
                <a:blip xmlns:r="http://schemas.openxmlformats.org/officeDocument/2006/relationships" r:embed="rId3">
                  <a:alphaModFix amt="80000"/>
                  <a:duotone>
                    <a:schemeClr val="accent1"/>
                    <a:prstClr val="white"/>
                  </a:duotone>
                </a:blip>
                <a:srcRect/>
                <a:stretch>
                  <a:fillRect/>
                </a:stretch>
              </a:blipFill>
              <a:ln>
                <a:noFill/>
              </a:ln>
              <a:effectLst/>
            </c:spPr>
          </c:dPt>
          <c:dPt>
            <c:idx val="1"/>
            <c:invertIfNegative val="0"/>
            <c:bubble3D val="0"/>
            <c:spPr>
              <a:blipFill dpi="0" rotWithShape="1">
                <a:blip xmlns:r="http://schemas.openxmlformats.org/officeDocument/2006/relationships" r:embed="rId3">
                  <a:alphaModFix amt="80000"/>
                  <a:duotone>
                    <a:schemeClr val="accent1"/>
                    <a:prstClr val="white"/>
                  </a:duotone>
                </a:blip>
                <a:srcRect/>
                <a:stretch>
                  <a:fillRect/>
                </a:stretch>
              </a:blipFill>
              <a:ln>
                <a:no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[2025年决算公开图表.xlsx]Sheet1!$A$14:$A$15</c:f>
              <c:strCache>
                <c:ptCount val="2"/>
                <c:pt idx="0">
                  <c:v>2024年</c:v>
                </c:pt>
                <c:pt idx="1">
                  <c:v>2025年</c:v>
                </c:pt>
              </c:strCache>
            </c:strRef>
          </c:cat>
          <c:val>
            <c:numRef>
              <c:f>[2025年决算公开图表.xlsx]Sheet1!$B$14:$B$15</c:f>
              <c:numCache>
                <c:formatCode>General</c:formatCode>
                <c:ptCount val="2"/>
                <c:pt idx="0">
                  <c:v>1482.02</c:v>
                </c:pt>
                <c:pt idx="1">
                  <c:v>1550.79</c:v>
                </c:pt>
              </c:numCache>
            </c:numRef>
          </c:val>
        </c:ser>
        <c:dLbls>
          <c:showLegendKey val="0"/>
          <c:showVal val="0"/>
          <c:showCatName val="0"/>
          <c:showSerName val="0"/>
          <c:showPercent val="0"/>
          <c:showBubbleSize val="0"/>
        </c:dLbls>
        <c:gapWidth val="150"/>
        <c:overlap val="0"/>
        <c:axId val="566533608"/>
        <c:axId val="899036087"/>
      </c:barChart>
      <c:catAx>
        <c:axId val="566533608"/>
        <c:scaling>
          <c:orientation val="minMax"/>
        </c:scaling>
        <c:delete val="0"/>
        <c:axPos val="b"/>
        <c:numFmt formatCode="General" sourceLinked="1"/>
        <c:majorTickMark val="none"/>
        <c:minorTickMark val="none"/>
        <c:tickLblPos val="nextTo"/>
        <c:spPr>
          <a:noFill/>
          <a:ln w="9525" cap="flat" cmpd="sng" algn="ctr">
            <a:solidFill>
              <a:schemeClr val="tx1">
                <a:lumMod val="50000"/>
                <a:lumOff val="50000"/>
                <a:alpha val="25000"/>
              </a:schemeClr>
            </a:solidFill>
            <a:round/>
          </a:ln>
          <a:effectLst/>
        </c:spPr>
        <c:txPr>
          <a:bodyPr rot="-60000000" spcFirstLastPara="0" vertOverflow="ellipsis" vert="horz" wrap="square" anchor="ctr" anchorCtr="1" forceAA="0"/>
          <a:lstStyle/>
          <a:p>
            <a:pPr>
              <a:defRPr lang="zh-CN" sz="900" b="0" i="0" u="none" strike="noStrike" kern="1200" baseline="0">
                <a:solidFill>
                  <a:schemeClr val="tx1">
                    <a:lumMod val="75000"/>
                    <a:lumOff val="2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crossAx val="899036087"/>
        <c:crosses val="autoZero"/>
        <c:auto val="1"/>
        <c:lblAlgn val="ctr"/>
        <c:lblOffset val="100"/>
        <c:noMultiLvlLbl val="0"/>
      </c:catAx>
      <c:valAx>
        <c:axId val="899036087"/>
        <c:scaling>
          <c:orientation val="minMax"/>
        </c:scaling>
        <c:delete val="0"/>
        <c:axPos val="l"/>
        <c:majorGridlines>
          <c:spPr>
            <a:ln w="9525" cap="flat" cmpd="sng" algn="ctr">
              <a:solidFill>
                <a:schemeClr val="tx1">
                  <a:lumMod val="50000"/>
                  <a:lumOff val="50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forceAA="0"/>
          <a:lstStyle/>
          <a:p>
            <a:pPr>
              <a:defRPr lang="zh-CN" sz="900" b="0" i="0" u="none" strike="noStrike" kern="1200" baseline="0">
                <a:solidFill>
                  <a:schemeClr val="tx1">
                    <a:lumMod val="75000"/>
                    <a:lumOff val="2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crossAx val="566533608"/>
        <c:crosses val="autoZero"/>
        <c:crossBetween val="between"/>
      </c:valAx>
      <c:spPr>
        <a:noFill/>
        <a:ln>
          <a:noFill/>
        </a:ln>
        <a:effectLst/>
      </c:spPr>
    </c:plotArea>
    <c:plotVisOnly val="1"/>
    <c:dispBlanksAs val="gap"/>
    <c:showDLblsOverMax val="0"/>
    <c:extLst>
      <c:ext uri="{0b15fc19-7d7d-44ad-8c2d-2c3a37ce22c3}">
        <chartProps xmlns="https://web.wps.cn/et/2018/main" chartId="{10161b16-9cda-44ae-b690-45604c6b6a43}"/>
      </c:ext>
    </c:extLst>
  </c:chart>
  <c:spPr>
    <a:solidFill>
      <a:schemeClr val="bg1"/>
    </a:solidFill>
    <a:ln w="9525" cap="flat" cmpd="sng" algn="ctr">
      <a:solidFill>
        <a:schemeClr val="tx1">
          <a:lumMod val="50000"/>
          <a:lumOff val="50000"/>
          <a:alpha val="25000"/>
        </a:schemeClr>
      </a:solidFill>
      <a:round/>
    </a:ln>
    <a:effectLst/>
  </c:spPr>
  <c:txPr>
    <a:bodyPr/>
    <a:lstStyle/>
    <a:p>
      <a:pPr>
        <a:defRPr lang="zh-CN">
          <a:solidFill>
            <a:schemeClr val="tx1">
              <a:lumMod val="75000"/>
              <a:lumOff val="2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forceAA="0"/>
          <a:lstStyle/>
          <a:p>
            <a:pPr>
              <a:defRPr lang="zh-CN" sz="1400" b="0" i="0" u="none" strike="noStrike" kern="1200" spc="0" baseline="0">
                <a:solidFill>
                  <a:schemeClr val="tx1">
                    <a:lumMod val="75000"/>
                    <a:lumOff val="2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r>
              <a:t>一般公共预算财政拨款支出决算变动情况</a:t>
            </a:r>
          </a:p>
        </c:rich>
      </c:tx>
      <c:layout/>
      <c:overlay val="0"/>
      <c:spPr>
        <a:noFill/>
        <a:ln>
          <a:noFill/>
        </a:ln>
        <a:effectLst/>
      </c:spPr>
    </c:title>
    <c:autoTitleDeleted val="0"/>
    <c:plotArea>
      <c:layout/>
      <c:barChart>
        <c:barDir val="col"/>
        <c:grouping val="clustered"/>
        <c:varyColors val="0"/>
        <c:ser>
          <c:idx val="0"/>
          <c:order val="0"/>
          <c:spPr>
            <a:blipFill rotWithShape="1">
              <a:blip xmlns:r="http://schemas.openxmlformats.org/officeDocument/2006/relationships" r:embed="rId2">
                <a:duotone>
                  <a:schemeClr val="accent1"/>
                  <a:prstClr val="white"/>
                </a:duotone>
              </a:blip>
              <a:stretch>
                <a:fillRect/>
              </a:stretch>
            </a:blipFill>
            <a:ln>
              <a:noFill/>
            </a:ln>
            <a:effectLst>
              <a:outerShdw blurRad="76200" dir="18900000" sy="23000" kx="-1200000" algn="bl" rotWithShape="0">
                <a:prstClr val="black">
                  <a:alpha val="10000"/>
                </a:prstClr>
              </a:outerShdw>
            </a:effectLst>
          </c:spPr>
          <c:invertIfNegative val="0"/>
          <c:dPt>
            <c:idx val="0"/>
            <c:invertIfNegative val="0"/>
            <c:bubble3D val="0"/>
            <c:spPr>
              <a:blipFill rotWithShape="1">
                <a:blip xmlns:r="http://schemas.openxmlformats.org/officeDocument/2006/relationships" r:embed="rId3">
                  <a:duotone>
                    <a:schemeClr val="accent1"/>
                    <a:prstClr val="white"/>
                  </a:duotone>
                </a:blip>
                <a:stretch>
                  <a:fillRect/>
                </a:stretch>
              </a:blipFill>
              <a:ln>
                <a:noFill/>
              </a:ln>
              <a:effectLst>
                <a:outerShdw blurRad="76200" dir="18900000" sy="23000" kx="-1200000" algn="bl" rotWithShape="0">
                  <a:prstClr val="black">
                    <a:alpha val="10000"/>
                  </a:prstClr>
                </a:outerShdw>
              </a:effectLst>
            </c:spPr>
          </c:dPt>
          <c:dPt>
            <c:idx val="1"/>
            <c:invertIfNegative val="0"/>
            <c:bubble3D val="0"/>
            <c:spPr>
              <a:blipFill rotWithShape="1">
                <a:blip xmlns:r="http://schemas.openxmlformats.org/officeDocument/2006/relationships" r:embed="rId3">
                  <a:duotone>
                    <a:schemeClr val="accent2"/>
                    <a:prstClr val="white"/>
                  </a:duotone>
                </a:blip>
                <a:stretch>
                  <a:fillRect/>
                </a:stretch>
              </a:blipFill>
              <a:ln>
                <a:noFill/>
              </a:ln>
              <a:effectLst>
                <a:outerShdw blurRad="76200" dir="18900000" sy="23000" kx="-1200000" algn="bl" rotWithShape="0">
                  <a:prstClr val="black">
                    <a:alpha val="10000"/>
                  </a:prstClr>
                </a:outerShdw>
              </a:effectLst>
            </c:spPr>
          </c:dPt>
          <c:dLbls>
            <c:dLbl>
              <c:idx val="0"/>
              <c:layout/>
              <c:numFmt formatCode="General" sourceLinked="1"/>
              <c:spPr>
                <a:solidFill>
                  <a:schemeClr val="accent1"/>
                </a:solidFill>
                <a:ln>
                  <a:noFill/>
                </a:ln>
                <a:effectLst/>
              </c:spPr>
              <c:txPr>
                <a:bodyPr rot="0" spcFirstLastPara="0" vertOverflow="ellipsis" vert="horz" wrap="square" lIns="39370" tIns="0" rIns="38100" bIns="0" anchor="ctr" anchorCtr="1" forceAA="0"/>
                <a:lstStyle/>
                <a:p>
                  <a:pPr>
                    <a:defRPr lang="zh-CN" sz="900" b="0" i="0" u="none" strike="noStrike" kern="1200" baseline="0">
                      <a:solidFill>
                        <a:schemeClr val="bg1"/>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dLblPos val="outEnd"/>
              <c:showLegendKey val="0"/>
              <c:showVal val="1"/>
              <c:showCatName val="0"/>
              <c:showSerName val="0"/>
              <c:showPercent val="0"/>
              <c:showBubbleSize val="0"/>
              <c:extLst>
                <c:ext xmlns:c15="http://schemas.microsoft.com/office/drawing/2012/chart" uri="{CE6537A1-D6FC-4f65-9D91-7224C49458BB}"/>
              </c:extLst>
            </c:dLbl>
            <c:dLbl>
              <c:idx val="1"/>
              <c:layout/>
              <c:numFmt formatCode="General" sourceLinked="1"/>
              <c:spPr>
                <a:solidFill>
                  <a:schemeClr val="accent2"/>
                </a:solidFill>
                <a:ln>
                  <a:noFill/>
                </a:ln>
                <a:effectLst/>
              </c:spPr>
              <c:txPr>
                <a:bodyPr rot="0" spcFirstLastPara="0" vertOverflow="ellipsis" vert="horz" wrap="square" lIns="39370" tIns="0" rIns="38100" bIns="0" anchor="ctr" anchorCtr="1" forceAA="0"/>
                <a:lstStyle/>
                <a:p>
                  <a:pPr>
                    <a:defRPr lang="zh-CN" sz="900" b="0" i="0" u="none" strike="noStrike" kern="1200" baseline="0">
                      <a:solidFill>
                        <a:schemeClr val="bg1"/>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dLblPos val="outEnd"/>
              <c:showLegendKey val="0"/>
              <c:showVal val="1"/>
              <c:showCatName val="0"/>
              <c:showSerName val="0"/>
              <c:showPercent val="0"/>
              <c:showBubbleSize val="0"/>
              <c:extLst>
                <c:ext xmlns:c15="http://schemas.microsoft.com/office/drawing/2012/chart" uri="{CE6537A1-D6FC-4f65-9D91-7224C49458BB}"/>
              </c:extLst>
            </c:dLbl>
            <c:numFmt formatCode="General" sourceLinked="1"/>
            <c:spPr>
              <a:noFill/>
              <a:ln>
                <a:noFill/>
              </a:ln>
              <a:effectLst/>
            </c:spPr>
            <c:txPr>
              <a:bodyPr rot="0" spcFirstLastPara="0" vertOverflow="ellipsis" vert="horz" wrap="square" lIns="39370" tIns="0" rIns="38100" bIns="0" anchor="ctr" anchorCtr="1" forceAA="0"/>
              <a:lstStyle/>
              <a:p>
                <a:pPr>
                  <a:defRPr lang="zh-CN" sz="900" b="0" i="0" u="none" strike="noStrike" kern="1200" baseline="0">
                    <a:solidFill>
                      <a:schemeClr val="bg1"/>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[2025年决算公开图表.xlsx]Sheet1!$A$14:$A$15</c:f>
              <c:strCache>
                <c:ptCount val="2"/>
                <c:pt idx="0">
                  <c:v>2024年</c:v>
                </c:pt>
                <c:pt idx="1">
                  <c:v>2025年</c:v>
                </c:pt>
              </c:strCache>
            </c:strRef>
          </c:cat>
          <c:val>
            <c:numRef>
              <c:f>[2025年决算公开图表.xlsx]Sheet1!$B$14:$B$15</c:f>
              <c:numCache>
                <c:formatCode>General</c:formatCode>
                <c:ptCount val="2"/>
                <c:pt idx="0">
                  <c:v>1482.02</c:v>
                </c:pt>
                <c:pt idx="1">
                  <c:v>1550.79</c:v>
                </c:pt>
              </c:numCache>
            </c:numRef>
          </c:val>
        </c:ser>
        <c:dLbls>
          <c:showLegendKey val="0"/>
          <c:showVal val="1"/>
          <c:showCatName val="0"/>
          <c:showSerName val="0"/>
          <c:showPercent val="0"/>
          <c:showBubbleSize val="0"/>
        </c:dLbls>
        <c:gapWidth val="152"/>
        <c:overlap val="-21"/>
        <c:axId val="566533608"/>
        <c:axId val="899036087"/>
      </c:barChart>
      <c:catAx>
        <c:axId val="566533608"/>
        <c:scaling>
          <c:orientation val="minMax"/>
        </c:scaling>
        <c:delete val="0"/>
        <c:axPos val="b"/>
        <c:majorGridlines>
          <c:spPr>
            <a:ln w="6350" cap="flat" cmpd="sng" algn="ctr">
              <a:solidFill>
                <a:schemeClr val="tx1">
                  <a:lumMod val="50000"/>
                  <a:lumOff val="50000"/>
                  <a:alpha val="25000"/>
                </a:schemeClr>
              </a:solidFill>
              <a:round/>
            </a:ln>
            <a:effectLst/>
          </c:spPr>
        </c:majorGridlines>
        <c:numFmt formatCode="General" sourceLinked="1"/>
        <c:majorTickMark val="none"/>
        <c:minorTickMark val="none"/>
        <c:tickLblPos val="nextTo"/>
        <c:spPr>
          <a:noFill/>
          <a:ln w="6350" cap="flat" cmpd="sng" algn="ctr">
            <a:solidFill>
              <a:schemeClr val="tx1">
                <a:lumMod val="50000"/>
                <a:lumOff val="50000"/>
                <a:alpha val="25000"/>
              </a:schemeClr>
            </a:solidFill>
            <a:round/>
          </a:ln>
          <a:effectLst/>
        </c:spPr>
        <c:txPr>
          <a:bodyPr rot="-60000000" spcFirstLastPara="0" vertOverflow="ellipsis" vert="horz" wrap="square" anchor="ctr" anchorCtr="1" forceAA="0"/>
          <a:lstStyle/>
          <a:p>
            <a:pPr>
              <a:defRPr lang="zh-CN" sz="900" b="0" i="0" u="none" strike="noStrike" kern="1200" baseline="0">
                <a:solidFill>
                  <a:schemeClr val="tx1">
                    <a:lumMod val="75000"/>
                    <a:lumOff val="2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crossAx val="899036087"/>
        <c:crosses val="autoZero"/>
        <c:auto val="1"/>
        <c:lblAlgn val="ctr"/>
        <c:lblOffset val="100"/>
        <c:noMultiLvlLbl val="0"/>
      </c:catAx>
      <c:valAx>
        <c:axId val="899036087"/>
        <c:scaling>
          <c:orientation val="minMax"/>
        </c:scaling>
        <c:delete val="1"/>
        <c:axPos val="l"/>
        <c:numFmt formatCode="General" sourceLinked="1"/>
        <c:majorTickMark val="none"/>
        <c:minorTickMark val="none"/>
        <c:tickLblPos val="nextTo"/>
        <c:txPr>
          <a:bodyPr rot="-60000000" spcFirstLastPara="0" vertOverflow="ellipsis" vert="horz" wrap="square" anchor="ctr" anchorCtr="1" forceAA="0"/>
          <a:lstStyle/>
          <a:p>
            <a:pPr>
              <a:defRPr lang="zh-CN" sz="900" b="0" i="0" u="none" strike="noStrike" kern="1200" baseline="0">
                <a:solidFill>
                  <a:schemeClr val="tx1">
                    <a:lumMod val="65000"/>
                    <a:lumOff val="3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crossAx val="566533608"/>
        <c:crosses val="autoZero"/>
        <c:crossBetween val="between"/>
      </c:valAx>
      <c:spPr>
        <a:noFill/>
        <a:ln>
          <a:noFill/>
        </a:ln>
        <a:effectLst/>
      </c:spPr>
    </c:plotArea>
    <c:plotVisOnly val="1"/>
    <c:dispBlanksAs val="gap"/>
    <c:showDLblsOverMax val="0"/>
    <c:extLst>
      <c:ext uri="{0b15fc19-7d7d-44ad-8c2d-2c3a37ce22c3}">
        <chartProps xmlns="https://web.wps.cn/et/2018/main" chartId="{d6662ce3-1f37-402c-a00a-ac7b65683e9c}"/>
      </c:ext>
    </c:extLst>
  </c:chart>
  <c:spPr>
    <a:solidFill>
      <a:schemeClr val="bg1"/>
    </a:solidFill>
    <a:ln w="6350" cap="flat" cmpd="sng" algn="ctr">
      <a:solidFill>
        <a:schemeClr val="tx1">
          <a:lumMod val="50000"/>
          <a:lumOff val="50000"/>
          <a:alpha val="25000"/>
        </a:schemeClr>
      </a:solidFill>
      <a:round/>
    </a:ln>
    <a:effectLst/>
  </c:spPr>
  <c:txPr>
    <a:bodyPr/>
    <a:lstStyle/>
    <a:p>
      <a:pPr>
        <a:defRPr lang="zh-CN">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forceAA="0"/>
          <a:lstStyle/>
          <a:p>
            <a:pPr>
              <a:defRPr lang="zh-CN" sz="1400" b="0" i="0" u="none" strike="noStrike" kern="1200" baseline="0">
                <a:solidFill>
                  <a:schemeClr val="tx1">
                    <a:lumMod val="75000"/>
                    <a:lumOff val="2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r>
              <a:t>一般公共预算财政拨款支出决算结构</a:t>
            </a:r>
          </a:p>
        </c:rich>
      </c:tx>
      <c:layout/>
      <c:overlay val="0"/>
      <c:spPr>
        <a:noFill/>
        <a:ln>
          <a:noFill/>
        </a:ln>
        <a:effectLst/>
      </c:spPr>
    </c:title>
    <c:autoTitleDeleted val="0"/>
    <c:view3D>
      <c:rotX val="30"/>
      <c:rotY val="0"/>
      <c:depthPercent val="100"/>
      <c:rAngAx val="0"/>
    </c:view3D>
    <c:floor>
      <c:thickness val="0"/>
      <c:spPr>
        <a:noFill/>
        <a:effectLst/>
      </c:spPr>
    </c:floor>
    <c:sideWall>
      <c:thickness val="0"/>
      <c:spPr>
        <a:noFill/>
        <a:effectLst/>
      </c:spPr>
    </c:sideWall>
    <c:backWall>
      <c:thickness val="0"/>
      <c:spPr>
        <a:noFill/>
        <a:effectLst/>
      </c:spPr>
    </c:backWall>
    <c:plotArea>
      <c:layout/>
      <c:pie3DChart>
        <c:varyColors val="1"/>
        <c:ser>
          <c:idx val="0"/>
          <c:order val="0"/>
          <c:spPr>
            <a:ln w="22225">
              <a:solidFill>
                <a:schemeClr val="bg1"/>
              </a:solidFill>
            </a:ln>
            <a:scene3d>
              <a:camera prst="orthographicFront"/>
              <a:lightRig rig="threePt" dir="t"/>
            </a:scene3d>
            <a:sp3d contourW="22225"/>
          </c:spPr>
          <c:explosion val="0"/>
          <c:dPt>
            <c:idx val="0"/>
            <c:bubble3D val="0"/>
            <c:spPr>
              <a:gradFill>
                <a:gsLst>
                  <a:gs pos="100000">
                    <a:schemeClr val="accent1"/>
                  </a:gs>
                  <a:gs pos="0">
                    <a:schemeClr val="accent1">
                      <a:hueOff val="-1670000"/>
                    </a:schemeClr>
                  </a:gs>
                </a:gsLst>
                <a:lin ang="5400000" scaled="0"/>
              </a:gradFill>
              <a:ln w="22225">
                <a:solidFill>
                  <a:schemeClr val="bg1"/>
                </a:solidFill>
              </a:ln>
              <a:effectLst/>
              <a:scene3d>
                <a:camera prst="orthographicFront"/>
                <a:lightRig rig="threePt" dir="t"/>
              </a:scene3d>
              <a:sp3d contourW="22225"/>
            </c:spPr>
          </c:dPt>
          <c:dPt>
            <c:idx val="1"/>
            <c:bubble3D val="0"/>
            <c:spPr>
              <a:gradFill>
                <a:gsLst>
                  <a:gs pos="0">
                    <a:srgbClr val="BDD4F6"/>
                  </a:gs>
                  <a:gs pos="100000">
                    <a:srgbClr val="4D8DE5"/>
                  </a:gs>
                </a:gsLst>
                <a:lin ang="5400000" scaled="1"/>
              </a:gradFill>
              <a:ln w="22225">
                <a:solidFill>
                  <a:schemeClr val="bg1"/>
                </a:solidFill>
              </a:ln>
              <a:effectLst/>
              <a:scene3d>
                <a:camera prst="orthographicFront"/>
                <a:lightRig rig="threePt" dir="t"/>
              </a:scene3d>
              <a:sp3d contourW="22225"/>
            </c:spPr>
          </c:dPt>
          <c:dPt>
            <c:idx val="2"/>
            <c:bubble3D val="0"/>
            <c:spPr>
              <a:gradFill>
                <a:gsLst>
                  <a:gs pos="100000">
                    <a:schemeClr val="accent3"/>
                  </a:gs>
                  <a:gs pos="0">
                    <a:schemeClr val="accent3">
                      <a:hueOff val="-1670000"/>
                    </a:schemeClr>
                  </a:gs>
                </a:gsLst>
                <a:lin ang="5400000" scaled="0"/>
              </a:gradFill>
              <a:ln w="22225">
                <a:solidFill>
                  <a:schemeClr val="bg1"/>
                </a:solidFill>
              </a:ln>
              <a:effectLst/>
              <a:scene3d>
                <a:camera prst="orthographicFront"/>
                <a:lightRig rig="threePt" dir="t"/>
              </a:scene3d>
              <a:sp3d contourW="22225"/>
            </c:spPr>
          </c:dPt>
          <c:dPt>
            <c:idx val="3"/>
            <c:bubble3D val="0"/>
            <c:spPr>
              <a:gradFill>
                <a:gsLst>
                  <a:gs pos="100000">
                    <a:schemeClr val="accent4"/>
                  </a:gs>
                  <a:gs pos="0">
                    <a:schemeClr val="accent4">
                      <a:hueOff val="-1670000"/>
                    </a:schemeClr>
                  </a:gs>
                </a:gsLst>
                <a:lin ang="5400000" scaled="0"/>
              </a:gradFill>
              <a:ln w="22225">
                <a:solidFill>
                  <a:schemeClr val="bg1"/>
                </a:solidFill>
              </a:ln>
              <a:effectLst/>
              <a:scene3d>
                <a:camera prst="orthographicFront"/>
                <a:lightRig rig="threePt" dir="t"/>
              </a:scene3d>
              <a:sp3d contourW="22225"/>
            </c:spPr>
          </c:dPt>
          <c:dLbls>
            <c:dLbl>
              <c:idx val="0"/>
              <c:layout/>
              <c:dLblPos val="inEnd"/>
              <c:showLegendKey val="0"/>
              <c:showVal val="0"/>
              <c:showCatName val="0"/>
              <c:showSerName val="0"/>
              <c:showPercent val="1"/>
              <c:showBubbleSize val="0"/>
              <c:extLst>
                <c:ext xmlns:c15="http://schemas.microsoft.com/office/drawing/2012/chart" uri="{CE6537A1-D6FC-4f65-9D91-7224C49458BB}"/>
              </c:extLst>
            </c:dLbl>
            <c:numFmt formatCode="General" sourceLinked="1"/>
            <c:spPr>
              <a:noFill/>
              <a:ln>
                <a:noFill/>
              </a:ln>
              <a:effectLst/>
            </c:spPr>
            <c:txPr>
              <a:bodyPr rot="0" spcFirstLastPara="0" vertOverflow="ellipsis" vert="horz" wrap="square" lIns="38100" tIns="19050" rIns="38100" bIns="19050" anchor="ctr" anchorCtr="1" forceAA="0"/>
              <a:lstStyle/>
              <a:p>
                <a:pPr>
                  <a:defRPr lang="zh-CN" sz="1000" b="0" i="0" u="none" strike="noStrike" kern="1200" baseline="0">
                    <a:solidFill>
                      <a:schemeClr val="bg1"/>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dLblPos val="inEnd"/>
            <c:showLegendKey val="0"/>
            <c:showVal val="0"/>
            <c:showCatName val="0"/>
            <c:showSerName val="0"/>
            <c:showPercent val="1"/>
            <c:showBubbleSize val="0"/>
            <c:separator>
</c:separator>
            <c:showLeaderLines val="0"/>
            <c:extLst>
              <c:ext xmlns:c15="http://schemas.microsoft.com/office/drawing/2012/chart" uri="{CE6537A1-D6FC-4f65-9D91-7224C49458BB}">
                <c15:layout/>
                <c15:showLeaderLines val="0"/>
                <c15:leaderLines>
                  <c:spPr>
                    <a:ln w="9525">
                      <a:solidFill>
                        <a:schemeClr val="dk1">
                          <a:lumMod val="35000"/>
                          <a:lumOff val="65000"/>
                        </a:schemeClr>
                      </a:solidFill>
                    </a:ln>
                    <a:effectLst/>
                  </c:spPr>
                </c15:leaderLines>
              </c:ext>
            </c:extLst>
          </c:dLbls>
          <c:cat>
            <c:strRef>
              <c:f>[2025年决算公开图表.xlsx]Sheet1!$A$19:$A$22</c:f>
              <c:strCache>
                <c:ptCount val="4"/>
                <c:pt idx="0">
                  <c:v>一般公共服务支出</c:v>
                </c:pt>
                <c:pt idx="1">
                  <c:v>社会保障和就业支出</c:v>
                </c:pt>
                <c:pt idx="2">
                  <c:v>卫生健康支出</c:v>
                </c:pt>
                <c:pt idx="3">
                  <c:v>住房保障支出</c:v>
                </c:pt>
              </c:strCache>
            </c:strRef>
          </c:cat>
          <c:val>
            <c:numRef>
              <c:f>[2025年决算公开图表.xlsx]Sheet1!$B$19:$B$22</c:f>
              <c:numCache>
                <c:formatCode>General</c:formatCode>
                <c:ptCount val="4"/>
                <c:pt idx="0">
                  <c:v>13.69</c:v>
                </c:pt>
                <c:pt idx="1">
                  <c:v>1367.05</c:v>
                </c:pt>
                <c:pt idx="2">
                  <c:v>75.93</c:v>
                </c:pt>
                <c:pt idx="3">
                  <c:v>94.12</c:v>
                </c:pt>
              </c:numCache>
            </c:numRef>
          </c:val>
        </c:ser>
        <c:dLbls>
          <c:showLegendKey val="0"/>
          <c:showVal val="1"/>
          <c:showCatName val="0"/>
          <c:showSerName val="0"/>
          <c:showPercent val="0"/>
          <c:showBubbleSize val="0"/>
        </c:dLbls>
      </c:pie3DChart>
      <c:spPr>
        <a:noFill/>
        <a:ln>
          <a:noFill/>
        </a:ln>
        <a:effectLst/>
      </c:spPr>
    </c:plotArea>
    <c:legend>
      <c:legendPos val="r"/>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75000"/>
                  <a:lumOff val="2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legend>
    <c:plotVisOnly val="1"/>
    <c:dispBlanksAs val="gap"/>
    <c:showDLblsOverMax val="0"/>
    <c:extLst>
      <c:ext uri="{0b15fc19-7d7d-44ad-8c2d-2c3a37ce22c3}">
        <chartProps xmlns="https://web.wps.cn/et/2018/main" chartId="{577d3a66-4606-43d4-9240-02ef0a6cef61}"/>
      </c:ext>
    </c:extLst>
  </c:chart>
  <c:spPr>
    <a:solidFill>
      <a:schemeClr val="bg1"/>
    </a:solidFill>
    <a:ln w="6350" cap="flat" cmpd="sng" algn="ctr">
      <a:solidFill>
        <a:schemeClr val="tx1">
          <a:lumMod val="50000"/>
          <a:lumOff val="50000"/>
          <a:alpha val="25000"/>
        </a:schemeClr>
      </a:solidFill>
      <a:round/>
    </a:ln>
    <a:effectLst/>
  </c:spPr>
  <c:txPr>
    <a:bodyPr/>
    <a:lstStyle/>
    <a:p>
      <a:pPr>
        <a:defRPr lang="zh-CN">
          <a:solidFill>
            <a:schemeClr val="tx1">
              <a:lumMod val="75000"/>
              <a:lumOff val="2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0" vertOverflow="ellipsis" vert="horz" wrap="square" anchor="ctr" anchorCtr="1" forceAA="0"/>
          <a:lstStyle/>
          <a:p>
            <a:pPr>
              <a:defRPr lang="zh-CN" sz="1400" b="0" i="0" u="none" strike="noStrike" kern="1200" spc="0" baseline="0">
                <a:solidFill>
                  <a:schemeClr val="tx1">
                    <a:lumMod val="75000"/>
                    <a:lumOff val="2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r>
              <a:t>财政拨款“三公”经费支出结构</a:t>
            </a:r>
          </a:p>
        </c:rich>
      </c:tx>
      <c:layout/>
      <c:overlay val="0"/>
      <c:spPr>
        <a:noFill/>
        <a:ln>
          <a:noFill/>
        </a:ln>
        <a:effectLst/>
      </c:spPr>
    </c:title>
    <c:autoTitleDeleted val="0"/>
    <c:view3D>
      <c:rotX val="30"/>
      <c:rotY val="0"/>
      <c:depthPercent val="100"/>
      <c:rAngAx val="0"/>
    </c:view3D>
    <c:floor>
      <c:thickness val="0"/>
    </c:floor>
    <c:sideWall>
      <c:thickness val="0"/>
    </c:sideWall>
    <c:backWall>
      <c:thickness val="0"/>
    </c:backWall>
    <c:plotArea>
      <c:layout/>
      <c:pie3DChart>
        <c:varyColors val="1"/>
        <c:ser>
          <c:idx val="0"/>
          <c:order val="0"/>
          <c:spPr>
            <a:solidFill>
              <a:schemeClr val="accent1"/>
            </a:solidFill>
            <a:ln w="22225" cmpd="sng">
              <a:solidFill>
                <a:schemeClr val="bg1"/>
              </a:solidFill>
              <a:prstDash val="solid"/>
            </a:ln>
            <a:effectLst/>
            <a:scene3d>
              <a:camera prst="orthographicFront"/>
              <a:lightRig rig="threePt" dir="t"/>
            </a:scene3d>
            <a:sp3d contourW="22225" prstMaterial="flat"/>
          </c:spPr>
          <c:explosion val="0"/>
          <c:dPt>
            <c:idx val="0"/>
            <c:bubble3D val="0"/>
            <c:spPr>
              <a:solidFill>
                <a:schemeClr val="accent1"/>
              </a:solidFill>
              <a:ln w="22225">
                <a:solidFill>
                  <a:schemeClr val="bg1"/>
                </a:solidFill>
              </a:ln>
              <a:effectLst/>
              <a:scene3d>
                <a:camera prst="orthographicFront"/>
                <a:lightRig rig="threePt" dir="t"/>
              </a:scene3d>
              <a:sp3d contourW="22225" prstMaterial="flat"/>
            </c:spPr>
          </c:dPt>
          <c:dPt>
            <c:idx val="1"/>
            <c:bubble3D val="0"/>
            <c:spPr>
              <a:solidFill>
                <a:schemeClr val="accent1">
                  <a:lumMod val="60000"/>
                  <a:lumOff val="40000"/>
                </a:schemeClr>
              </a:solidFill>
              <a:ln w="22225" cmpd="sng">
                <a:solidFill>
                  <a:schemeClr val="bg1"/>
                </a:solidFill>
                <a:prstDash val="solid"/>
              </a:ln>
              <a:effectLst/>
              <a:scene3d>
                <a:camera prst="orthographicFront"/>
                <a:lightRig rig="threePt" dir="t"/>
              </a:scene3d>
              <a:sp3d contourW="22225" prstMaterial="flat"/>
            </c:spPr>
          </c:dPt>
          <c:dPt>
            <c:idx val="2"/>
            <c:bubble3D val="0"/>
            <c:spPr>
              <a:solidFill>
                <a:schemeClr val="accent1">
                  <a:lumMod val="40000"/>
                  <a:lumOff val="60000"/>
                </a:schemeClr>
              </a:solidFill>
              <a:ln w="22225" cmpd="sng">
                <a:solidFill>
                  <a:schemeClr val="bg1"/>
                </a:solidFill>
                <a:prstDash val="solid"/>
              </a:ln>
              <a:effectLst/>
              <a:scene3d>
                <a:camera prst="orthographicFront"/>
                <a:lightRig rig="threePt" dir="t"/>
              </a:scene3d>
              <a:sp3d contourW="22225" prstMaterial="flat"/>
            </c:spPr>
          </c:dPt>
          <c:dLbls>
            <c:dLbl>
              <c:idx val="2"/>
              <c:layout/>
              <c:numFmt formatCode="General" sourceLinked="1"/>
              <c:spPr>
                <a:noFill/>
                <a:ln>
                  <a:noFill/>
                </a:ln>
                <a:effectLst/>
              </c:spPr>
              <c:txPr>
                <a:bodyPr rot="0" spcFirstLastPara="0" vertOverflow="ellipsis" vert="horz" wrap="square" lIns="38100" tIns="19050" rIns="38100" bIns="19050" anchor="ctr" anchorCtr="1" forceAA="0"/>
                <a:lstStyle/>
                <a:p>
                  <a:pPr>
                    <a:defRPr lang="zh-CN" sz="1000" b="0" i="0" u="none" strike="noStrike" kern="1200" baseline="0">
                      <a:solidFill>
                        <a:schemeClr val="accent1">
                          <a:lumMod val="7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dLblPos val="inEnd"/>
              <c:showLegendKey val="0"/>
              <c:showVal val="1"/>
              <c:showCatName val="1"/>
              <c:showSerName val="0"/>
              <c:showPercent val="0"/>
              <c:showBubbleSize val="0"/>
              <c:separator>
</c:separator>
              <c:extLst>
                <c:ext xmlns:c15="http://schemas.microsoft.com/office/drawing/2012/chart" uri="{CE6537A1-D6FC-4f65-9D91-7224C49458BB}"/>
              </c:extLst>
            </c:dLbl>
            <c:numFmt formatCode="General" sourceLinked="1"/>
            <c:spPr>
              <a:noFill/>
              <a:ln>
                <a:noFill/>
              </a:ln>
              <a:effectLst/>
            </c:spPr>
            <c:txPr>
              <a:bodyPr rot="0" spcFirstLastPara="0" vertOverflow="ellipsis" vert="horz" wrap="square" lIns="38100" tIns="19050" rIns="38100" bIns="19050" anchor="ctr" anchorCtr="1" forceAA="0"/>
              <a:lstStyle/>
              <a:p>
                <a:pPr>
                  <a:defRPr lang="zh-CN" sz="1000" b="0" i="0" u="none" strike="noStrike" kern="1200" baseline="0">
                    <a:solidFill>
                      <a:schemeClr val="bg1"/>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dLblPos val="inEnd"/>
            <c:showLegendKey val="0"/>
            <c:showVal val="1"/>
            <c:showCatName val="1"/>
            <c:showSerName val="0"/>
            <c:showPercent val="0"/>
            <c:showBubbleSize val="0"/>
            <c:separator>
</c:separator>
            <c:showLeaderLines val="1"/>
            <c:extLst>
              <c:ext xmlns:c15="http://schemas.microsoft.com/office/drawing/2012/chart" uri="{CE6537A1-D6FC-4f65-9D91-7224C49458BB}">
                <c15:layout/>
                <c15:showLeaderLines val="1"/>
                <c15:leaderLines/>
              </c:ext>
            </c:extLst>
          </c:dLbls>
          <c:cat>
            <c:strRef>
              <c:f>[2025年决算公开图表.xlsx]Sheet1!$A$25:$A$27</c:f>
              <c:strCache>
                <c:ptCount val="3"/>
                <c:pt idx="0">
                  <c:v>因公出国（境）费</c:v>
                </c:pt>
                <c:pt idx="1">
                  <c:v>公务用车购置及运行维护费</c:v>
                </c:pt>
                <c:pt idx="2">
                  <c:v>公务接待费</c:v>
                </c:pt>
              </c:strCache>
            </c:strRef>
          </c:cat>
          <c:val>
            <c:numRef>
              <c:f>[2025年决算公开图表.xlsx]Sheet1!$B$25:$B$27</c:f>
              <c:numCache>
                <c:formatCode>General</c:formatCode>
                <c:ptCount val="3"/>
                <c:pt idx="0">
                  <c:v>0</c:v>
                </c:pt>
                <c:pt idx="1">
                  <c:v>1.12</c:v>
                </c:pt>
                <c:pt idx="2">
                  <c:v>0.5</c:v>
                </c:pt>
              </c:numCache>
            </c:numRef>
          </c:val>
        </c:ser>
        <c:dLbls>
          <c:showLegendKey val="0"/>
          <c:showVal val="1"/>
          <c:showCatName val="0"/>
          <c:showSerName val="0"/>
          <c:showPercent val="0"/>
          <c:showBubbleSize val="0"/>
        </c:dLbls>
      </c:pie3DChart>
      <c:spPr>
        <a:noFill/>
        <a:ln>
          <a:noFill/>
        </a:ln>
        <a:effectLst/>
      </c:spPr>
    </c:plotArea>
    <c:plotVisOnly val="1"/>
    <c:dispBlanksAs val="gap"/>
    <c:showDLblsOverMax val="0"/>
    <c:extLst>
      <c:ext uri="{0b15fc19-7d7d-44ad-8c2d-2c3a37ce22c3}">
        <chartProps xmlns="https://web.wps.cn/et/2018/main" chartId="{e51a5961-d675-428c-bb75-24762a479e4a}"/>
      </c:ext>
    </c:extLst>
  </c:chart>
  <c:spPr>
    <a:solidFill>
      <a:schemeClr val="bg1"/>
    </a:solidFill>
    <a:ln w="6350" cap="flat" cmpd="sng" algn="ctr">
      <a:solidFill>
        <a:schemeClr val="tx1">
          <a:lumMod val="50000"/>
          <a:lumOff val="50000"/>
          <a:alpha val="25000"/>
        </a:schemeClr>
      </a:solidFill>
      <a:prstDash val="solid"/>
      <a:round/>
    </a:ln>
    <a:effectLst>
      <a:outerShdw blurRad="63500" dist="37357" dir="2700000" sx="0" sy="0" rotWithShape="0">
        <a:scrgbClr r="0" g="0" b="0"/>
      </a:outerShdw>
    </a:effectLst>
  </c:spPr>
  <c:txPr>
    <a:bodyPr/>
    <a:lstStyle/>
    <a:p>
      <a:pPr>
        <a:defRPr lang="zh-CN">
          <a:solidFill>
            <a:schemeClr val="tx1">
              <a:lumMod val="75000"/>
              <a:lumOff val="2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acrossLinear" id="2">
  <a:schemeClr val="accent1"/>
  <a:schemeClr val="accent2"/>
  <a:schemeClr val="accent3"/>
  <a:schemeClr val="accent4"/>
  <a:schemeClr val="accent5"/>
  <a:schemeClr val="accent6"/>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028">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0">
      <cs:styleClr val="auto"/>
    </cs:fillRef>
    <cs:effectRef idx="0"/>
    <cs:fontRef idx="minor">
      <a:schemeClr val="dk1"/>
    </cs:fontRef>
    <cs:spPr>
      <a:ln w="28575" cap="rnd">
        <a:solidFill>
          <a:schemeClr val="phClr"/>
        </a:solidFill>
        <a:round/>
      </a:ln>
      <a:effectLst/>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10097">
  <cs:axisTitle>
    <cs:lnRef idx="0"/>
    <cs:fillRef idx="0"/>
    <cs:effectRef idx="0"/>
    <cs:fontRef idx="minor">
      <a:schemeClr val="dk1">
        <a:lumMod val="65000"/>
        <a:lumOff val="35000"/>
      </a:schemeClr>
    </cs:fontRef>
    <cs:defRPr sz="1000"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lt1">
          <a:lumMod val="96000"/>
        </a:schemeClr>
      </a:solidFill>
      <a:ln w="9525" cap="flat" cmpd="sng" algn="ctr">
        <a:solidFill>
          <a:schemeClr val="tx1">
            <a:lumMod val="15000"/>
            <a:lumOff val="85000"/>
          </a:schemeClr>
        </a:solidFill>
        <a:round/>
      </a:ln>
    </cs:spPr>
    <cs:defRPr sz="1000" kern="1200"/>
  </cs:chartArea>
  <cs:dataLabel>
    <cs:lnRef idx="0"/>
    <cs:fillRef idx="0"/>
    <cs:effectRef idx="0"/>
    <cs:fontRef idx="minor">
      <a:schemeClr val="dk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styleClr val="auto"/>
    </cs:lnRef>
    <cs:fillRef idx="0">
      <cs:styleClr val="auto"/>
    </cs:fillRef>
    <cs:effectRef idx="0"/>
    <cs:fontRef idx="minor">
      <a:schemeClr val="dk1"/>
    </cs:fontRef>
    <cs:spPr>
      <a:gradFill>
        <a:gsLst>
          <a:gs pos="100000">
            <a:schemeClr val="phClr"/>
          </a:gs>
          <a:gs pos="0">
            <a:schemeClr val="phClr">
              <a:hueOff val="-1670000"/>
            </a:schemeClr>
          </a:gs>
        </a:gsLst>
        <a:lin ang="5400000" scaled="0"/>
      </a:gradFill>
      <a:ln>
        <a:gradFill>
          <a:gsLst>
            <a:gs pos="100000">
              <a:schemeClr val="phClr">
                <a:lumMod val="75000"/>
              </a:schemeClr>
            </a:gs>
            <a:gs pos="0">
              <a:schemeClr val="phClr">
                <a:lumMod val="75000"/>
                <a:hueOff val="-1670000"/>
              </a:schemeClr>
            </a:gs>
          </a:gsLst>
          <a:lin ang="4620000" scaled="0"/>
        </a:gradFill>
      </a:ln>
      <a:effectLst/>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a:solidFill>
          <a:schemeClr val="dk1">
            <a:lumMod val="35000"/>
            <a:lumOff val="65000"/>
          </a:schemeClr>
        </a:solidFill>
      </a:ln>
    </cs:spPr>
  </cs:dropLine>
  <cs:errorBar>
    <cs:lnRef idx="0"/>
    <cs:fillRef idx="0"/>
    <cs:effectRef idx="0"/>
    <cs:fontRef idx="minor">
      <a:schemeClr val="tx1"/>
    </cs:fontRef>
    <cs:spPr>
      <a:ln w="9525" cap="flat" cmpd="sng" algn="ctr">
        <a:solidFill>
          <a:schemeClr val="dk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a:solidFill>
          <a:schemeClr val="dk1">
            <a:lumMod val="75000"/>
            <a:lumOff val="25000"/>
          </a:schemeClr>
        </a:solidFill>
      </a:ln>
    </cs:spPr>
  </cs:hiLoLine>
  <cs:leaderLine>
    <cs:lnRef idx="0"/>
    <cs:fillRef idx="0"/>
    <cs:effectRef idx="0"/>
    <cs:fontRef idx="minor">
      <a:schemeClr val="tx1"/>
    </cs:fontRef>
    <cs:spPr>
      <a:ln w="9525">
        <a:solidFill>
          <a:schemeClr val="dk1">
            <a:lumMod val="35000"/>
            <a:lumOff val="65000"/>
          </a:schemeClr>
        </a:solidFill>
      </a:ln>
    </cs:spPr>
  </cs:leaderLine>
  <cs:legend>
    <cs:lnRef idx="0"/>
    <cs:fillRef idx="0"/>
    <cs:effectRef idx="0"/>
    <cs:fontRef idx="minor">
      <a:schemeClr val="dk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tx1"/>
    </cs:fontRef>
    <cs:spPr>
      <a:ln w="9525">
        <a:solidFill>
          <a:schemeClr val="dk1">
            <a:lumMod val="35000"/>
            <a:lumOff val="65000"/>
          </a:schemeClr>
        </a:solidFill>
      </a:ln>
    </cs:spPr>
  </cs:seriesLine>
  <cs:title>
    <cs:lnRef idx="0"/>
    <cs:fillRef idx="0"/>
    <cs:effectRef idx="0"/>
    <cs:fontRef idx="minor">
      <a:schemeClr val="dk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word/theme/themeOverride1.xml><?xml version="1.0" encoding="utf-8"?>
<a:themeOverride xmlns:a="http://schemas.openxmlformats.org/drawingml/2006/main">
  <a:clrScheme name="自定义 107">
    <a:dk1>
      <a:srgbClr val="000000"/>
    </a:dk1>
    <a:lt1>
      <a:srgbClr val="FFFFFF"/>
    </a:lt1>
    <a:dk2>
      <a:srgbClr val="44546A"/>
    </a:dk2>
    <a:lt2>
      <a:srgbClr val="E7E6E6"/>
    </a:lt2>
    <a:accent1>
      <a:srgbClr val="1D6FA9"/>
    </a:accent1>
    <a:accent2>
      <a:srgbClr val="39ADCE"/>
    </a:accent2>
    <a:accent3>
      <a:srgbClr val="8BC145"/>
    </a:accent3>
    <a:accent4>
      <a:srgbClr val="1D9A78"/>
    </a:accent4>
    <a:accent5>
      <a:srgbClr val="30C0B4"/>
    </a:accent5>
    <a:accent6>
      <a:srgbClr val="4874CB"/>
    </a:accent6>
    <a:hlink>
      <a:srgbClr val="0026E5"/>
    </a:hlink>
    <a:folHlink>
      <a:srgbClr val="7E1FAD"/>
    </a:folHlink>
  </a:clrScheme>
  <a:fontScheme name="WPS">
    <a:majorFont>
      <a:latin typeface="Calibri Light"/>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商务蓝">
    <a:dk1>
      <a:srgbClr val="000000"/>
    </a:dk1>
    <a:lt1>
      <a:srgbClr val="FFFFFF"/>
    </a:lt1>
    <a:dk2>
      <a:srgbClr val="44546A"/>
    </a:dk2>
    <a:lt2>
      <a:srgbClr val="E7E6E6"/>
    </a:lt2>
    <a:accent1>
      <a:srgbClr val="0D208B"/>
    </a:accent1>
    <a:accent2>
      <a:srgbClr val="0174CD"/>
    </a:accent2>
    <a:accent3>
      <a:srgbClr val="4499D9"/>
    </a:accent3>
    <a:accent4>
      <a:srgbClr val="63A8DE"/>
    </a:accent4>
    <a:accent5>
      <a:srgbClr val="A6CAE7"/>
    </a:accent5>
    <a:accent6>
      <a:srgbClr val="D1E1F5"/>
    </a:accent6>
    <a:hlink>
      <a:srgbClr val="0026E5"/>
    </a:hlink>
    <a:folHlink>
      <a:srgbClr val="7E1FAD"/>
    </a:folHlink>
  </a:clrScheme>
  <a:fontScheme name="WPS">
    <a:majorFont>
      <a:latin typeface="Calibri Light"/>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自定义 1">
    <a:dk1>
      <a:srgbClr val="000000"/>
    </a:dk1>
    <a:lt1>
      <a:srgbClr val="FFFFFF"/>
    </a:lt1>
    <a:dk2>
      <a:srgbClr val="44546A"/>
    </a:dk2>
    <a:lt2>
      <a:srgbClr val="E7E6E6"/>
    </a:lt2>
    <a:accent1>
      <a:srgbClr val="4F80FF"/>
    </a:accent1>
    <a:accent2>
      <a:srgbClr val="16CC8A"/>
    </a:accent2>
    <a:accent3>
      <a:srgbClr val="FFC619"/>
    </a:accent3>
    <a:accent4>
      <a:srgbClr val="FF7F41"/>
    </a:accent4>
    <a:accent5>
      <a:srgbClr val="F95F5F"/>
    </a:accent5>
    <a:accent6>
      <a:srgbClr val="A15CFF"/>
    </a:accent6>
    <a:hlink>
      <a:srgbClr val="0026E5"/>
    </a:hlink>
    <a:folHlink>
      <a:srgbClr val="7E1FAD"/>
    </a:folHlink>
  </a:clrScheme>
  <a:fontScheme name="WPS">
    <a:majorFont>
      <a:latin typeface="Calibri Light"/>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自定义 1">
    <a:dk1>
      <a:srgbClr val="000000"/>
    </a:dk1>
    <a:lt1>
      <a:srgbClr val="FFFFFF"/>
    </a:lt1>
    <a:dk2>
      <a:srgbClr val="44546A"/>
    </a:dk2>
    <a:lt2>
      <a:srgbClr val="E7E6E6"/>
    </a:lt2>
    <a:accent1>
      <a:srgbClr val="4F80FF"/>
    </a:accent1>
    <a:accent2>
      <a:srgbClr val="16CC8A"/>
    </a:accent2>
    <a:accent3>
      <a:srgbClr val="FFC619"/>
    </a:accent3>
    <a:accent4>
      <a:srgbClr val="FF7F41"/>
    </a:accent4>
    <a:accent5>
      <a:srgbClr val="F95F5F"/>
    </a:accent5>
    <a:accent6>
      <a:srgbClr val="A15CFF"/>
    </a:accent6>
    <a:hlink>
      <a:srgbClr val="0026E5"/>
    </a:hlink>
    <a:folHlink>
      <a:srgbClr val="7E1FAD"/>
    </a:folHlink>
  </a:clrScheme>
  <a:fontScheme name="WPS">
    <a:majorFont>
      <a:latin typeface="Calibri Light"/>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自定义 61">
    <a:dk1>
      <a:srgbClr val="000000"/>
    </a:dk1>
    <a:lt1>
      <a:srgbClr val="FFFFFF"/>
    </a:lt1>
    <a:dk2>
      <a:srgbClr val="44546A"/>
    </a:dk2>
    <a:lt2>
      <a:srgbClr val="E7E6E6"/>
    </a:lt2>
    <a:accent1>
      <a:srgbClr val="60ACFD"/>
    </a:accent1>
    <a:accent2>
      <a:srgbClr val="4072D8"/>
    </a:accent2>
    <a:accent3>
      <a:srgbClr val="8FDEFF"/>
    </a:accent3>
    <a:accent4>
      <a:srgbClr val="53D8A8"/>
    </a:accent4>
    <a:accent5>
      <a:srgbClr val="FFD238"/>
    </a:accent5>
    <a:accent6>
      <a:srgbClr val="B78BF9"/>
    </a:accent6>
    <a:hlink>
      <a:srgbClr val="0026E5"/>
    </a:hlink>
    <a:folHlink>
      <a:srgbClr val="7E1FAD"/>
    </a:folHlink>
  </a:clrScheme>
  <a:fontScheme name="WPS">
    <a:majorFont>
      <a:latin typeface="Calibri Light"/>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四川省财政厅</Company>
  <Pages>44</Pages>
  <Words>15226</Words>
  <Characters>16521</Characters>
  <Lines>61</Lines>
  <Paragraphs>17</Paragraphs>
  <TotalTime>107</TotalTime>
  <ScaleCrop>false</ScaleCrop>
  <LinksUpToDate>false</LinksUpToDate>
  <CharactersWithSpaces>16581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2020-08-08T17:49:00Z</dcterms:created>
  <dc:creator>曹颖</dc:creator>
  <cp:lastModifiedBy>simple libra</cp:lastModifiedBy>
  <cp:lastPrinted>2026-08-03T09:27:00Z</cp:lastPrinted>
  <dcterms:modified xsi:type="dcterms:W3CDTF">2026-09-04T07:41:31Z</dcterms:modified>
  <dc:title>四川省***</dc:title>
  <cp:revision>32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0D66A70E402944629552A502DAE02A30_13</vt:lpwstr>
  </property>
  <property fmtid="{D5CDD505-2E9C-101B-9397-08002B2CF9AE}" pid="4" name="KSOTemplateDocerSaveRecord">
    <vt:lpwstr>eyJoZGlkIjoiNWQ1ZjlmZWEzYzAzYWJlMDhkZWE4MTU3MmUyMDY2YjciLCJ1c2VySWQiOiIyNjA4MjU0ODQifQ==</vt:lpwstr>
  </property>
</Properties>
</file>