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076A1">
      <w:pPr>
        <w:spacing w:line="560" w:lineRule="exact"/>
        <w:jc w:val="left"/>
        <w:rPr>
          <w:rFonts w:ascii="Times New Roman" w:hAnsi="Times New Roman" w:eastAsia="方正小标宋简体"/>
          <w:sz w:val="52"/>
          <w:szCs w:val="52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0EB36BC9">
      <w:pPr>
        <w:pStyle w:val="2"/>
        <w:widowControl/>
        <w:shd w:val="clear" w:color="auto" w:fill="FFFFFF"/>
        <w:spacing w:before="0" w:beforeAutospacing="0" w:after="0" w:afterAutospacing="0" w:line="880" w:lineRule="exact"/>
        <w:jc w:val="center"/>
        <w:rPr>
          <w:rFonts w:ascii="Times New Roman" w:hAnsi="Times New Roman" w:eastAsia="方正小标宋简体"/>
          <w:sz w:val="52"/>
          <w:szCs w:val="52"/>
          <w:shd w:val="clear" w:color="auto" w:fill="FFFFFF"/>
        </w:rPr>
      </w:pPr>
      <w:r>
        <w:rPr>
          <w:rFonts w:ascii="Times New Roman" w:hAnsi="Times New Roman" w:eastAsia="方正小标宋简体"/>
          <w:sz w:val="52"/>
          <w:szCs w:val="52"/>
          <w:shd w:val="clear" w:color="auto" w:fill="FFFFFF"/>
        </w:rPr>
        <w:t>2</w:t>
      </w:r>
      <w:r>
        <w:rPr>
          <w:rFonts w:ascii="Times New Roman" w:hAnsi="Times New Roman" w:eastAsia="方正小标宋简体"/>
          <w:spacing w:val="-14"/>
          <w:sz w:val="52"/>
          <w:szCs w:val="52"/>
          <w:shd w:val="clear" w:color="auto" w:fill="FFFFFF"/>
        </w:rPr>
        <w:t>02</w:t>
      </w:r>
      <w:r>
        <w:rPr>
          <w:rFonts w:hint="eastAsia" w:ascii="Times New Roman" w:hAnsi="Times New Roman" w:eastAsia="方正小标宋简体"/>
          <w:spacing w:val="-14"/>
          <w:sz w:val="52"/>
          <w:szCs w:val="5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方正小标宋简体"/>
          <w:spacing w:val="-14"/>
          <w:sz w:val="52"/>
          <w:szCs w:val="52"/>
          <w:shd w:val="clear" w:color="auto" w:fill="FFFFFF"/>
        </w:rPr>
        <w:t>年攀枝花市</w:t>
      </w:r>
      <w:r>
        <w:rPr>
          <w:rFonts w:hint="eastAsia" w:ascii="Times New Roman" w:hAnsi="Times New Roman" w:eastAsia="方正小标宋简体"/>
          <w:spacing w:val="-14"/>
          <w:sz w:val="52"/>
          <w:szCs w:val="52"/>
          <w:shd w:val="clear" w:color="auto" w:fill="FFFFFF"/>
        </w:rPr>
        <w:t>“</w:t>
      </w:r>
      <w:r>
        <w:rPr>
          <w:rFonts w:ascii="Times New Roman" w:hAnsi="Times New Roman" w:eastAsia="方正小标宋简体"/>
          <w:spacing w:val="-14"/>
          <w:sz w:val="52"/>
          <w:szCs w:val="52"/>
          <w:shd w:val="clear" w:color="auto" w:fill="FFFFFF"/>
        </w:rPr>
        <w:t>三支一扶</w:t>
      </w:r>
      <w:r>
        <w:rPr>
          <w:rFonts w:hint="eastAsia" w:ascii="Times New Roman" w:hAnsi="Times New Roman" w:eastAsia="方正小标宋简体"/>
          <w:spacing w:val="-14"/>
          <w:sz w:val="52"/>
          <w:szCs w:val="52"/>
          <w:shd w:val="clear" w:color="auto" w:fill="FFFFFF"/>
        </w:rPr>
        <w:t>”人员培训</w:t>
      </w:r>
      <w:r>
        <w:rPr>
          <w:rFonts w:hint="eastAsia" w:ascii="Times New Roman" w:hAnsi="Times New Roman" w:eastAsia="方正小标宋简体"/>
          <w:sz w:val="52"/>
          <w:szCs w:val="52"/>
          <w:shd w:val="clear" w:color="auto" w:fill="FFFFFF"/>
        </w:rPr>
        <w:t>发布购买社会服务项目</w:t>
      </w:r>
    </w:p>
    <w:p w14:paraId="517FC868">
      <w:pPr>
        <w:pStyle w:val="2"/>
        <w:widowControl/>
        <w:shd w:val="clear" w:color="auto" w:fill="FFFFFF"/>
        <w:spacing w:before="0" w:beforeAutospacing="0" w:after="0" w:afterAutospacing="0" w:line="580" w:lineRule="atLeast"/>
        <w:jc w:val="center"/>
        <w:rPr>
          <w:rFonts w:ascii="Times New Roman" w:hAnsi="Times New Roman"/>
          <w:sz w:val="44"/>
          <w:szCs w:val="44"/>
          <w:shd w:val="clear" w:color="auto" w:fill="FFFFFF"/>
        </w:rPr>
      </w:pPr>
    </w:p>
    <w:p w14:paraId="6F3B398A">
      <w:pPr>
        <w:pStyle w:val="2"/>
        <w:widowControl/>
        <w:shd w:val="clear" w:color="auto" w:fill="FFFFFF"/>
        <w:spacing w:before="0" w:beforeAutospacing="0" w:after="0" w:afterAutospacing="0" w:line="580" w:lineRule="atLeast"/>
        <w:jc w:val="center"/>
        <w:rPr>
          <w:rFonts w:ascii="Times New Roman" w:hAnsi="Times New Roman"/>
          <w:sz w:val="44"/>
          <w:szCs w:val="44"/>
          <w:shd w:val="clear" w:color="auto" w:fill="FFFFFF"/>
        </w:rPr>
      </w:pPr>
    </w:p>
    <w:p w14:paraId="09B57CC6">
      <w:pPr>
        <w:pStyle w:val="2"/>
        <w:widowControl/>
        <w:shd w:val="clear" w:color="auto" w:fill="FFFFFF"/>
        <w:spacing w:before="0" w:beforeAutospacing="0" w:after="0" w:afterAutospacing="0" w:line="580" w:lineRule="atLeast"/>
        <w:jc w:val="center"/>
        <w:rPr>
          <w:rFonts w:ascii="Times New Roman" w:hAnsi="Times New Roman"/>
          <w:sz w:val="44"/>
          <w:szCs w:val="44"/>
          <w:shd w:val="clear" w:color="auto" w:fill="FFFFFF"/>
        </w:rPr>
      </w:pPr>
    </w:p>
    <w:p w14:paraId="2B553F84">
      <w:pPr>
        <w:pStyle w:val="2"/>
        <w:widowControl/>
        <w:shd w:val="clear" w:color="auto" w:fill="FFFFFF"/>
        <w:spacing w:before="0" w:beforeAutospacing="0" w:after="0" w:afterAutospacing="0" w:line="580" w:lineRule="atLeast"/>
        <w:jc w:val="center"/>
        <w:rPr>
          <w:rFonts w:ascii="Times New Roman" w:hAnsi="Times New Roman"/>
          <w:sz w:val="44"/>
          <w:szCs w:val="44"/>
          <w:shd w:val="clear" w:color="auto" w:fill="FFFFFF"/>
        </w:rPr>
      </w:pPr>
    </w:p>
    <w:p w14:paraId="33CFB7D2">
      <w:pPr>
        <w:pStyle w:val="2"/>
        <w:widowControl/>
        <w:shd w:val="clear" w:color="auto" w:fill="FFFFFF"/>
        <w:spacing w:before="0" w:beforeAutospacing="0" w:after="0" w:afterAutospacing="0" w:line="580" w:lineRule="atLeast"/>
        <w:jc w:val="center"/>
        <w:rPr>
          <w:rFonts w:ascii="Times New Roman" w:hAnsi="Times New Roman" w:eastAsia="黑体"/>
          <w:sz w:val="72"/>
          <w:szCs w:val="72"/>
          <w:shd w:val="clear" w:color="auto" w:fill="FFFFFF"/>
        </w:rPr>
      </w:pPr>
      <w:r>
        <w:rPr>
          <w:rFonts w:ascii="Times New Roman" w:hAnsi="Times New Roman" w:eastAsia="黑体"/>
          <w:sz w:val="72"/>
          <w:szCs w:val="72"/>
          <w:shd w:val="clear" w:color="auto" w:fill="FFFFFF"/>
        </w:rPr>
        <w:t>报</w:t>
      </w:r>
    </w:p>
    <w:p w14:paraId="71EAE9D9">
      <w:pPr>
        <w:pStyle w:val="2"/>
        <w:widowControl/>
        <w:shd w:val="clear" w:color="auto" w:fill="FFFFFF"/>
        <w:spacing w:before="0" w:beforeAutospacing="0" w:after="0" w:afterAutospacing="0" w:line="580" w:lineRule="atLeast"/>
        <w:jc w:val="center"/>
        <w:rPr>
          <w:rFonts w:ascii="Times New Roman" w:hAnsi="Times New Roman" w:eastAsia="黑体"/>
          <w:sz w:val="72"/>
          <w:szCs w:val="72"/>
          <w:shd w:val="clear" w:color="auto" w:fill="FFFFFF"/>
        </w:rPr>
      </w:pPr>
      <w:r>
        <w:rPr>
          <w:rFonts w:ascii="Times New Roman" w:hAnsi="Times New Roman" w:eastAsia="黑体"/>
          <w:sz w:val="72"/>
          <w:szCs w:val="72"/>
          <w:shd w:val="clear" w:color="auto" w:fill="FFFFFF"/>
        </w:rPr>
        <w:t>价</w:t>
      </w:r>
    </w:p>
    <w:p w14:paraId="5CC2BA2A">
      <w:pPr>
        <w:pStyle w:val="2"/>
        <w:widowControl/>
        <w:shd w:val="clear" w:color="auto" w:fill="FFFFFF"/>
        <w:spacing w:before="0" w:beforeAutospacing="0" w:after="0" w:afterAutospacing="0" w:line="580" w:lineRule="atLeast"/>
        <w:jc w:val="center"/>
        <w:rPr>
          <w:rFonts w:ascii="Times New Roman" w:hAnsi="Times New Roman" w:eastAsia="黑体"/>
          <w:sz w:val="52"/>
          <w:szCs w:val="52"/>
          <w:shd w:val="clear" w:color="auto" w:fill="FFFFFF"/>
        </w:rPr>
      </w:pPr>
      <w:r>
        <w:rPr>
          <w:rFonts w:ascii="Times New Roman" w:hAnsi="Times New Roman" w:eastAsia="黑体"/>
          <w:sz w:val="72"/>
          <w:szCs w:val="72"/>
          <w:shd w:val="clear" w:color="auto" w:fill="FFFFFF"/>
        </w:rPr>
        <w:t>书</w:t>
      </w:r>
    </w:p>
    <w:p w14:paraId="3BCBFEEB">
      <w:pPr>
        <w:pStyle w:val="2"/>
        <w:widowControl/>
        <w:shd w:val="clear" w:color="auto" w:fill="FFFFFF"/>
        <w:spacing w:before="0" w:beforeAutospacing="0" w:after="0" w:afterAutospacing="0" w:line="570" w:lineRule="atLeast"/>
        <w:jc w:val="center"/>
        <w:rPr>
          <w:rFonts w:ascii="Times New Roman" w:hAnsi="Times New Roman" w:eastAsia="黑体"/>
          <w:sz w:val="52"/>
          <w:szCs w:val="52"/>
        </w:rPr>
      </w:pPr>
    </w:p>
    <w:p w14:paraId="41EFA5A5">
      <w:pPr>
        <w:pStyle w:val="2"/>
        <w:widowControl/>
        <w:shd w:val="clear" w:color="auto" w:fill="FFFFFF"/>
        <w:spacing w:before="0" w:beforeAutospacing="0" w:after="0" w:afterAutospacing="0" w:line="570" w:lineRule="atLeast"/>
        <w:jc w:val="center"/>
        <w:rPr>
          <w:rFonts w:ascii="Times New Roman" w:hAnsi="Times New Roman" w:eastAsia="黑体"/>
          <w:sz w:val="52"/>
          <w:szCs w:val="52"/>
        </w:rPr>
      </w:pPr>
    </w:p>
    <w:p w14:paraId="02B58BEB">
      <w:pPr>
        <w:pStyle w:val="2"/>
        <w:widowControl/>
        <w:shd w:val="clear" w:color="auto" w:fill="FFFFFF"/>
        <w:spacing w:before="0" w:beforeAutospacing="0" w:after="0" w:afterAutospacing="0" w:line="570" w:lineRule="atLeast"/>
        <w:jc w:val="center"/>
        <w:rPr>
          <w:rFonts w:ascii="Times New Roman" w:hAnsi="Times New Roman" w:eastAsia="黑体"/>
          <w:sz w:val="52"/>
          <w:szCs w:val="52"/>
        </w:rPr>
      </w:pPr>
    </w:p>
    <w:p w14:paraId="50A70DEA">
      <w:pPr>
        <w:pStyle w:val="2"/>
        <w:widowControl/>
        <w:shd w:val="clear" w:color="auto" w:fill="FFFFFF"/>
        <w:spacing w:before="0" w:beforeAutospacing="0" w:after="0" w:afterAutospacing="0" w:line="570" w:lineRule="atLeast"/>
        <w:jc w:val="center"/>
        <w:rPr>
          <w:rFonts w:ascii="Times New Roman" w:hAnsi="Times New Roman" w:eastAsia="黑体"/>
          <w:sz w:val="52"/>
          <w:szCs w:val="52"/>
        </w:rPr>
      </w:pPr>
    </w:p>
    <w:p w14:paraId="3E0D24EA">
      <w:pPr>
        <w:pStyle w:val="2"/>
        <w:widowControl/>
        <w:shd w:val="clear" w:color="auto" w:fill="FFFFFF"/>
        <w:spacing w:before="0" w:beforeAutospacing="0" w:after="0" w:afterAutospacing="0" w:line="570" w:lineRule="atLeast"/>
        <w:jc w:val="center"/>
        <w:rPr>
          <w:rFonts w:hint="eastAsia" w:ascii="Times New Roman" w:hAnsi="Times New Roman" w:eastAsia="黑体"/>
          <w:sz w:val="36"/>
          <w:szCs w:val="36"/>
          <w:shd w:val="clear" w:color="auto" w:fill="FFFFFF"/>
        </w:rPr>
      </w:pPr>
      <w:r>
        <w:rPr>
          <w:rFonts w:hint="eastAsia" w:ascii="Times New Roman" w:hAnsi="Times New Roman" w:eastAsia="黑体"/>
          <w:sz w:val="36"/>
          <w:szCs w:val="36"/>
          <w:shd w:val="clear" w:color="auto" w:fill="FFFFFF"/>
        </w:rPr>
        <w:t>报价单位（盖章）：</w:t>
      </w:r>
    </w:p>
    <w:p w14:paraId="39D81EAA">
      <w:pPr>
        <w:pStyle w:val="2"/>
        <w:widowControl/>
        <w:shd w:val="clear" w:color="auto" w:fill="FFFFFF"/>
        <w:spacing w:before="0" w:beforeAutospacing="0" w:after="0" w:afterAutospacing="0" w:line="570" w:lineRule="atLeast"/>
        <w:jc w:val="center"/>
        <w:rPr>
          <w:rFonts w:hint="eastAsia" w:ascii="Times New Roman" w:hAnsi="Times New Roman" w:eastAsia="黑体"/>
          <w:sz w:val="36"/>
          <w:szCs w:val="36"/>
          <w:shd w:val="clear" w:color="auto" w:fill="FFFFFF"/>
        </w:rPr>
      </w:pPr>
    </w:p>
    <w:p w14:paraId="01110F6A">
      <w:pPr>
        <w:pStyle w:val="2"/>
        <w:widowControl/>
        <w:shd w:val="clear" w:color="auto" w:fill="FFFFFF"/>
        <w:spacing w:before="0" w:beforeAutospacing="0" w:after="0" w:afterAutospacing="0" w:line="570" w:lineRule="atLeast"/>
        <w:ind w:firstLine="2880" w:firstLineChars="800"/>
        <w:rPr>
          <w:rFonts w:ascii="Times New Roman" w:hAnsi="Times New Roman" w:eastAsia="黑体"/>
          <w:sz w:val="36"/>
          <w:szCs w:val="36"/>
          <w:shd w:val="clear" w:color="auto" w:fill="FFFFFF"/>
        </w:rPr>
      </w:pPr>
      <w:r>
        <w:rPr>
          <w:rFonts w:ascii="Times New Roman" w:hAnsi="Times New Roman" w:eastAsia="黑体"/>
          <w:sz w:val="36"/>
          <w:szCs w:val="36"/>
          <w:shd w:val="clear" w:color="auto" w:fill="FFFFFF"/>
        </w:rPr>
        <w:t>202</w:t>
      </w:r>
      <w:r>
        <w:rPr>
          <w:rFonts w:hint="eastAsia" w:ascii="Times New Roman" w:hAnsi="Times New Roman" w:eastAsia="黑体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黑体"/>
          <w:sz w:val="36"/>
          <w:szCs w:val="36"/>
          <w:shd w:val="clear" w:color="auto" w:fill="FFFFFF"/>
        </w:rPr>
        <w:t>年</w:t>
      </w:r>
      <w:r>
        <w:rPr>
          <w:rFonts w:hint="eastAsia" w:ascii="Times New Roman" w:hAnsi="Times New Roman" w:eastAsia="黑体"/>
          <w:sz w:val="36"/>
          <w:szCs w:val="36"/>
          <w:shd w:val="clear" w:color="auto" w:fill="FFFFFF"/>
        </w:rPr>
        <w:t xml:space="preserve">   </w:t>
      </w:r>
      <w:r>
        <w:rPr>
          <w:rFonts w:ascii="Times New Roman" w:hAnsi="Times New Roman" w:eastAsia="黑体"/>
          <w:sz w:val="36"/>
          <w:szCs w:val="36"/>
          <w:shd w:val="clear" w:color="auto" w:fill="FFFFFF"/>
        </w:rPr>
        <w:t>月</w:t>
      </w:r>
      <w:r>
        <w:rPr>
          <w:rFonts w:hint="eastAsia" w:ascii="Times New Roman" w:hAnsi="Times New Roman" w:eastAsia="黑体"/>
          <w:sz w:val="36"/>
          <w:szCs w:val="36"/>
          <w:shd w:val="clear" w:color="auto" w:fill="FFFFFF"/>
        </w:rPr>
        <w:t xml:space="preserve">   </w:t>
      </w:r>
      <w:r>
        <w:rPr>
          <w:rFonts w:ascii="Times New Roman" w:hAnsi="Times New Roman" w:eastAsia="黑体"/>
          <w:sz w:val="36"/>
          <w:szCs w:val="36"/>
          <w:shd w:val="clear" w:color="auto" w:fill="FFFFFF"/>
        </w:rPr>
        <w:t>日</w:t>
      </w:r>
    </w:p>
    <w:p w14:paraId="10EF682E">
      <w:pPr>
        <w:pStyle w:val="2"/>
        <w:widowControl/>
        <w:shd w:val="clear" w:color="auto" w:fill="FFFFFF"/>
        <w:spacing w:before="0" w:beforeAutospacing="0" w:after="0" w:afterAutospacing="0" w:line="570" w:lineRule="atLeast"/>
        <w:rPr>
          <w:rFonts w:ascii="Times New Roman" w:hAnsi="Times New Roman" w:eastAsia="黑体"/>
          <w:sz w:val="36"/>
          <w:szCs w:val="36"/>
          <w:shd w:val="clear" w:color="auto" w:fill="FFFFFF"/>
        </w:rPr>
      </w:pPr>
      <w:bookmarkStart w:id="0" w:name="_GoBack"/>
      <w:bookmarkEnd w:id="0"/>
    </w:p>
    <w:p w14:paraId="7D09831C">
      <w:pPr>
        <w:pStyle w:val="2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eastAsia="黑体"/>
          <w:sz w:val="32"/>
          <w:szCs w:val="32"/>
          <w:shd w:val="clear" w:color="auto" w:fill="FFFFFF"/>
        </w:rPr>
        <w:t>一、项目名称</w:t>
      </w:r>
    </w:p>
    <w:p w14:paraId="0A60DC5B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年攀枝花市“三支一扶”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人员</w:t>
      </w:r>
      <w:r>
        <w:rPr>
          <w:rFonts w:ascii="Times New Roman" w:hAnsi="Times New Roman" w:eastAsia="仿宋_GB2312" w:cs="Times New Roman"/>
          <w:sz w:val="32"/>
          <w:szCs w:val="32"/>
        </w:rPr>
        <w:t>培训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项目。</w:t>
      </w:r>
    </w:p>
    <w:p w14:paraId="260E5F93">
      <w:pPr>
        <w:pStyle w:val="2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eastAsia="黑体"/>
          <w:sz w:val="32"/>
          <w:szCs w:val="32"/>
          <w:shd w:val="clear" w:color="auto" w:fill="FFFFFF"/>
        </w:rPr>
        <w:t>二、单位基本情况</w:t>
      </w:r>
    </w:p>
    <w:p w14:paraId="488D9803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内容包括但不限于：报价单位基本信息、经营活动范围、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主要业绩和优势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等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，特别是</w:t>
      </w:r>
      <w:r>
        <w:rPr>
          <w:rFonts w:hint="eastAsia" w:ascii="仿宋_GB2312" w:hAnsi="仿宋_GB2312" w:eastAsia="仿宋_GB2312" w:cs="仿宋_GB2312"/>
          <w:sz w:val="32"/>
          <w:szCs w:val="32"/>
        </w:rPr>
        <w:t>近期承接相关项目的情况（需附本单位承办相关项目的合同复印件及相关佐证资料）。</w:t>
      </w:r>
    </w:p>
    <w:p w14:paraId="2AFAFB2A">
      <w:pPr>
        <w:pStyle w:val="2"/>
        <w:widowControl/>
        <w:shd w:val="clear" w:color="auto" w:fill="FFFFFF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sz w:val="32"/>
          <w:szCs w:val="32"/>
          <w:shd w:val="clear" w:color="auto" w:fill="FFFFFF"/>
        </w:rPr>
        <w:t>三、工作</w:t>
      </w:r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>安排</w:t>
      </w:r>
    </w:p>
    <w:p w14:paraId="1DC38882">
      <w:pPr>
        <w:pStyle w:val="2"/>
        <w:widowControl/>
        <w:shd w:val="clear" w:color="auto" w:fill="FFFFFF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仿宋_GB2312" w:cstheme="minorBidi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根据《</w:t>
      </w:r>
      <w:r>
        <w:rPr>
          <w:rFonts w:hint="eastAsia" w:ascii="Times New Roman" w:hAnsi="Times New Roman" w:eastAsia="仿宋_GB2312" w:cstheme="minorBidi"/>
          <w:sz w:val="32"/>
          <w:szCs w:val="32"/>
          <w:shd w:val="clear" w:color="auto" w:fill="FFFFFF"/>
        </w:rPr>
        <w:t>攀枝花市人力资源和社会保障局关于202</w:t>
      </w:r>
      <w:r>
        <w:rPr>
          <w:rFonts w:hint="eastAsia" w:ascii="Times New Roman" w:hAnsi="Times New Roman" w:eastAsia="仿宋_GB2312" w:cstheme="minorBidi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 w:cstheme="minorBidi"/>
          <w:sz w:val="32"/>
          <w:szCs w:val="32"/>
          <w:shd w:val="clear" w:color="auto" w:fill="FFFFFF"/>
        </w:rPr>
        <w:t>年攀枝花市“三支一扶”人员培训发布购买社会服务项目比选的公告》相关内容，拟定承办工作方案（含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培训实施方案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、配套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宣传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方案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、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安保应急方案</w:t>
      </w:r>
      <w:r>
        <w:rPr>
          <w:rFonts w:hint="eastAsia" w:ascii="Times New Roman" w:hAnsi="Times New Roman" w:eastAsia="仿宋_GB2312" w:cstheme="minorBidi"/>
          <w:sz w:val="32"/>
          <w:szCs w:val="32"/>
          <w:shd w:val="clear" w:color="auto" w:fill="FFFFFF"/>
        </w:rPr>
        <w:t>）。</w:t>
      </w:r>
    </w:p>
    <w:p w14:paraId="5249CAEB">
      <w:pPr>
        <w:pStyle w:val="2"/>
        <w:widowControl/>
        <w:shd w:val="clear" w:color="auto" w:fill="FFFFFF"/>
        <w:spacing w:before="0" w:beforeAutospacing="0" w:after="0" w:afterAutospacing="0" w:line="600" w:lineRule="exact"/>
        <w:ind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培训实施方案包括但不限于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培训地点选择、培训师资配备、培训课程设置等。</w:t>
      </w:r>
    </w:p>
    <w:p w14:paraId="1600F4ED">
      <w:pPr>
        <w:pStyle w:val="2"/>
        <w:widowControl/>
        <w:shd w:val="clear" w:color="auto" w:fill="FFFFFF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eastAsia="黑体"/>
          <w:sz w:val="32"/>
          <w:szCs w:val="32"/>
          <w:shd w:val="clear" w:color="auto" w:fill="FFFFFF"/>
        </w:rPr>
        <w:t>四、项目报价</w:t>
      </w:r>
    </w:p>
    <w:p w14:paraId="10BB1974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总报价：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元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（大写：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shd w:val="clear" w:color="auto" w:fill="FFFFFF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圆）</w:t>
      </w:r>
    </w:p>
    <w:p w14:paraId="235C5A47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0B033A30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5D5E5162">
      <w:pPr>
        <w:wordWrap w:val="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报价单位（盖章）：                </w:t>
      </w:r>
    </w:p>
    <w:p w14:paraId="47D2FA60"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 月     日</w:t>
      </w:r>
    </w:p>
    <w:p w14:paraId="4E21E05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A07DBC-AFA2-412A-BBB2-B787ADA1C0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AA703A2-E6EB-466C-96ED-AC0E4690C1C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FA57EA4-4667-4C14-B0F1-968064B6AAF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D45596A-51C5-4C3F-BEB9-1826AFD8CC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34341"/>
    <w:rsid w:val="2A29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2025-10-11T10:01:41Z</dcterms:created>
  <dc:creator>admin</dc:creator>
  <cp:lastModifiedBy>admin</cp:lastModifiedBy>
  <dcterms:modified xsi:type="dcterms:W3CDTF">2025-10-11T10:03:15Z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eyJoZGlkIjoiY2U4MjRhNzA1OTMxMDA5N2I0MjIzNTE4NzNmYTlmYmMiLCJ1c2VySWQiOiI4OTAxMzU3NTAifQ==</vt:lpwstr>
  </property>
  <property fmtid="{D5CDD505-2E9C-101B-9397-08002B2CF9AE}" pid="4" name="ICV">
    <vt:lpwstr>034A470AAA524007B1E2A81484A86825_12</vt:lpwstr>
  </property>
</Properties>
</file>