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bookmarkStart w:id="67" w:name="_GoBack"/>
      <w:bookmarkEnd w:id="67"/>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8441"/>
      <w:bookmarkStart w:id="2" w:name="_Toc15396597"/>
      <w:bookmarkStart w:id="3" w:name="_Toc15377425"/>
      <w:bookmarkStart w:id="4" w:name="_Toc15377193"/>
      <w:bookmarkStart w:id="5" w:name="_Toc15396475"/>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bookmarkStart w:id="6" w:name="_Toc15377426"/>
      <w:bookmarkStart w:id="7" w:name="_Toc15396476"/>
      <w:bookmarkStart w:id="8" w:name="_Toc15378442"/>
      <w:bookmarkStart w:id="9" w:name="_Toc15377194"/>
      <w:bookmarkStart w:id="10" w:name="_Toc15396598"/>
      <w:r>
        <w:rPr>
          <w:rFonts w:hint="eastAsia" w:ascii="方正小标宋简体" w:hAnsi="方正小标宋简体" w:eastAsia="方正小标宋简体" w:cs="方正小标宋简体"/>
          <w:sz w:val="72"/>
          <w:szCs w:val="72"/>
        </w:rPr>
        <w:t>攀枝花市</w:t>
      </w:r>
      <w:bookmarkEnd w:id="0"/>
      <w:bookmarkStart w:id="11" w:name="_Toc15306268"/>
      <w:r>
        <w:rPr>
          <w:rFonts w:hint="eastAsia" w:ascii="方正小标宋简体" w:hAnsi="方正小标宋简体" w:eastAsia="方正小标宋简体" w:cs="方正小标宋简体"/>
          <w:sz w:val="72"/>
          <w:szCs w:val="72"/>
          <w:lang w:eastAsia="zh-CN"/>
        </w:rPr>
        <w:t>人才服务中心</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公开时间：2023年9月</w:t>
      </w:r>
      <w:r>
        <w:t>1</w:t>
      </w:r>
      <w:r>
        <w:rPr>
          <w:rFonts w:hint="eastAsia"/>
          <w:lang w:val="en-US" w:eastAsia="zh-CN"/>
        </w:rPr>
        <w:t>5</w:t>
      </w:r>
      <w:r>
        <w:rPr>
          <w:rFonts w:hint="eastAsia"/>
        </w:rPr>
        <w:t>日</w:t>
      </w:r>
    </w:p>
    <w:p/>
    <w:p>
      <w:pPr>
        <w:pStyle w:val="10"/>
        <w:adjustRightInd w:val="0"/>
        <w:snapToGrid w:val="0"/>
        <w:spacing w:before="0" w:line="440" w:lineRule="exact"/>
        <w:jc w:val="left"/>
        <w:rPr>
          <w:rFonts w:hint="eastAsia" w:eastAsia="仿宋" w:cstheme="minorBidi"/>
          <w:sz w:val="24"/>
          <w:szCs w:val="24"/>
          <w:lang w:val="en-US" w:eastAsia="zh-CN"/>
        </w:rPr>
      </w:pPr>
      <w:r>
        <w:rPr>
          <w:rFonts w:hint="eastAsia"/>
          <w:sz w:val="24"/>
        </w:rPr>
        <w:t>第一部分</w:t>
      </w:r>
      <w:r>
        <w:rPr>
          <w:sz w:val="24"/>
        </w:rPr>
        <w:t xml:space="preserve"> </w:t>
      </w:r>
      <w:r>
        <w:rPr>
          <w:rFonts w:hint="eastAsia"/>
          <w:sz w:val="24"/>
        </w:rPr>
        <w:t>单位概况</w:t>
      </w:r>
      <w:r>
        <w:rPr>
          <w:rFonts w:cstheme="minorBidi"/>
          <w:sz w:val="24"/>
          <w:szCs w:val="24"/>
        </w:rPr>
        <w:tab/>
      </w:r>
      <w:r>
        <w:rPr>
          <w:rFonts w:hint="eastAsia" w:cstheme="minorBidi"/>
          <w:sz w:val="24"/>
          <w:szCs w:val="24"/>
          <w:lang w:val="en-US" w:eastAsia="zh-CN"/>
        </w:rPr>
        <w:t>4</w:t>
      </w:r>
    </w:p>
    <w:p>
      <w:pPr>
        <w:pStyle w:val="11"/>
        <w:adjustRightInd w:val="0"/>
        <w:snapToGrid w:val="0"/>
        <w:spacing w:line="440" w:lineRule="exact"/>
        <w:jc w:val="left"/>
        <w:rPr>
          <w:rFonts w:hint="eastAsia" w:eastAsia="宋体"/>
          <w:sz w:val="24"/>
          <w:lang w:val="en-US" w:eastAsia="zh-CN"/>
        </w:rPr>
      </w:pPr>
      <w:r>
        <w:rPr>
          <w:rFonts w:hint="eastAsia"/>
          <w:sz w:val="24"/>
        </w:rPr>
        <w:t>一、主要职责</w:t>
      </w:r>
      <w:r>
        <w:rPr>
          <w:rFonts w:cstheme="minorBidi"/>
          <w:sz w:val="24"/>
        </w:rPr>
        <w:tab/>
      </w:r>
      <w:r>
        <w:rPr>
          <w:rFonts w:hint="eastAsia" w:cstheme="minorBidi"/>
          <w:sz w:val="24"/>
          <w:lang w:val="en-US" w:eastAsia="zh-CN"/>
        </w:rPr>
        <w:t>4</w:t>
      </w:r>
    </w:p>
    <w:p>
      <w:pPr>
        <w:pStyle w:val="11"/>
        <w:adjustRightInd w:val="0"/>
        <w:snapToGrid w:val="0"/>
        <w:spacing w:line="440" w:lineRule="exact"/>
        <w:jc w:val="left"/>
        <w:rPr>
          <w:rFonts w:hint="eastAsia" w:eastAsia="宋体"/>
          <w:lang w:val="en-US" w:eastAsia="zh-CN"/>
        </w:rPr>
      </w:pPr>
      <w:r>
        <w:rPr>
          <w:rFonts w:hint="eastAsia"/>
          <w:sz w:val="24"/>
        </w:rPr>
        <w:t>二、机构设置</w:t>
      </w:r>
      <w:r>
        <w:rPr>
          <w:rFonts w:cstheme="minorBidi"/>
          <w:sz w:val="24"/>
          <w:szCs w:val="24"/>
        </w:rPr>
        <w:tab/>
      </w:r>
      <w:r>
        <w:rPr>
          <w:rFonts w:hint="eastAsia" w:cstheme="minorBidi"/>
          <w:sz w:val="24"/>
          <w:szCs w:val="24"/>
          <w:lang w:val="en-US" w:eastAsia="zh-CN"/>
        </w:rPr>
        <w:t>4</w:t>
      </w:r>
    </w:p>
    <w:p>
      <w:pPr>
        <w:pStyle w:val="10"/>
        <w:adjustRightInd w:val="0"/>
        <w:snapToGrid w:val="0"/>
        <w:spacing w:before="0" w:line="440" w:lineRule="exact"/>
        <w:jc w:val="left"/>
        <w:rPr>
          <w:rFonts w:hint="eastAsia" w:eastAsia="仿宋"/>
          <w:sz w:val="24"/>
          <w:szCs w:val="24"/>
          <w:lang w:val="en-US" w:eastAsia="zh-CN"/>
        </w:rPr>
      </w:pPr>
      <w:r>
        <w:rPr>
          <w:rFonts w:hint="eastAsia"/>
          <w:sz w:val="24"/>
        </w:rPr>
        <w:t>第二部分 2022年度单位决算情况说明</w:t>
      </w:r>
      <w:r>
        <w:rPr>
          <w:rFonts w:cstheme="minorBidi"/>
          <w:sz w:val="24"/>
          <w:szCs w:val="24"/>
        </w:rPr>
        <w:tab/>
      </w:r>
      <w:r>
        <w:rPr>
          <w:rFonts w:hint="eastAsia" w:cstheme="minorBidi"/>
          <w:sz w:val="24"/>
          <w:szCs w:val="24"/>
          <w:lang w:val="en-US" w:eastAsia="zh-CN"/>
        </w:rPr>
        <w:t>5</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一、收入支出决算总体情况说明</w:t>
      </w:r>
      <w:r>
        <w:rPr>
          <w:rFonts w:cstheme="minorBidi"/>
          <w:sz w:val="24"/>
          <w:szCs w:val="24"/>
        </w:rPr>
        <w:tab/>
      </w:r>
      <w:r>
        <w:rPr>
          <w:rFonts w:hint="eastAsia" w:cstheme="minorBidi"/>
          <w:sz w:val="24"/>
          <w:szCs w:val="24"/>
          <w:lang w:val="en-US" w:eastAsia="zh-CN"/>
        </w:rPr>
        <w:t>5</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二、收入决算情况说明</w:t>
      </w:r>
      <w:r>
        <w:rPr>
          <w:rFonts w:cstheme="minorBidi"/>
          <w:sz w:val="24"/>
          <w:szCs w:val="24"/>
        </w:rPr>
        <w:tab/>
      </w:r>
      <w:r>
        <w:rPr>
          <w:rFonts w:hint="eastAsia" w:cstheme="minorBidi"/>
          <w:sz w:val="24"/>
          <w:szCs w:val="24"/>
          <w:lang w:val="en-US" w:eastAsia="zh-CN"/>
        </w:rPr>
        <w:t>5</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三、支出决算情况说明</w:t>
      </w:r>
      <w:r>
        <w:rPr>
          <w:rFonts w:cstheme="minorBidi"/>
          <w:sz w:val="24"/>
          <w:szCs w:val="24"/>
        </w:rPr>
        <w:tab/>
      </w:r>
      <w:r>
        <w:rPr>
          <w:rFonts w:hint="eastAsia" w:cstheme="minorBidi"/>
          <w:sz w:val="24"/>
          <w:szCs w:val="24"/>
          <w:lang w:val="en-US" w:eastAsia="zh-CN"/>
        </w:rPr>
        <w:t>6</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四、财政拨款收入支出决算总体情况说明</w:t>
      </w:r>
      <w:r>
        <w:rPr>
          <w:rFonts w:cstheme="minorBidi"/>
          <w:sz w:val="24"/>
          <w:szCs w:val="24"/>
        </w:rPr>
        <w:tab/>
      </w:r>
      <w:r>
        <w:rPr>
          <w:rFonts w:hint="eastAsia" w:cstheme="minorBidi"/>
          <w:sz w:val="24"/>
          <w:szCs w:val="24"/>
          <w:lang w:val="en-US" w:eastAsia="zh-CN"/>
        </w:rPr>
        <w:t>6</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五、一般公共预算财政拨款支出决算情况说明</w:t>
      </w:r>
      <w:r>
        <w:rPr>
          <w:rFonts w:cstheme="minorBidi"/>
          <w:sz w:val="24"/>
          <w:szCs w:val="24"/>
        </w:rPr>
        <w:tab/>
      </w:r>
      <w:r>
        <w:rPr>
          <w:rFonts w:hint="eastAsia" w:cstheme="minorBidi"/>
          <w:sz w:val="24"/>
          <w:szCs w:val="24"/>
          <w:lang w:val="en-US" w:eastAsia="zh-CN"/>
        </w:rPr>
        <w:t>7</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六、一般公共预算财政拨款基本支出决算情况说明</w:t>
      </w:r>
      <w:r>
        <w:rPr>
          <w:rFonts w:cstheme="minorBidi"/>
          <w:sz w:val="24"/>
          <w:szCs w:val="24"/>
        </w:rPr>
        <w:tab/>
      </w:r>
      <w:r>
        <w:rPr>
          <w:rFonts w:hint="eastAsia" w:cstheme="minorBidi"/>
          <w:sz w:val="24"/>
          <w:szCs w:val="24"/>
          <w:lang w:val="en-US" w:eastAsia="zh-CN"/>
        </w:rPr>
        <w:t>9</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cstheme="minorBidi"/>
          <w:sz w:val="24"/>
          <w:szCs w:val="24"/>
        </w:rPr>
        <w:tab/>
      </w:r>
      <w:r>
        <w:rPr>
          <w:rFonts w:hint="eastAsia" w:cstheme="minorBidi"/>
          <w:sz w:val="24"/>
          <w:szCs w:val="24"/>
          <w:lang w:val="en-US" w:eastAsia="zh-CN"/>
        </w:rPr>
        <w:t>10</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cstheme="minorBidi"/>
          <w:sz w:val="24"/>
          <w:szCs w:val="24"/>
        </w:rPr>
        <w:tab/>
      </w:r>
      <w:r>
        <w:rPr>
          <w:rFonts w:hint="eastAsia" w:cstheme="minorBidi"/>
          <w:sz w:val="24"/>
          <w:szCs w:val="24"/>
          <w:lang w:val="en-US" w:eastAsia="zh-CN"/>
        </w:rPr>
        <w:t>12</w:t>
      </w:r>
    </w:p>
    <w:p>
      <w:pPr>
        <w:pStyle w:val="11"/>
        <w:adjustRightInd w:val="0"/>
        <w:snapToGrid w:val="0"/>
        <w:spacing w:line="440" w:lineRule="exact"/>
        <w:jc w:val="left"/>
        <w:rPr>
          <w:rFonts w:hint="default" w:eastAsia="宋体"/>
          <w:sz w:val="24"/>
          <w:lang w:val="en-US" w:eastAsia="zh-CN"/>
        </w:rPr>
      </w:pPr>
      <w:r>
        <w:rPr>
          <w:rFonts w:hint="eastAsia"/>
          <w:sz w:val="24"/>
        </w:rPr>
        <w:t>九、国有资本经营预算支出决算情况说明</w:t>
      </w:r>
      <w:r>
        <w:rPr>
          <w:rFonts w:cstheme="minorBidi"/>
          <w:sz w:val="24"/>
          <w:szCs w:val="24"/>
        </w:rPr>
        <w:tab/>
      </w:r>
      <w:r>
        <w:rPr>
          <w:rFonts w:hint="eastAsia" w:cstheme="minorBidi"/>
          <w:sz w:val="24"/>
          <w:szCs w:val="24"/>
          <w:lang w:val="en-US" w:eastAsia="zh-CN"/>
        </w:rPr>
        <w:t>12</w:t>
      </w:r>
    </w:p>
    <w:p>
      <w:pPr>
        <w:pStyle w:val="11"/>
        <w:adjustRightInd w:val="0"/>
        <w:snapToGrid w:val="0"/>
        <w:spacing w:line="440" w:lineRule="exact"/>
        <w:jc w:val="left"/>
        <w:rPr>
          <w:rFonts w:hint="default" w:eastAsia="宋体"/>
          <w:sz w:val="24"/>
          <w:lang w:val="en-US" w:eastAsia="zh-CN"/>
        </w:rPr>
      </w:pPr>
      <w:r>
        <w:rPr>
          <w:rFonts w:hint="eastAsia"/>
          <w:sz w:val="24"/>
        </w:rPr>
        <w:t>十、其他重要事项的情况说明</w:t>
      </w:r>
      <w:r>
        <w:rPr>
          <w:rFonts w:cstheme="minorBidi"/>
          <w:sz w:val="24"/>
          <w:szCs w:val="24"/>
        </w:rPr>
        <w:tab/>
      </w:r>
      <w:r>
        <w:rPr>
          <w:rFonts w:hint="eastAsia" w:cstheme="minorBidi"/>
          <w:sz w:val="24"/>
          <w:szCs w:val="24"/>
          <w:lang w:val="en-US" w:eastAsia="zh-CN"/>
        </w:rPr>
        <w:t>12</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cstheme="minorBidi"/>
          <w:sz w:val="24"/>
          <w:szCs w:val="24"/>
        </w:rPr>
        <w:tab/>
      </w:r>
      <w:r>
        <w:rPr>
          <w:rFonts w:hint="eastAsia" w:cstheme="minorBidi"/>
          <w:sz w:val="24"/>
          <w:szCs w:val="24"/>
          <w:lang w:val="en-US" w:eastAsia="zh-CN"/>
        </w:rPr>
        <w:t>14</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cstheme="minorBidi"/>
          <w:sz w:val="24"/>
          <w:szCs w:val="24"/>
        </w:rPr>
        <w:tab/>
      </w:r>
      <w:r>
        <w:rPr>
          <w:rFonts w:hint="eastAsia" w:cstheme="minorBidi"/>
          <w:sz w:val="24"/>
          <w:szCs w:val="24"/>
          <w:lang w:val="en-US" w:eastAsia="zh-CN"/>
        </w:rPr>
        <w:t>16</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cstheme="minorBidi"/>
          <w:sz w:val="24"/>
          <w:szCs w:val="24"/>
        </w:rPr>
        <w:tab/>
      </w:r>
      <w:r>
        <w:rPr>
          <w:rFonts w:hint="eastAsia" w:cstheme="minorBidi"/>
          <w:sz w:val="24"/>
          <w:szCs w:val="24"/>
          <w:lang w:val="en-US" w:eastAsia="zh-CN"/>
        </w:rPr>
        <w:t>17</w:t>
      </w:r>
    </w:p>
    <w:p>
      <w:pPr>
        <w:pStyle w:val="11"/>
        <w:adjustRightInd w:val="0"/>
        <w:snapToGrid w:val="0"/>
        <w:spacing w:line="440" w:lineRule="exact"/>
        <w:jc w:val="left"/>
        <w:rPr>
          <w:rFonts w:hint="default" w:eastAsia="宋体"/>
          <w:sz w:val="24"/>
          <w:lang w:val="en-US" w:eastAsia="zh-CN"/>
        </w:rPr>
      </w:pPr>
      <w:r>
        <w:rPr>
          <w:rFonts w:hint="eastAsia"/>
          <w:sz w:val="24"/>
        </w:rPr>
        <w:t>一、收入支出决算总表</w:t>
      </w:r>
      <w:r>
        <w:rPr>
          <w:rFonts w:cstheme="minorBidi"/>
          <w:sz w:val="24"/>
          <w:szCs w:val="24"/>
        </w:rPr>
        <w:tab/>
      </w:r>
      <w:r>
        <w:rPr>
          <w:rFonts w:hint="eastAsia" w:cstheme="minorBidi"/>
          <w:sz w:val="24"/>
          <w:szCs w:val="24"/>
          <w:lang w:val="en-US" w:eastAsia="zh-CN"/>
        </w:rPr>
        <w:t>17</w:t>
      </w:r>
    </w:p>
    <w:p>
      <w:pPr>
        <w:pStyle w:val="11"/>
        <w:adjustRightInd w:val="0"/>
        <w:snapToGrid w:val="0"/>
        <w:spacing w:line="440" w:lineRule="exact"/>
        <w:jc w:val="left"/>
        <w:rPr>
          <w:rFonts w:hint="default" w:eastAsia="宋体"/>
          <w:sz w:val="24"/>
          <w:lang w:val="en-US" w:eastAsia="zh-CN"/>
        </w:rPr>
      </w:pPr>
      <w:r>
        <w:rPr>
          <w:rFonts w:hint="eastAsia"/>
          <w:sz w:val="24"/>
        </w:rPr>
        <w:t>二、收入决算表</w:t>
      </w:r>
      <w:r>
        <w:rPr>
          <w:rFonts w:cstheme="minorBidi"/>
          <w:sz w:val="24"/>
          <w:szCs w:val="24"/>
        </w:rPr>
        <w:tab/>
      </w:r>
      <w:r>
        <w:rPr>
          <w:rFonts w:hint="eastAsia" w:cstheme="minorBidi"/>
          <w:sz w:val="24"/>
          <w:szCs w:val="24"/>
          <w:lang w:val="en-US" w:eastAsia="zh-CN"/>
        </w:rPr>
        <w:t>17</w:t>
      </w:r>
    </w:p>
    <w:p>
      <w:pPr>
        <w:pStyle w:val="11"/>
        <w:adjustRightInd w:val="0"/>
        <w:snapToGrid w:val="0"/>
        <w:spacing w:line="440" w:lineRule="exact"/>
        <w:jc w:val="left"/>
        <w:rPr>
          <w:rFonts w:hint="default" w:eastAsia="宋体"/>
          <w:sz w:val="24"/>
          <w:lang w:val="en-US" w:eastAsia="zh-CN"/>
        </w:rPr>
      </w:pPr>
      <w:r>
        <w:rPr>
          <w:rFonts w:hint="eastAsia"/>
          <w:sz w:val="24"/>
        </w:rPr>
        <w:t>三、支出决算表</w:t>
      </w:r>
      <w:r>
        <w:rPr>
          <w:rFonts w:cstheme="minorBidi"/>
          <w:sz w:val="24"/>
          <w:szCs w:val="24"/>
        </w:rPr>
        <w:tab/>
      </w:r>
      <w:r>
        <w:rPr>
          <w:rFonts w:hint="eastAsia" w:cstheme="minorBidi"/>
          <w:sz w:val="24"/>
          <w:szCs w:val="24"/>
          <w:lang w:val="en-US" w:eastAsia="zh-CN"/>
        </w:rPr>
        <w:t>17</w:t>
      </w:r>
    </w:p>
    <w:p>
      <w:pPr>
        <w:pStyle w:val="11"/>
        <w:adjustRightInd w:val="0"/>
        <w:snapToGrid w:val="0"/>
        <w:spacing w:line="440" w:lineRule="exact"/>
        <w:jc w:val="left"/>
        <w:rPr>
          <w:rFonts w:hint="default" w:eastAsia="宋体"/>
          <w:sz w:val="24"/>
          <w:lang w:val="en-US" w:eastAsia="zh-CN"/>
        </w:rPr>
      </w:pPr>
      <w:r>
        <w:rPr>
          <w:rFonts w:hint="eastAsia"/>
          <w:sz w:val="24"/>
        </w:rPr>
        <w:t>四、财政拨款收入支出决算总表</w:t>
      </w:r>
      <w:r>
        <w:rPr>
          <w:rFonts w:cstheme="minorBidi"/>
          <w:sz w:val="24"/>
          <w:szCs w:val="24"/>
        </w:rPr>
        <w:tab/>
      </w:r>
      <w:r>
        <w:rPr>
          <w:rFonts w:hint="eastAsia" w:cstheme="minorBidi"/>
          <w:sz w:val="24"/>
          <w:szCs w:val="24"/>
          <w:lang w:val="en-US" w:eastAsia="zh-CN"/>
        </w:rPr>
        <w:t>17</w:t>
      </w:r>
    </w:p>
    <w:p>
      <w:pPr>
        <w:pStyle w:val="11"/>
        <w:adjustRightInd w:val="0"/>
        <w:snapToGrid w:val="0"/>
        <w:spacing w:line="440" w:lineRule="exact"/>
        <w:jc w:val="left"/>
        <w:rPr>
          <w:rFonts w:hint="default" w:eastAsia="宋体"/>
          <w:sz w:val="24"/>
          <w:lang w:val="en-US" w:eastAsia="zh-CN"/>
        </w:rPr>
      </w:pPr>
      <w:r>
        <w:rPr>
          <w:rFonts w:hint="eastAsia"/>
          <w:sz w:val="24"/>
        </w:rPr>
        <w:t>五、财政拨款支出决算明细表</w:t>
      </w:r>
      <w:r>
        <w:rPr>
          <w:rFonts w:cstheme="minorBidi"/>
          <w:sz w:val="24"/>
          <w:szCs w:val="24"/>
        </w:rPr>
        <w:tab/>
      </w:r>
      <w:r>
        <w:rPr>
          <w:rFonts w:hint="eastAsia" w:cstheme="minorBidi"/>
          <w:sz w:val="24"/>
          <w:szCs w:val="24"/>
          <w:lang w:val="en-US" w:eastAsia="zh-CN"/>
        </w:rPr>
        <w:t>17</w:t>
      </w:r>
    </w:p>
    <w:p>
      <w:pPr>
        <w:pStyle w:val="11"/>
        <w:adjustRightInd w:val="0"/>
        <w:snapToGrid w:val="0"/>
        <w:spacing w:line="440" w:lineRule="exact"/>
        <w:jc w:val="left"/>
        <w:rPr>
          <w:rFonts w:hint="default" w:eastAsia="宋体"/>
          <w:sz w:val="24"/>
          <w:lang w:val="en-US" w:eastAsia="zh-CN"/>
        </w:rPr>
      </w:pPr>
      <w:r>
        <w:rPr>
          <w:rFonts w:hint="eastAsia"/>
          <w:sz w:val="24"/>
        </w:rPr>
        <w:t>六、一般公共预算财政拨款支出决算表</w:t>
      </w:r>
      <w:r>
        <w:rPr>
          <w:rFonts w:cstheme="minorBidi"/>
          <w:sz w:val="24"/>
          <w:szCs w:val="24"/>
        </w:rPr>
        <w:tab/>
      </w:r>
      <w:r>
        <w:rPr>
          <w:rFonts w:hint="eastAsia" w:cstheme="minorBidi"/>
          <w:sz w:val="24"/>
          <w:szCs w:val="24"/>
          <w:lang w:val="en-US" w:eastAsia="zh-CN"/>
        </w:rPr>
        <w:t>17</w:t>
      </w:r>
    </w:p>
    <w:p>
      <w:pPr>
        <w:pStyle w:val="11"/>
        <w:adjustRightInd w:val="0"/>
        <w:snapToGrid w:val="0"/>
        <w:spacing w:line="440" w:lineRule="exact"/>
        <w:jc w:val="left"/>
        <w:rPr>
          <w:rFonts w:hint="default" w:eastAsia="宋体"/>
          <w:sz w:val="24"/>
          <w:lang w:val="en-US" w:eastAsia="zh-CN"/>
        </w:rPr>
      </w:pPr>
      <w:r>
        <w:rPr>
          <w:rFonts w:hint="eastAsia"/>
          <w:sz w:val="24"/>
        </w:rPr>
        <w:t>七、一般公共预算财政拨款支出决算明细表</w:t>
      </w:r>
      <w:r>
        <w:rPr>
          <w:rFonts w:cstheme="minorBidi"/>
          <w:sz w:val="24"/>
          <w:szCs w:val="24"/>
        </w:rPr>
        <w:tab/>
      </w:r>
      <w:r>
        <w:rPr>
          <w:rFonts w:hint="eastAsia" w:cstheme="minorBidi"/>
          <w:sz w:val="24"/>
          <w:szCs w:val="24"/>
          <w:lang w:val="en-US" w:eastAsia="zh-CN"/>
        </w:rPr>
        <w:t>17</w:t>
      </w:r>
    </w:p>
    <w:p>
      <w:pPr>
        <w:pStyle w:val="11"/>
        <w:adjustRightInd w:val="0"/>
        <w:snapToGrid w:val="0"/>
        <w:spacing w:line="440" w:lineRule="exact"/>
        <w:jc w:val="left"/>
        <w:rPr>
          <w:rFonts w:hint="default" w:eastAsia="宋体"/>
          <w:sz w:val="24"/>
          <w:lang w:val="en-US" w:eastAsia="zh-CN"/>
        </w:rPr>
      </w:pPr>
      <w:r>
        <w:rPr>
          <w:rFonts w:hint="eastAsia"/>
          <w:sz w:val="24"/>
        </w:rPr>
        <w:t>八、一般公共预算财政拨款基本支出决算明细表</w:t>
      </w:r>
      <w:r>
        <w:rPr>
          <w:rFonts w:cstheme="minorBidi"/>
          <w:sz w:val="24"/>
          <w:szCs w:val="24"/>
        </w:rPr>
        <w:tab/>
      </w:r>
      <w:r>
        <w:rPr>
          <w:rFonts w:hint="eastAsia" w:cstheme="minorBidi"/>
          <w:sz w:val="24"/>
          <w:szCs w:val="24"/>
          <w:lang w:val="en-US" w:eastAsia="zh-CN"/>
        </w:rPr>
        <w:t>17</w:t>
      </w:r>
    </w:p>
    <w:p>
      <w:pPr>
        <w:pStyle w:val="11"/>
        <w:adjustRightInd w:val="0"/>
        <w:snapToGrid w:val="0"/>
        <w:spacing w:line="440" w:lineRule="exact"/>
        <w:jc w:val="left"/>
        <w:rPr>
          <w:rFonts w:hint="default" w:eastAsia="宋体"/>
          <w:sz w:val="24"/>
          <w:lang w:val="en-US" w:eastAsia="zh-CN"/>
        </w:rPr>
      </w:pPr>
      <w:r>
        <w:rPr>
          <w:rFonts w:hint="eastAsia"/>
          <w:sz w:val="24"/>
        </w:rPr>
        <w:t>九、一般公共预算财政拨款项目支出决算表</w:t>
      </w:r>
      <w:r>
        <w:rPr>
          <w:rFonts w:cstheme="minorBidi"/>
          <w:sz w:val="24"/>
          <w:szCs w:val="24"/>
        </w:rPr>
        <w:tab/>
      </w:r>
      <w:r>
        <w:rPr>
          <w:rFonts w:hint="eastAsia" w:cstheme="minorBidi"/>
          <w:sz w:val="24"/>
          <w:szCs w:val="24"/>
          <w:lang w:val="en-US" w:eastAsia="zh-CN"/>
        </w:rPr>
        <w:t>17</w:t>
      </w:r>
    </w:p>
    <w:p>
      <w:pPr>
        <w:pStyle w:val="11"/>
        <w:adjustRightInd w:val="0"/>
        <w:snapToGrid w:val="0"/>
        <w:spacing w:line="440" w:lineRule="exact"/>
        <w:jc w:val="left"/>
        <w:rPr>
          <w:rFonts w:hint="default" w:eastAsia="宋体"/>
          <w:sz w:val="24"/>
          <w:lang w:val="en-US" w:eastAsia="zh-CN"/>
        </w:rPr>
      </w:pPr>
      <w:r>
        <w:rPr>
          <w:rFonts w:hint="eastAsia"/>
          <w:sz w:val="24"/>
        </w:rPr>
        <w:t>十、政府性基金预算财政拨款收入支出决算表</w:t>
      </w:r>
      <w:r>
        <w:rPr>
          <w:rFonts w:cstheme="minorBidi"/>
          <w:sz w:val="24"/>
          <w:szCs w:val="24"/>
        </w:rPr>
        <w:tab/>
      </w:r>
      <w:r>
        <w:rPr>
          <w:rFonts w:hint="eastAsia" w:cstheme="minorBidi"/>
          <w:sz w:val="24"/>
          <w:szCs w:val="24"/>
          <w:lang w:val="en-US" w:eastAsia="zh-CN"/>
        </w:rPr>
        <w:t>17</w:t>
      </w:r>
    </w:p>
    <w:p>
      <w:pPr>
        <w:pStyle w:val="11"/>
        <w:adjustRightInd w:val="0"/>
        <w:snapToGrid w:val="0"/>
        <w:spacing w:line="440" w:lineRule="exact"/>
        <w:jc w:val="left"/>
        <w:rPr>
          <w:rFonts w:hint="default" w:eastAsia="宋体"/>
          <w:sz w:val="24"/>
          <w:lang w:val="en-US" w:eastAsia="zh-CN"/>
        </w:rPr>
      </w:pPr>
      <w:r>
        <w:rPr>
          <w:rFonts w:hint="eastAsia"/>
          <w:sz w:val="24"/>
        </w:rPr>
        <w:t>十一、国有资本经营预算财政拨款收入支出决算表</w:t>
      </w:r>
      <w:r>
        <w:rPr>
          <w:rFonts w:cstheme="minorBidi"/>
          <w:sz w:val="24"/>
          <w:szCs w:val="24"/>
        </w:rPr>
        <w:tab/>
      </w:r>
      <w:r>
        <w:rPr>
          <w:rFonts w:hint="eastAsia" w:cstheme="minorBidi"/>
          <w:sz w:val="24"/>
          <w:szCs w:val="24"/>
          <w:lang w:val="en-US" w:eastAsia="zh-CN"/>
        </w:rPr>
        <w:t>17</w:t>
      </w:r>
    </w:p>
    <w:p>
      <w:pPr>
        <w:pStyle w:val="11"/>
        <w:adjustRightInd w:val="0"/>
        <w:snapToGrid w:val="0"/>
        <w:spacing w:line="440" w:lineRule="exact"/>
        <w:jc w:val="left"/>
        <w:rPr>
          <w:rFonts w:hint="default" w:eastAsia="宋体"/>
          <w:sz w:val="24"/>
          <w:lang w:val="en-US" w:eastAsia="zh-CN"/>
        </w:rPr>
      </w:pPr>
      <w:r>
        <w:rPr>
          <w:rFonts w:hint="eastAsia"/>
          <w:sz w:val="24"/>
        </w:rPr>
        <w:t>十二、国有资本经营预算财政拨款支出决算表</w:t>
      </w:r>
      <w:r>
        <w:rPr>
          <w:rFonts w:cstheme="minorBidi"/>
          <w:sz w:val="24"/>
          <w:szCs w:val="24"/>
        </w:rPr>
        <w:tab/>
      </w:r>
      <w:r>
        <w:rPr>
          <w:rFonts w:hint="eastAsia" w:cstheme="minorBidi"/>
          <w:sz w:val="24"/>
          <w:szCs w:val="24"/>
          <w:lang w:val="en-US" w:eastAsia="zh-CN"/>
        </w:rPr>
        <w:t>17</w:t>
      </w:r>
    </w:p>
    <w:p>
      <w:pPr>
        <w:pStyle w:val="11"/>
        <w:adjustRightInd w:val="0"/>
        <w:snapToGrid w:val="0"/>
        <w:spacing w:line="440" w:lineRule="exact"/>
        <w:jc w:val="left"/>
        <w:rPr>
          <w:rFonts w:hint="default" w:eastAsia="宋体"/>
          <w:sz w:val="24"/>
          <w:lang w:val="en-US" w:eastAsia="zh-CN"/>
        </w:rPr>
      </w:pPr>
      <w:r>
        <w:rPr>
          <w:rFonts w:hint="eastAsia"/>
          <w:sz w:val="24"/>
        </w:rPr>
        <w:t>十三、财政拨款“三公”经费支出决算表</w:t>
      </w:r>
      <w:r>
        <w:rPr>
          <w:rFonts w:cstheme="minorBidi"/>
          <w:sz w:val="24"/>
          <w:szCs w:val="24"/>
        </w:rPr>
        <w:tab/>
      </w:r>
      <w:r>
        <w:rPr>
          <w:rFonts w:hint="eastAsia" w:cstheme="minorBidi"/>
          <w:sz w:val="24"/>
          <w:szCs w:val="24"/>
          <w:lang w:val="en-US" w:eastAsia="zh-CN"/>
        </w:rPr>
        <w:t>17</w:t>
      </w:r>
    </w:p>
    <w:p>
      <w:pPr>
        <w:pStyle w:val="3"/>
        <w:jc w:val="center"/>
        <w:rPr>
          <w:rFonts w:hint="eastAsia" w:ascii="黑体" w:hAnsi="黑体" w:eastAsia="黑体"/>
          <w:b w:val="0"/>
        </w:rPr>
      </w:pPr>
      <w:bookmarkStart w:id="12" w:name="_Toc15377196"/>
      <w:bookmarkStart w:id="13" w:name="_Toc15396599"/>
    </w:p>
    <w:p>
      <w:pPr>
        <w:pStyle w:val="3"/>
        <w:jc w:val="center"/>
        <w:rPr>
          <w:rFonts w:hint="eastAsia" w:ascii="黑体" w:hAnsi="黑体" w:eastAsia="黑体"/>
          <w:b w:val="0"/>
        </w:rPr>
      </w:pPr>
    </w:p>
    <w:p>
      <w:pPr>
        <w:pStyle w:val="3"/>
        <w:jc w:val="center"/>
        <w:rPr>
          <w:rFonts w:hint="eastAsia" w:ascii="黑体" w:hAnsi="黑体" w:eastAsia="黑体"/>
          <w:b w:val="0"/>
        </w:rPr>
      </w:pPr>
    </w:p>
    <w:p>
      <w:pPr>
        <w:pStyle w:val="3"/>
        <w:jc w:val="both"/>
        <w:rPr>
          <w:rFonts w:hint="eastAsia" w:ascii="黑体" w:hAnsi="黑体" w:eastAsia="黑体"/>
          <w:b w:val="0"/>
        </w:rPr>
      </w:pPr>
    </w:p>
    <w:p>
      <w:pPr>
        <w:pStyle w:val="3"/>
        <w:jc w:val="center"/>
        <w:rPr>
          <w:rFonts w:hint="eastAsia" w:ascii="黑体" w:hAnsi="黑体" w:eastAsia="黑体"/>
          <w:b w:val="0"/>
        </w:rPr>
      </w:pPr>
    </w:p>
    <w:p>
      <w:pPr>
        <w:pStyle w:val="3"/>
        <w:jc w:val="center"/>
        <w:rPr>
          <w:rFonts w:hint="eastAsia" w:ascii="黑体" w:hAnsi="黑体" w:eastAsia="黑体"/>
          <w:b w:val="0"/>
        </w:rPr>
      </w:pPr>
    </w:p>
    <w:p>
      <w:pPr>
        <w:pStyle w:val="3"/>
        <w:jc w:val="both"/>
        <w:rPr>
          <w:rFonts w:hint="eastAsia" w:ascii="黑体" w:hAnsi="黑体" w:eastAsia="黑体"/>
          <w:b w:val="0"/>
        </w:rPr>
      </w:pPr>
    </w:p>
    <w:p>
      <w:pPr>
        <w:pStyle w:val="3"/>
        <w:jc w:val="both"/>
        <w:rPr>
          <w:rFonts w:hint="eastAsia" w:ascii="黑体" w:hAnsi="黑体" w:eastAsia="黑体"/>
          <w:b w:val="0"/>
        </w:rPr>
      </w:pPr>
    </w:p>
    <w:p>
      <w:pPr>
        <w:pStyle w:val="3"/>
        <w:jc w:val="both"/>
        <w:rPr>
          <w:rFonts w:hint="eastAsia" w:ascii="黑体" w:hAnsi="黑体" w:eastAsia="黑体"/>
          <w:b w:val="0"/>
        </w:rPr>
      </w:pPr>
    </w:p>
    <w:p>
      <w:pPr>
        <w:rPr>
          <w:rFonts w:hint="eastAsia" w:ascii="黑体" w:hAnsi="黑体" w:eastAsia="黑体"/>
          <w:b w:val="0"/>
        </w:rPr>
      </w:pPr>
    </w:p>
    <w:p>
      <w:pPr>
        <w:pStyle w:val="2"/>
        <w:rPr>
          <w:rFonts w:hint="eastAsia"/>
        </w:rPr>
      </w:pPr>
    </w:p>
    <w:p>
      <w:pPr>
        <w:pStyle w:val="3"/>
        <w:jc w:val="center"/>
        <w:rPr>
          <w:rStyle w:val="24"/>
          <w:rFonts w:ascii="黑体" w:hAnsi="黑体" w:eastAsia="黑体"/>
          <w:b/>
          <w:bCs w:val="0"/>
        </w:rPr>
      </w:pPr>
      <w:r>
        <w:rPr>
          <w:rFonts w:hint="eastAsia" w:ascii="黑体" w:hAnsi="黑体" w:eastAsia="黑体"/>
          <w:b w:val="0"/>
        </w:rPr>
        <w:t>第一部分 单位</w:t>
      </w:r>
      <w:r>
        <w:rPr>
          <w:rStyle w:val="24"/>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numPr>
          <w:numId w:val="0"/>
        </w:numPr>
        <w:rPr>
          <w:rStyle w:val="25"/>
          <w:rFonts w:ascii="黑体" w:hAnsi="黑体" w:eastAsia="黑体"/>
          <w:b w:val="0"/>
          <w:bCs w:val="0"/>
        </w:rPr>
      </w:pPr>
      <w:bookmarkStart w:id="14" w:name="_Toc15396600"/>
      <w:bookmarkStart w:id="15" w:name="_Toc15377197"/>
      <w:r>
        <w:rPr>
          <w:rStyle w:val="25"/>
          <w:rFonts w:hint="eastAsia" w:ascii="黑体" w:hAnsi="黑体" w:eastAsia="黑体"/>
          <w:b w:val="0"/>
          <w:bCs w:val="0"/>
          <w:lang w:val="en-US" w:eastAsia="zh-CN"/>
        </w:rPr>
        <w:t xml:space="preserve">    一、</w:t>
      </w:r>
      <w:r>
        <w:rPr>
          <w:rStyle w:val="25"/>
          <w:rFonts w:hint="eastAsia" w:ascii="黑体" w:hAnsi="黑体" w:eastAsia="黑体"/>
          <w:b w:val="0"/>
          <w:bCs w:val="0"/>
        </w:rPr>
        <w:t>主要职责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攀枝花市人才服务中心成立于1984年8月，隶属于攀枝花市人力资源与社会保障局，主要从事流动人员人事档案管理服务、人才资源开发、高层次人才服务、专家服务基层行动、人力资源市场化配置的综合性人才服务机构。</w:t>
      </w:r>
    </w:p>
    <w:p>
      <w:pPr>
        <w:pStyle w:val="4"/>
        <w:numPr>
          <w:numId w:val="0"/>
        </w:numPr>
        <w:ind w:leftChars="0" w:firstLine="640" w:firstLineChars="200"/>
        <w:rPr>
          <w:rFonts w:hint="eastAsia" w:ascii="黑体" w:hAnsi="黑体" w:eastAsia="黑体"/>
          <w:b w:val="0"/>
        </w:rPr>
      </w:pPr>
      <w:r>
        <w:rPr>
          <w:rFonts w:hint="eastAsia" w:ascii="黑体" w:hAnsi="黑体" w:eastAsia="黑体"/>
          <w:b w:val="0"/>
          <w:lang w:eastAsia="zh-CN"/>
        </w:rPr>
        <w:t>二、</w:t>
      </w:r>
      <w:r>
        <w:rPr>
          <w:rFonts w:hint="eastAsia" w:ascii="黑体" w:hAnsi="黑体" w:eastAsia="黑体"/>
          <w:b w:val="0"/>
        </w:rPr>
        <w:t>机构设置</w:t>
      </w:r>
      <w:bookmarkEnd w:id="14"/>
      <w:bookmarkEnd w:id="15"/>
    </w:p>
    <w:p>
      <w:pPr>
        <w:pStyle w:val="4"/>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中心下设办公室、人事代理部、专业技术人才服务部、人才市场部、高校毕业生就业指导服务部、信息部。</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4"/>
          <w:rFonts w:ascii="黑体" w:hAnsi="黑体" w:eastAsia="黑体"/>
          <w:b w:val="0"/>
          <w:bCs/>
        </w:rPr>
      </w:pPr>
      <w:bookmarkStart w:id="16" w:name="_Toc15377204"/>
      <w:bookmarkStart w:id="17" w:name="_Toc15396602"/>
      <w:r>
        <w:rPr>
          <w:rFonts w:hint="eastAsia" w:ascii="黑体" w:hAnsi="黑体" w:eastAsia="黑体"/>
          <w:b w:val="0"/>
        </w:rPr>
        <w:t>第二部分 2022年度</w:t>
      </w:r>
      <w:r>
        <w:rPr>
          <w:rStyle w:val="24"/>
          <w:rFonts w:hint="eastAsia" w:ascii="黑体" w:hAnsi="黑体" w:eastAsia="黑体"/>
          <w:b w:val="0"/>
          <w:bCs/>
        </w:rPr>
        <w:t>单位决算情况说明</w:t>
      </w:r>
      <w:bookmarkEnd w:id="16"/>
      <w:bookmarkEnd w:id="17"/>
    </w:p>
    <w:p/>
    <w:p>
      <w:pPr>
        <w:pStyle w:val="23"/>
        <w:numPr>
          <w:ilvl w:val="0"/>
          <w:numId w:val="1"/>
        </w:numPr>
        <w:spacing w:line="600" w:lineRule="exact"/>
        <w:ind w:firstLineChars="0"/>
        <w:outlineLvl w:val="1"/>
        <w:rPr>
          <w:rStyle w:val="25"/>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5"/>
          <w:rFonts w:hint="eastAsia" w:ascii="黑体" w:hAnsi="黑体" w:eastAsia="黑体"/>
          <w:b w:val="0"/>
        </w:rPr>
        <w:t>入支出决算总体情况说明</w:t>
      </w:r>
      <w:bookmarkEnd w:id="18"/>
      <w:bookmarkEnd w:id="19"/>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2022年度收</w:t>
      </w:r>
      <w:r>
        <w:rPr>
          <w:rFonts w:hint="eastAsia" w:ascii="仿宋" w:hAnsi="仿宋" w:eastAsia="仿宋"/>
          <w:sz w:val="32"/>
          <w:szCs w:val="32"/>
          <w:lang w:eastAsia="zh-CN"/>
        </w:rPr>
        <w:t>、支总计</w:t>
      </w:r>
      <w:r>
        <w:rPr>
          <w:rFonts w:hint="eastAsia" w:ascii="仿宋" w:hAnsi="仿宋" w:eastAsia="仿宋"/>
          <w:sz w:val="32"/>
          <w:szCs w:val="32"/>
          <w:lang w:val="en-US" w:eastAsia="zh-CN"/>
        </w:rPr>
        <w:t>435.93万元</w:t>
      </w:r>
      <w:r>
        <w:rPr>
          <w:rFonts w:hint="eastAsia" w:ascii="仿宋" w:hAnsi="仿宋" w:eastAsia="仿宋"/>
          <w:sz w:val="32"/>
          <w:szCs w:val="32"/>
        </w:rPr>
        <w:t>。与2021年相比，收</w:t>
      </w:r>
      <w:r>
        <w:rPr>
          <w:rFonts w:hint="eastAsia" w:ascii="仿宋" w:hAnsi="仿宋" w:eastAsia="仿宋"/>
          <w:sz w:val="32"/>
          <w:szCs w:val="32"/>
          <w:lang w:eastAsia="zh-CN"/>
        </w:rPr>
        <w:t>、支总计减少</w:t>
      </w:r>
      <w:r>
        <w:rPr>
          <w:rFonts w:hint="eastAsia" w:ascii="仿宋" w:hAnsi="仿宋" w:eastAsia="仿宋"/>
          <w:sz w:val="32"/>
          <w:szCs w:val="32"/>
          <w:lang w:val="en-US" w:eastAsia="zh-CN"/>
        </w:rPr>
        <w:t>13.23万元，下降2.95%</w:t>
      </w:r>
      <w:r>
        <w:rPr>
          <w:rFonts w:hint="eastAsia" w:ascii="仿宋" w:hAnsi="仿宋" w:eastAsia="仿宋"/>
          <w:sz w:val="32"/>
          <w:szCs w:val="32"/>
        </w:rPr>
        <w:t>。主要变动原因是</w:t>
      </w:r>
      <w:r>
        <w:rPr>
          <w:rFonts w:hint="eastAsia" w:ascii="仿宋" w:hAnsi="仿宋" w:eastAsia="仿宋"/>
          <w:sz w:val="32"/>
          <w:szCs w:val="32"/>
          <w:lang w:eastAsia="zh-CN"/>
        </w:rPr>
        <w:t>项目经费减少</w:t>
      </w:r>
      <w:r>
        <w:rPr>
          <w:rFonts w:hint="eastAsia" w:ascii="仿宋" w:hAnsi="仿宋" w:eastAsia="仿宋"/>
          <w:sz w:val="32"/>
          <w:szCs w:val="32"/>
        </w:rPr>
        <w:t>。</w:t>
      </w:r>
    </w:p>
    <w:p>
      <w:pPr>
        <w:pStyle w:val="2"/>
      </w:pPr>
      <w:r>
        <w:drawing>
          <wp:inline distT="0" distB="0" distL="114300" distR="114300">
            <wp:extent cx="4981575" cy="2823845"/>
            <wp:effectExtent l="4445" t="4445" r="5080" b="10160"/>
            <wp:docPr id="103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r>
        <w:rPr>
          <w:rFonts w:hint="eastAsia" w:ascii="仿宋" w:hAnsi="仿宋" w:eastAsia="仿宋"/>
          <w:sz w:val="32"/>
          <w:szCs w:val="32"/>
          <w:lang w:val="en-US" w:eastAsia="zh-CN"/>
        </w:rPr>
        <w:t>)(</w:t>
      </w:r>
      <w:r>
        <w:rPr>
          <w:rFonts w:hint="eastAsia" w:ascii="仿宋" w:hAnsi="仿宋" w:eastAsia="仿宋"/>
          <w:sz w:val="32"/>
          <w:szCs w:val="32"/>
          <w:lang w:eastAsia="zh-CN"/>
        </w:rPr>
        <w:t>单位：万元</w:t>
      </w:r>
      <w:r>
        <w:rPr>
          <w:rFonts w:hint="eastAsia" w:ascii="仿宋" w:hAnsi="仿宋" w:eastAsia="仿宋"/>
          <w:sz w:val="32"/>
          <w:szCs w:val="32"/>
        </w:rPr>
        <w:t>）</w:t>
      </w:r>
    </w:p>
    <w:p>
      <w:pPr>
        <w:pStyle w:val="23"/>
        <w:numPr>
          <w:ilvl w:val="0"/>
          <w:numId w:val="1"/>
        </w:numPr>
        <w:spacing w:line="600" w:lineRule="exact"/>
        <w:ind w:firstLineChars="0"/>
        <w:outlineLvl w:val="1"/>
        <w:rPr>
          <w:rStyle w:val="25"/>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5"/>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w:t>
      </w:r>
      <w:r>
        <w:rPr>
          <w:rFonts w:hint="eastAsia" w:ascii="仿宋" w:hAnsi="仿宋" w:eastAsia="仿宋"/>
          <w:sz w:val="32"/>
          <w:szCs w:val="32"/>
          <w:lang w:val="en-US" w:eastAsia="zh-CN"/>
        </w:rPr>
        <w:t>406.75</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406.74</w:t>
      </w:r>
      <w:r>
        <w:rPr>
          <w:rFonts w:hint="eastAsia" w:ascii="仿宋" w:hAnsi="仿宋" w:eastAsia="仿宋"/>
          <w:sz w:val="32"/>
          <w:szCs w:val="32"/>
        </w:rPr>
        <w:t>万元，占</w:t>
      </w:r>
      <w:r>
        <w:rPr>
          <w:rFonts w:hint="eastAsia" w:ascii="仿宋" w:hAnsi="仿宋" w:eastAsia="仿宋"/>
          <w:sz w:val="32"/>
          <w:szCs w:val="32"/>
          <w:lang w:val="en-US" w:eastAsia="zh-CN"/>
        </w:rPr>
        <w:t>99.998</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0.01</w:t>
      </w:r>
      <w:r>
        <w:rPr>
          <w:rFonts w:hint="eastAsia" w:ascii="仿宋" w:hAnsi="仿宋" w:eastAsia="仿宋"/>
          <w:sz w:val="32"/>
          <w:szCs w:val="32"/>
        </w:rPr>
        <w:t>万元，占</w:t>
      </w:r>
      <w:r>
        <w:rPr>
          <w:rFonts w:hint="eastAsia" w:ascii="仿宋" w:hAnsi="仿宋" w:eastAsia="仿宋"/>
          <w:sz w:val="32"/>
          <w:szCs w:val="32"/>
          <w:lang w:val="en-US" w:eastAsia="zh-CN"/>
        </w:rPr>
        <w:t>0.002</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outlineLvl w:val="1"/>
        <w:rPr>
          <w:rFonts w:ascii="仿宋" w:hAnsi="仿宋" w:eastAsia="仿宋"/>
          <w:sz w:val="32"/>
          <w:szCs w:val="32"/>
        </w:rPr>
      </w:pPr>
    </w:p>
    <w:p>
      <w:pPr>
        <w:spacing w:line="600" w:lineRule="exact"/>
        <w:ind w:firstLine="420" w:firstLineChars="200"/>
        <w:jc w:val="center"/>
      </w:pPr>
      <w:r>
        <w:drawing>
          <wp:anchor distT="0" distB="0" distL="114300" distR="114300" simplePos="0" relativeHeight="251659264" behindDoc="0" locked="0" layoutInCell="1" allowOverlap="1">
            <wp:simplePos x="0" y="0"/>
            <wp:positionH relativeFrom="column">
              <wp:posOffset>366395</wp:posOffset>
            </wp:positionH>
            <wp:positionV relativeFrom="paragraph">
              <wp:posOffset>-8636000</wp:posOffset>
            </wp:positionV>
            <wp:extent cx="4572000" cy="2815590"/>
            <wp:effectExtent l="4445" t="4445" r="14605" b="18415"/>
            <wp:wrapSquare wrapText="bothSides"/>
            <wp:docPr id="103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jc w:val="center"/>
        <w:rPr>
          <w:rFonts w:hint="eastAsia" w:ascii="仿宋" w:hAnsi="仿宋" w:eastAsia="仿宋"/>
          <w:sz w:val="32"/>
          <w:szCs w:val="32"/>
        </w:rPr>
      </w:pPr>
    </w:p>
    <w:p>
      <w:pPr>
        <w:spacing w:line="600" w:lineRule="exact"/>
        <w:ind w:firstLine="640" w:firstLineChars="200"/>
        <w:jc w:val="center"/>
        <w:rPr>
          <w:rFonts w:hint="eastAsia" w:ascii="仿宋" w:hAnsi="仿宋" w:eastAsia="仿宋"/>
          <w:sz w:val="32"/>
          <w:szCs w:val="32"/>
        </w:rPr>
      </w:pPr>
    </w:p>
    <w:p>
      <w:pPr>
        <w:spacing w:line="600" w:lineRule="exact"/>
        <w:ind w:firstLine="640" w:firstLineChars="200"/>
        <w:jc w:val="center"/>
        <w:rPr>
          <w:rFonts w:hint="eastAsia" w:ascii="仿宋" w:hAnsi="仿宋" w:eastAsia="仿宋"/>
          <w:sz w:val="32"/>
          <w:szCs w:val="32"/>
        </w:rPr>
      </w:pPr>
    </w:p>
    <w:p>
      <w:pPr>
        <w:spacing w:line="600" w:lineRule="exact"/>
        <w:ind w:firstLine="640" w:firstLineChars="200"/>
        <w:jc w:val="center"/>
        <w:rPr>
          <w:rFonts w:hint="eastAsia" w:ascii="仿宋" w:hAnsi="仿宋" w:eastAsia="仿宋"/>
          <w:sz w:val="32"/>
          <w:szCs w:val="32"/>
        </w:rPr>
      </w:pPr>
    </w:p>
    <w:p>
      <w:pPr>
        <w:spacing w:line="600" w:lineRule="exact"/>
        <w:ind w:firstLine="640" w:firstLineChars="200"/>
        <w:jc w:val="center"/>
        <w:rPr>
          <w:rFonts w:hint="eastAsia" w:ascii="仿宋" w:hAnsi="仿宋" w:eastAsia="仿宋"/>
          <w:sz w:val="32"/>
          <w:szCs w:val="32"/>
        </w:rPr>
      </w:pPr>
    </w:p>
    <w:p>
      <w:pPr>
        <w:spacing w:line="600" w:lineRule="exact"/>
        <w:ind w:firstLine="420" w:firstLineChars="200"/>
        <w:jc w:val="center"/>
        <w:rPr>
          <w:rFonts w:ascii="仿宋_GB2312" w:eastAsia="仿宋_GB2312"/>
          <w:sz w:val="32"/>
          <w:szCs w:val="32"/>
        </w:rPr>
      </w:pPr>
      <w:r>
        <w:drawing>
          <wp:anchor distT="0" distB="0" distL="114300" distR="114300" simplePos="0" relativeHeight="251660288" behindDoc="0" locked="0" layoutInCell="1" allowOverlap="1">
            <wp:simplePos x="0" y="0"/>
            <wp:positionH relativeFrom="column">
              <wp:posOffset>306070</wp:posOffset>
            </wp:positionH>
            <wp:positionV relativeFrom="paragraph">
              <wp:posOffset>1652270</wp:posOffset>
            </wp:positionV>
            <wp:extent cx="4572000" cy="2819400"/>
            <wp:effectExtent l="4445" t="4445" r="14605" b="14605"/>
            <wp:wrapSquare wrapText="bothSides"/>
            <wp:docPr id="921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sz w:val="32"/>
          <w:szCs w:val="32"/>
        </w:rPr>
        <w:t>（图2：收入决算结构图）（</w:t>
      </w:r>
      <w:r>
        <w:rPr>
          <w:rFonts w:hint="eastAsia" w:ascii="仿宋" w:hAnsi="仿宋" w:eastAsia="仿宋"/>
          <w:sz w:val="32"/>
          <w:szCs w:val="32"/>
          <w:lang w:eastAsia="zh-CN"/>
        </w:rPr>
        <w:t>单位：万元</w:t>
      </w:r>
      <w:r>
        <w:rPr>
          <w:rFonts w:hint="eastAsia" w:ascii="仿宋" w:hAnsi="仿宋" w:eastAsia="仿宋"/>
          <w:sz w:val="32"/>
          <w:szCs w:val="32"/>
        </w:rPr>
        <w:t>）</w:t>
      </w:r>
    </w:p>
    <w:p>
      <w:pPr>
        <w:pStyle w:val="23"/>
        <w:numPr>
          <w:ilvl w:val="0"/>
          <w:numId w:val="1"/>
        </w:numPr>
        <w:spacing w:line="600" w:lineRule="exact"/>
        <w:ind w:firstLineChars="0"/>
        <w:outlineLvl w:val="1"/>
        <w:rPr>
          <w:rStyle w:val="25"/>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5"/>
          <w:rFonts w:hint="eastAsia" w:ascii="黑体" w:hAnsi="黑体" w:eastAsia="黑体"/>
          <w:b w:val="0"/>
        </w:rPr>
        <w:t>出决算情况说明</w:t>
      </w:r>
      <w:bookmarkEnd w:id="22"/>
      <w:bookmarkEnd w:id="23"/>
    </w:p>
    <w:p>
      <w:pPr>
        <w:spacing w:line="600" w:lineRule="exact"/>
        <w:ind w:firstLine="640" w:firstLineChars="200"/>
        <w:outlineLvl w:val="1"/>
        <w:rPr>
          <w:rFonts w:hint="eastAsia" w:ascii="仿宋" w:hAnsi="仿宋" w:eastAsia="仿宋"/>
          <w:sz w:val="32"/>
          <w:szCs w:val="32"/>
          <w:lang w:eastAsia="zh-CN"/>
        </w:rPr>
      </w:pPr>
      <w:r>
        <w:rPr>
          <w:rFonts w:ascii="仿宋" w:hAnsi="仿宋" w:eastAsia="仿宋"/>
          <w:sz w:val="32"/>
          <w:szCs w:val="32"/>
        </w:rPr>
        <w:t>20</w:t>
      </w:r>
      <w:r>
        <w:rPr>
          <w:rFonts w:hint="eastAsia" w:ascii="仿宋" w:hAnsi="仿宋" w:eastAsia="仿宋"/>
          <w:sz w:val="32"/>
          <w:szCs w:val="32"/>
        </w:rPr>
        <w:t>22年本年支出合计</w:t>
      </w:r>
      <w:r>
        <w:rPr>
          <w:rFonts w:hint="eastAsia" w:ascii="仿宋" w:hAnsi="仿宋" w:eastAsia="仿宋"/>
          <w:sz w:val="32"/>
          <w:szCs w:val="32"/>
          <w:lang w:val="en-US" w:eastAsia="zh-CN"/>
        </w:rPr>
        <w:t>435.92</w:t>
      </w:r>
      <w:r>
        <w:rPr>
          <w:rFonts w:hint="eastAsia" w:ascii="仿宋" w:hAnsi="仿宋" w:eastAsia="仿宋"/>
          <w:sz w:val="32"/>
          <w:szCs w:val="32"/>
        </w:rPr>
        <w:t>万元，其中：基本支出</w:t>
      </w:r>
      <w:r>
        <w:rPr>
          <w:rFonts w:hint="eastAsia" w:ascii="仿宋" w:hAnsi="仿宋" w:eastAsia="仿宋"/>
          <w:sz w:val="32"/>
          <w:szCs w:val="32"/>
          <w:lang w:val="en-US" w:eastAsia="zh-CN"/>
        </w:rPr>
        <w:t>355.57</w:t>
      </w:r>
      <w:r>
        <w:rPr>
          <w:rFonts w:hint="eastAsia" w:ascii="仿宋" w:hAnsi="仿宋" w:eastAsia="仿宋"/>
          <w:sz w:val="32"/>
          <w:szCs w:val="32"/>
        </w:rPr>
        <w:t>万元，占</w:t>
      </w:r>
      <w:r>
        <w:rPr>
          <w:rFonts w:hint="eastAsia" w:ascii="仿宋" w:hAnsi="仿宋" w:eastAsia="仿宋"/>
          <w:sz w:val="32"/>
          <w:szCs w:val="32"/>
          <w:lang w:val="en-US" w:eastAsia="zh-CN"/>
        </w:rPr>
        <w:t>81.57</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80.35</w:t>
      </w:r>
      <w:r>
        <w:rPr>
          <w:rFonts w:hint="eastAsia" w:ascii="仿宋" w:hAnsi="仿宋" w:eastAsia="仿宋"/>
          <w:sz w:val="32"/>
          <w:szCs w:val="32"/>
        </w:rPr>
        <w:t>万元，占</w:t>
      </w:r>
      <w:r>
        <w:rPr>
          <w:rFonts w:hint="eastAsia" w:ascii="仿宋" w:hAnsi="仿宋" w:eastAsia="仿宋"/>
          <w:sz w:val="32"/>
          <w:szCs w:val="32"/>
          <w:lang w:val="en-US" w:eastAsia="zh-CN"/>
        </w:rPr>
        <w:t>18.43</w:t>
      </w:r>
      <w:r>
        <w:rPr>
          <w:rFonts w:ascii="仿宋" w:hAnsi="仿宋" w:eastAsia="仿宋"/>
          <w:sz w:val="32"/>
          <w:szCs w:val="32"/>
        </w:rPr>
        <w:t>%</w:t>
      </w:r>
      <w:r>
        <w:rPr>
          <w:rFonts w:hint="eastAsia" w:ascii="仿宋" w:hAnsi="仿宋" w:eastAsia="仿宋"/>
          <w:sz w:val="32"/>
          <w:szCs w:val="32"/>
          <w:lang w:eastAsia="zh-CN"/>
        </w:rPr>
        <w:t>。</w:t>
      </w:r>
    </w:p>
    <w:p>
      <w:pPr>
        <w:spacing w:line="600" w:lineRule="exact"/>
        <w:ind w:firstLine="640"/>
        <w:rPr>
          <w:rFonts w:ascii="仿宋" w:hAnsi="仿宋" w:eastAsia="仿宋"/>
          <w:sz w:val="32"/>
          <w:szCs w:val="32"/>
          <w:shd w:val="pct10" w:color="auto" w:fill="FFFFFF"/>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（图3：支出决算结构图）（</w:t>
      </w:r>
      <w:r>
        <w:rPr>
          <w:rFonts w:hint="eastAsia" w:ascii="仿宋" w:hAnsi="仿宋" w:eastAsia="仿宋"/>
          <w:sz w:val="32"/>
          <w:szCs w:val="32"/>
          <w:lang w:eastAsia="zh-CN"/>
        </w:rPr>
        <w:t>单位：万元</w:t>
      </w:r>
      <w:r>
        <w:rPr>
          <w:rFonts w:hint="eastAsia" w:ascii="仿宋" w:hAnsi="仿宋" w:eastAsia="仿宋"/>
          <w:sz w:val="32"/>
          <w:szCs w:val="32"/>
        </w:rPr>
        <w:t>）</w:t>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25"/>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w:t>
      </w:r>
      <w:r>
        <w:rPr>
          <w:rFonts w:hint="eastAsia" w:ascii="仿宋" w:hAnsi="仿宋" w:eastAsia="仿宋"/>
          <w:sz w:val="32"/>
          <w:szCs w:val="32"/>
          <w:lang w:eastAsia="zh-CN"/>
        </w:rPr>
        <w:t>、支总计</w:t>
      </w:r>
      <w:r>
        <w:rPr>
          <w:rFonts w:hint="eastAsia" w:ascii="仿宋" w:hAnsi="仿宋" w:eastAsia="仿宋"/>
          <w:sz w:val="32"/>
          <w:szCs w:val="32"/>
          <w:lang w:val="en-US" w:eastAsia="zh-CN"/>
        </w:rPr>
        <w:t>435.92万元</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21年相比，财政拨款收</w:t>
      </w:r>
      <w:r>
        <w:rPr>
          <w:rFonts w:hint="eastAsia" w:ascii="仿宋" w:hAnsi="仿宋" w:eastAsia="仿宋"/>
          <w:sz w:val="32"/>
          <w:szCs w:val="32"/>
          <w:lang w:eastAsia="zh-CN"/>
        </w:rPr>
        <w:t>、支总计减少</w:t>
      </w:r>
      <w:r>
        <w:rPr>
          <w:rFonts w:hint="eastAsia" w:ascii="仿宋" w:hAnsi="仿宋" w:eastAsia="仿宋"/>
          <w:sz w:val="32"/>
          <w:szCs w:val="32"/>
          <w:lang w:val="en-US" w:eastAsia="zh-CN"/>
        </w:rPr>
        <w:t>12.43万元，</w:t>
      </w:r>
      <w:r>
        <w:rPr>
          <w:rFonts w:hint="eastAsia" w:ascii="仿宋" w:hAnsi="仿宋" w:eastAsia="仿宋"/>
          <w:sz w:val="32"/>
          <w:szCs w:val="32"/>
        </w:rPr>
        <w:t>下降</w:t>
      </w:r>
      <w:r>
        <w:rPr>
          <w:rFonts w:hint="eastAsia" w:ascii="仿宋" w:hAnsi="仿宋" w:eastAsia="仿宋"/>
          <w:sz w:val="32"/>
          <w:szCs w:val="32"/>
          <w:lang w:val="en-US" w:eastAsia="zh-CN"/>
        </w:rPr>
        <w:t>2.77%</w:t>
      </w:r>
      <w:r>
        <w:rPr>
          <w:rFonts w:hint="eastAsia" w:ascii="仿宋" w:hAnsi="仿宋" w:eastAsia="仿宋"/>
          <w:sz w:val="32"/>
          <w:szCs w:val="32"/>
        </w:rPr>
        <w:t>。主要变动原因是</w:t>
      </w:r>
      <w:r>
        <w:rPr>
          <w:rFonts w:hint="eastAsia" w:ascii="仿宋" w:hAnsi="仿宋" w:eastAsia="仿宋"/>
          <w:sz w:val="32"/>
          <w:szCs w:val="32"/>
          <w:lang w:eastAsia="zh-CN"/>
        </w:rPr>
        <w:t>项目经费减少。</w:t>
      </w:r>
    </w:p>
    <w:p>
      <w:pPr>
        <w:pStyle w:val="2"/>
      </w:pPr>
      <w:r>
        <w:drawing>
          <wp:inline distT="0" distB="0" distL="114300" distR="114300">
            <wp:extent cx="5274310" cy="2700020"/>
            <wp:effectExtent l="4445" t="4445" r="17145" b="19685"/>
            <wp:docPr id="1024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rPr>
          <w:rFonts w:ascii="仿宋" w:hAnsi="仿宋" w:eastAsia="仿宋"/>
          <w:b/>
          <w:sz w:val="32"/>
          <w:szCs w:val="32"/>
        </w:rPr>
      </w:pPr>
      <w:r>
        <w:rPr>
          <w:rFonts w:hint="eastAsia" w:ascii="仿宋" w:hAnsi="仿宋" w:eastAsia="仿宋"/>
          <w:sz w:val="32"/>
          <w:szCs w:val="32"/>
        </w:rPr>
        <w:t>（图4：财政拨款收、支决算总计变动情况）（</w:t>
      </w:r>
      <w:r>
        <w:rPr>
          <w:rFonts w:hint="eastAsia" w:ascii="仿宋" w:hAnsi="仿宋" w:eastAsia="仿宋"/>
          <w:sz w:val="32"/>
          <w:szCs w:val="32"/>
          <w:lang w:eastAsia="zh-CN"/>
        </w:rPr>
        <w:t>单位：万元</w:t>
      </w:r>
      <w:r>
        <w:rPr>
          <w:rFonts w:hint="eastAsia" w:ascii="仿宋" w:hAnsi="仿宋" w:eastAsia="仿宋"/>
          <w:sz w:val="32"/>
          <w:szCs w:val="32"/>
        </w:rPr>
        <w:t>）</w:t>
      </w:r>
    </w:p>
    <w:p>
      <w:pPr>
        <w:spacing w:line="600" w:lineRule="exact"/>
        <w:ind w:firstLine="640" w:firstLineChars="200"/>
        <w:outlineLvl w:val="1"/>
        <w:rPr>
          <w:rStyle w:val="25"/>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30" w:firstLineChars="300"/>
        <w:rPr>
          <w:rFonts w:hint="eastAsia" w:ascii="仿宋" w:hAnsi="仿宋" w:eastAsia="仿宋"/>
          <w:sz w:val="32"/>
          <w:szCs w:val="32"/>
        </w:rPr>
      </w:pPr>
      <w:r>
        <w:drawing>
          <wp:anchor distT="0" distB="0" distL="114300" distR="114300" simplePos="0" relativeHeight="251661312" behindDoc="0" locked="0" layoutInCell="1" allowOverlap="1">
            <wp:simplePos x="0" y="0"/>
            <wp:positionH relativeFrom="column">
              <wp:posOffset>461645</wp:posOffset>
            </wp:positionH>
            <wp:positionV relativeFrom="paragraph">
              <wp:posOffset>2454275</wp:posOffset>
            </wp:positionV>
            <wp:extent cx="4572000" cy="2814320"/>
            <wp:effectExtent l="4445" t="4445" r="14605" b="19685"/>
            <wp:wrapTopAndBottom/>
            <wp:docPr id="1126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435.92</w:t>
      </w:r>
      <w:r>
        <w:rPr>
          <w:rFonts w:hint="eastAsia" w:ascii="仿宋" w:hAnsi="仿宋" w:eastAsia="仿宋"/>
          <w:sz w:val="32"/>
          <w:szCs w:val="32"/>
        </w:rPr>
        <w:t>万元，占本年支出合计的</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21年相比，一般公共预算财政拨款支出减少</w:t>
      </w:r>
      <w:r>
        <w:rPr>
          <w:rFonts w:hint="eastAsia" w:ascii="仿宋" w:hAnsi="仿宋" w:eastAsia="仿宋"/>
          <w:sz w:val="32"/>
          <w:szCs w:val="32"/>
          <w:lang w:val="en-US" w:eastAsia="zh-CN"/>
        </w:rPr>
        <w:t>12.43</w:t>
      </w:r>
      <w:r>
        <w:rPr>
          <w:rFonts w:hint="eastAsia" w:ascii="仿宋" w:hAnsi="仿宋" w:eastAsia="仿宋"/>
          <w:sz w:val="32"/>
          <w:szCs w:val="32"/>
        </w:rPr>
        <w:t>万元，下降</w:t>
      </w:r>
      <w:r>
        <w:rPr>
          <w:rFonts w:hint="eastAsia" w:ascii="仿宋" w:hAnsi="仿宋" w:eastAsia="仿宋"/>
          <w:sz w:val="32"/>
          <w:szCs w:val="32"/>
          <w:lang w:val="en-US" w:eastAsia="zh-CN"/>
        </w:rPr>
        <w:t>2.77</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项目经费减少。</w:t>
      </w:r>
    </w:p>
    <w:p>
      <w:pPr>
        <w:spacing w:line="600" w:lineRule="exact"/>
        <w:rPr>
          <w:rFonts w:hint="eastAsia" w:ascii="仿宋" w:hAnsi="仿宋" w:eastAsia="仿宋"/>
          <w:sz w:val="32"/>
          <w:szCs w:val="32"/>
        </w:rPr>
      </w:pPr>
    </w:p>
    <w:p>
      <w:pPr>
        <w:spacing w:line="600" w:lineRule="exact"/>
        <w:jc w:val="both"/>
        <w:rPr>
          <w:rFonts w:hint="eastAsia" w:ascii="仿宋" w:hAnsi="仿宋" w:eastAsia="仿宋"/>
          <w:sz w:val="32"/>
          <w:szCs w:val="32"/>
        </w:rPr>
      </w:pPr>
    </w:p>
    <w:p>
      <w:pPr>
        <w:spacing w:line="600" w:lineRule="exact"/>
        <w:jc w:val="both"/>
        <w:rPr>
          <w:rFonts w:ascii="仿宋" w:hAnsi="仿宋" w:eastAsia="仿宋"/>
          <w:sz w:val="32"/>
          <w:szCs w:val="32"/>
        </w:rPr>
      </w:pPr>
      <w:r>
        <w:rPr>
          <w:rFonts w:hint="eastAsia" w:ascii="仿宋" w:hAnsi="仿宋" w:eastAsia="仿宋"/>
          <w:sz w:val="28"/>
          <w:szCs w:val="28"/>
        </w:rPr>
        <w:t>（图5：一般公共预算财政拨款支出决算变动情况）（</w:t>
      </w:r>
      <w:r>
        <w:rPr>
          <w:rFonts w:hint="eastAsia" w:ascii="仿宋" w:hAnsi="仿宋" w:eastAsia="仿宋"/>
          <w:sz w:val="28"/>
          <w:szCs w:val="28"/>
          <w:lang w:eastAsia="zh-CN"/>
        </w:rPr>
        <w:t>单位：万元</w:t>
      </w:r>
      <w:r>
        <w:rPr>
          <w:rFonts w:hint="eastAsia" w:ascii="仿宋" w:hAnsi="仿宋" w:eastAsia="仿宋"/>
          <w:sz w:val="28"/>
          <w:szCs w:val="28"/>
        </w:rPr>
        <w:t>）</w:t>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435.92</w:t>
      </w:r>
      <w:r>
        <w:rPr>
          <w:rFonts w:hint="eastAsia" w:ascii="仿宋" w:hAnsi="仿宋" w:eastAsia="仿宋"/>
          <w:sz w:val="32"/>
          <w:szCs w:val="32"/>
        </w:rPr>
        <w:t>万元，主要用于以下方</w:t>
      </w:r>
      <w:r>
        <w:rPr>
          <w:rFonts w:hint="eastAsia" w:ascii="仿宋" w:hAnsi="仿宋" w:eastAsia="仿宋"/>
          <w:b w:val="0"/>
          <w:bCs w:val="0"/>
          <w:sz w:val="32"/>
          <w:szCs w:val="32"/>
        </w:rPr>
        <w:t>面</w:t>
      </w:r>
      <w:r>
        <w:rPr>
          <w:rFonts w:ascii="仿宋" w:hAnsi="仿宋" w:eastAsia="仿宋"/>
          <w:b w:val="0"/>
          <w:bCs w:val="0"/>
          <w:sz w:val="32"/>
          <w:szCs w:val="32"/>
        </w:rPr>
        <w:t>:</w:t>
      </w:r>
      <w:r>
        <w:rPr>
          <w:rFonts w:hint="eastAsia" w:ascii="仿宋" w:hAnsi="仿宋" w:eastAsia="仿宋"/>
          <w:b w:val="0"/>
          <w:bCs w:val="0"/>
          <w:sz w:val="32"/>
          <w:szCs w:val="32"/>
        </w:rPr>
        <w:t>社会保障和就业支出</w:t>
      </w:r>
      <w:r>
        <w:rPr>
          <w:rFonts w:hint="eastAsia" w:ascii="仿宋" w:hAnsi="仿宋" w:eastAsia="仿宋"/>
          <w:b w:val="0"/>
          <w:bCs w:val="0"/>
          <w:sz w:val="32"/>
          <w:szCs w:val="32"/>
          <w:lang w:val="en-US" w:eastAsia="zh-CN"/>
        </w:rPr>
        <w:t>406</w:t>
      </w:r>
      <w:r>
        <w:rPr>
          <w:rFonts w:hint="eastAsia" w:ascii="仿宋" w:hAnsi="仿宋" w:eastAsia="仿宋"/>
          <w:b w:val="0"/>
          <w:bCs w:val="0"/>
          <w:sz w:val="32"/>
          <w:szCs w:val="32"/>
        </w:rPr>
        <w:t>万元，占</w:t>
      </w:r>
      <w:r>
        <w:rPr>
          <w:rFonts w:hint="eastAsia" w:ascii="仿宋" w:hAnsi="仿宋" w:eastAsia="仿宋"/>
          <w:b w:val="0"/>
          <w:bCs w:val="0"/>
          <w:sz w:val="32"/>
          <w:szCs w:val="32"/>
          <w:lang w:val="en-US" w:eastAsia="zh-CN"/>
        </w:rPr>
        <w:t>93.14</w:t>
      </w:r>
      <w:r>
        <w:rPr>
          <w:rFonts w:ascii="仿宋" w:hAnsi="仿宋" w:eastAsia="仿宋"/>
          <w:b w:val="0"/>
          <w:bCs w:val="0"/>
          <w:sz w:val="32"/>
          <w:szCs w:val="32"/>
        </w:rPr>
        <w:t>%</w:t>
      </w:r>
      <w:r>
        <w:rPr>
          <w:rFonts w:hint="eastAsia" w:ascii="仿宋" w:hAnsi="仿宋" w:eastAsia="仿宋"/>
          <w:b w:val="0"/>
          <w:bCs w:val="0"/>
          <w:sz w:val="32"/>
          <w:szCs w:val="32"/>
        </w:rPr>
        <w:t>；住房保障支出</w:t>
      </w:r>
      <w:r>
        <w:rPr>
          <w:rFonts w:hint="eastAsia" w:ascii="仿宋" w:hAnsi="仿宋" w:eastAsia="仿宋"/>
          <w:b w:val="0"/>
          <w:bCs w:val="0"/>
          <w:sz w:val="32"/>
          <w:szCs w:val="32"/>
          <w:lang w:val="en-US" w:eastAsia="zh-CN"/>
        </w:rPr>
        <w:t>29.92</w:t>
      </w:r>
      <w:r>
        <w:rPr>
          <w:rFonts w:hint="eastAsia" w:ascii="仿宋" w:hAnsi="仿宋" w:eastAsia="仿宋"/>
          <w:b w:val="0"/>
          <w:bCs w:val="0"/>
          <w:sz w:val="32"/>
          <w:szCs w:val="32"/>
        </w:rPr>
        <w:t>万元，占</w:t>
      </w:r>
      <w:r>
        <w:rPr>
          <w:rFonts w:hint="eastAsia" w:ascii="仿宋" w:hAnsi="仿宋" w:eastAsia="仿宋"/>
          <w:b w:val="0"/>
          <w:bCs w:val="0"/>
          <w:sz w:val="32"/>
          <w:szCs w:val="32"/>
          <w:lang w:val="en-US" w:eastAsia="zh-CN"/>
        </w:rPr>
        <w:t>6.86</w:t>
      </w:r>
      <w:r>
        <w:rPr>
          <w:rFonts w:ascii="仿宋" w:hAnsi="仿宋" w:eastAsia="仿宋"/>
          <w:sz w:val="32"/>
          <w:szCs w:val="32"/>
        </w:rPr>
        <w:t>%</w:t>
      </w:r>
      <w:r>
        <w:rPr>
          <w:rFonts w:hint="eastAsia" w:ascii="仿宋" w:hAnsi="仿宋" w:eastAsia="仿宋"/>
          <w:sz w:val="32"/>
          <w:szCs w:val="32"/>
        </w:rPr>
        <w:t>。</w:t>
      </w:r>
    </w:p>
    <w:p>
      <w:pPr>
        <w:pStyle w:val="2"/>
      </w:pPr>
      <w:r>
        <w:drawing>
          <wp:inline distT="0" distB="0" distL="114300" distR="114300">
            <wp:extent cx="4819650" cy="2799080"/>
            <wp:effectExtent l="4445" t="4445" r="14605" b="15875"/>
            <wp:docPr id="1229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rPr>
          <w:rFonts w:ascii="仿宋" w:hAnsi="仿宋" w:eastAsia="仿宋"/>
          <w:sz w:val="32"/>
          <w:szCs w:val="32"/>
        </w:rPr>
      </w:pPr>
      <w:r>
        <w:rPr>
          <w:rFonts w:hint="eastAsia" w:ascii="仿宋" w:hAnsi="仿宋" w:eastAsia="仿宋"/>
          <w:sz w:val="32"/>
          <w:szCs w:val="32"/>
        </w:rPr>
        <w:t>（图6：一般公共预算财政拨款支出决算结构）（</w:t>
      </w:r>
      <w:r>
        <w:rPr>
          <w:rFonts w:hint="eastAsia" w:ascii="仿宋" w:hAnsi="仿宋" w:eastAsia="仿宋"/>
          <w:sz w:val="32"/>
          <w:szCs w:val="32"/>
          <w:lang w:eastAsia="zh-CN"/>
        </w:rPr>
        <w:t>单位：万元</w:t>
      </w:r>
      <w:r>
        <w:rPr>
          <w:rFonts w:hint="eastAsia" w:ascii="仿宋" w:hAnsi="仿宋" w:eastAsia="仿宋"/>
          <w:sz w:val="32"/>
          <w:szCs w:val="32"/>
        </w:rPr>
        <w:t>）</w:t>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8460"/>
      <w:bookmarkStart w:id="32" w:name="_Toc15377444"/>
      <w:bookmarkStart w:id="33" w:name="_Toc15377213"/>
      <w:r>
        <w:rPr>
          <w:rFonts w:hint="eastAsia" w:ascii="仿宋" w:hAnsi="仿宋" w:eastAsia="仿宋"/>
          <w:b/>
          <w:sz w:val="32"/>
          <w:szCs w:val="32"/>
        </w:rPr>
        <w:t>2022年一般公共预算支出决算数为</w:t>
      </w:r>
      <w:r>
        <w:rPr>
          <w:rFonts w:hint="eastAsia" w:ascii="仿宋" w:hAnsi="仿宋" w:eastAsia="仿宋"/>
          <w:b/>
          <w:sz w:val="32"/>
          <w:szCs w:val="32"/>
          <w:lang w:val="en-US" w:eastAsia="zh-CN"/>
        </w:rPr>
        <w:t>435.92万元</w:t>
      </w:r>
      <w:r>
        <w:rPr>
          <w:rFonts w:hint="eastAsia" w:ascii="仿宋" w:hAnsi="仿宋" w:eastAsia="仿宋"/>
          <w:sz w:val="32"/>
          <w:szCs w:val="32"/>
        </w:rPr>
        <w:t>，</w:t>
      </w:r>
      <w:r>
        <w:rPr>
          <w:rStyle w:val="14"/>
          <w:rFonts w:hint="eastAsia" w:ascii="仿宋" w:hAnsi="仿宋" w:eastAsia="仿宋"/>
          <w:bCs/>
          <w:sz w:val="32"/>
          <w:szCs w:val="32"/>
        </w:rPr>
        <w:t>完成预算</w:t>
      </w:r>
      <w:r>
        <w:rPr>
          <w:rStyle w:val="14"/>
          <w:rFonts w:hint="eastAsia" w:ascii="仿宋" w:hAnsi="仿宋" w:eastAsia="仿宋"/>
          <w:bCs/>
          <w:sz w:val="32"/>
          <w:szCs w:val="32"/>
          <w:lang w:val="en-US" w:eastAsia="zh-CN"/>
        </w:rPr>
        <w:t>100</w:t>
      </w:r>
      <w:r>
        <w:rPr>
          <w:rStyle w:val="14"/>
          <w:rFonts w:ascii="仿宋" w:hAnsi="仿宋" w:eastAsia="仿宋"/>
          <w:bCs/>
          <w:sz w:val="32"/>
          <w:szCs w:val="32"/>
        </w:rPr>
        <w:t>%</w:t>
      </w:r>
      <w:r>
        <w:rPr>
          <w:rStyle w:val="14"/>
          <w:rFonts w:hint="eastAsia" w:ascii="仿宋" w:hAnsi="仿宋" w:eastAsia="仿宋"/>
          <w:bCs/>
          <w:sz w:val="32"/>
          <w:szCs w:val="32"/>
        </w:rPr>
        <w:t>。其中：</w:t>
      </w:r>
      <w:bookmarkEnd w:id="31"/>
      <w:bookmarkEnd w:id="32"/>
      <w:bookmarkEnd w:id="33"/>
    </w:p>
    <w:p>
      <w:pPr>
        <w:spacing w:line="600" w:lineRule="exact"/>
        <w:ind w:firstLine="643" w:firstLineChars="200"/>
        <w:rPr>
          <w:rStyle w:val="14"/>
          <w:rFonts w:hint="eastAsia" w:ascii="仿宋" w:hAnsi="仿宋" w:eastAsia="仿宋"/>
          <w:b w:val="0"/>
          <w:bCs/>
          <w:sz w:val="32"/>
          <w:szCs w:val="32"/>
        </w:rPr>
      </w:pPr>
      <w:r>
        <w:rPr>
          <w:rStyle w:val="14"/>
          <w:rFonts w:hint="eastAsia" w:ascii="仿宋" w:hAnsi="仿宋" w:eastAsia="仿宋"/>
          <w:bCs/>
          <w:sz w:val="32"/>
          <w:szCs w:val="32"/>
          <w:lang w:val="en-US" w:eastAsia="zh-CN"/>
        </w:rPr>
        <w:t>1</w:t>
      </w:r>
      <w:r>
        <w:rPr>
          <w:rStyle w:val="14"/>
          <w:rFonts w:ascii="仿宋" w:hAnsi="仿宋" w:eastAsia="仿宋"/>
          <w:bCs/>
          <w:sz w:val="32"/>
          <w:szCs w:val="32"/>
        </w:rPr>
        <w:t>.</w:t>
      </w:r>
      <w:r>
        <w:rPr>
          <w:rStyle w:val="14"/>
          <w:rFonts w:hint="eastAsia" w:ascii="仿宋" w:hAnsi="仿宋" w:eastAsia="仿宋"/>
          <w:bCs/>
          <w:sz w:val="32"/>
          <w:szCs w:val="32"/>
        </w:rPr>
        <w:t>社会保障和就业（类）人力资源和社会保障管理事务（款）事业运行（项）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支出决算为284.59万元，完成预算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Style w:val="14"/>
          <w:rFonts w:hint="eastAsia" w:eastAsia="仿宋"/>
          <w:b w:val="0"/>
          <w:bCs/>
          <w:sz w:val="32"/>
          <w:szCs w:val="32"/>
        </w:rPr>
        <w:t>决算数与预算数持平</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lang w:val="en-US" w:eastAsia="zh-CN"/>
        </w:rPr>
        <w:t>2</w:t>
      </w:r>
      <w:r>
        <w:rPr>
          <w:rStyle w:val="14"/>
          <w:rFonts w:ascii="仿宋" w:hAnsi="仿宋" w:eastAsia="仿宋"/>
          <w:bCs/>
          <w:sz w:val="32"/>
          <w:szCs w:val="32"/>
        </w:rPr>
        <w:t>.</w:t>
      </w:r>
      <w:r>
        <w:rPr>
          <w:rStyle w:val="14"/>
          <w:rFonts w:hint="eastAsia" w:ascii="仿宋" w:hAnsi="仿宋" w:eastAsia="仿宋"/>
          <w:bCs/>
          <w:sz w:val="32"/>
          <w:szCs w:val="32"/>
        </w:rPr>
        <w:t>社会保障和就业（类）人力资源和社会保障管理事务（款）其他人力资源和社会保障管理事务支出（项）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支出决算为49.44万元，完成预算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Style w:val="14"/>
          <w:rFonts w:hint="eastAsia" w:eastAsia="仿宋"/>
          <w:b w:val="0"/>
          <w:bCs/>
          <w:sz w:val="32"/>
          <w:szCs w:val="32"/>
        </w:rPr>
        <w:t>决算数与预算数持平</w:t>
      </w:r>
      <w:r>
        <w:rPr>
          <w:rStyle w:val="14"/>
          <w:rFonts w:hint="eastAsia" w:ascii="仿宋" w:hAnsi="仿宋" w:eastAsia="仿宋"/>
          <w:b w:val="0"/>
          <w:bCs/>
          <w:sz w:val="32"/>
          <w:szCs w:val="32"/>
        </w:rPr>
        <w:t>。</w:t>
      </w:r>
    </w:p>
    <w:p>
      <w:pPr>
        <w:pStyle w:val="2"/>
        <w:ind w:firstLine="643" w:firstLineChars="200"/>
        <w:rPr>
          <w:rStyle w:val="14"/>
          <w:rFonts w:hint="eastAsia" w:ascii="仿宋" w:hAnsi="仿宋" w:eastAsia="仿宋"/>
          <w:b w:val="0"/>
          <w:bCs/>
          <w:sz w:val="32"/>
          <w:szCs w:val="32"/>
        </w:rPr>
      </w:pPr>
      <w:r>
        <w:rPr>
          <w:rStyle w:val="14"/>
          <w:rFonts w:hint="eastAsia" w:ascii="仿宋" w:hAnsi="仿宋" w:eastAsia="仿宋"/>
          <w:bCs/>
          <w:sz w:val="32"/>
          <w:szCs w:val="32"/>
          <w:lang w:val="en-US" w:eastAsia="zh-CN"/>
        </w:rPr>
        <w:t>3</w:t>
      </w:r>
      <w:r>
        <w:rPr>
          <w:rStyle w:val="14"/>
          <w:rFonts w:ascii="仿宋" w:hAnsi="仿宋" w:eastAsia="仿宋"/>
          <w:bCs/>
          <w:sz w:val="32"/>
          <w:szCs w:val="32"/>
        </w:rPr>
        <w:t>.</w:t>
      </w:r>
      <w:r>
        <w:rPr>
          <w:rStyle w:val="14"/>
          <w:rFonts w:hint="eastAsia" w:ascii="仿宋" w:hAnsi="仿宋" w:eastAsia="仿宋"/>
          <w:bCs/>
          <w:sz w:val="32"/>
          <w:szCs w:val="32"/>
        </w:rPr>
        <w:t>社会保障和就业（类）行政事业单位养老支出（款） 事业单位离退休（项）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支出决算为17.73万元，完成预算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Style w:val="14"/>
          <w:rFonts w:hint="eastAsia" w:eastAsia="仿宋"/>
          <w:b w:val="0"/>
          <w:bCs/>
          <w:sz w:val="32"/>
          <w:szCs w:val="32"/>
        </w:rPr>
        <w:t>决算数与预算数持平</w:t>
      </w:r>
      <w:r>
        <w:rPr>
          <w:rStyle w:val="14"/>
          <w:rFonts w:hint="eastAsia" w:ascii="仿宋" w:hAnsi="仿宋" w:eastAsia="仿宋"/>
          <w:b w:val="0"/>
          <w:bCs/>
          <w:sz w:val="32"/>
          <w:szCs w:val="32"/>
        </w:rPr>
        <w:t>。</w:t>
      </w:r>
    </w:p>
    <w:p>
      <w:pPr>
        <w:pStyle w:val="2"/>
        <w:ind w:firstLine="643" w:firstLineChars="200"/>
        <w:rPr>
          <w:rStyle w:val="14"/>
          <w:rFonts w:hint="eastAsia" w:ascii="仿宋" w:hAnsi="仿宋" w:eastAsia="仿宋"/>
          <w:b w:val="0"/>
          <w:bCs/>
          <w:sz w:val="32"/>
          <w:szCs w:val="32"/>
        </w:rPr>
      </w:pPr>
      <w:r>
        <w:rPr>
          <w:rStyle w:val="14"/>
          <w:rFonts w:hint="eastAsia" w:ascii="仿宋" w:hAnsi="仿宋" w:eastAsia="仿宋"/>
          <w:bCs/>
          <w:sz w:val="32"/>
          <w:szCs w:val="32"/>
          <w:lang w:val="en-US" w:eastAsia="zh-CN"/>
        </w:rPr>
        <w:t>4</w:t>
      </w:r>
      <w:r>
        <w:rPr>
          <w:rStyle w:val="14"/>
          <w:rFonts w:ascii="仿宋" w:hAnsi="仿宋" w:eastAsia="仿宋"/>
          <w:bCs/>
          <w:sz w:val="32"/>
          <w:szCs w:val="32"/>
        </w:rPr>
        <w:t>.</w:t>
      </w:r>
      <w:r>
        <w:rPr>
          <w:rStyle w:val="14"/>
          <w:rFonts w:hint="eastAsia" w:ascii="仿宋" w:hAnsi="仿宋" w:eastAsia="仿宋"/>
          <w:bCs/>
          <w:sz w:val="32"/>
          <w:szCs w:val="32"/>
        </w:rPr>
        <w:t>社会保障和就业（类）行政事业单位养老支出（款） 机关事业单位基本养老保险缴费支出（项）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支出决算为23.33万元，完成预算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Style w:val="14"/>
          <w:rFonts w:hint="eastAsia" w:eastAsia="仿宋"/>
          <w:b w:val="0"/>
          <w:bCs/>
          <w:sz w:val="32"/>
          <w:szCs w:val="32"/>
        </w:rPr>
        <w:t>决算数与预算数持平</w:t>
      </w:r>
      <w:r>
        <w:rPr>
          <w:rStyle w:val="14"/>
          <w:rFonts w:hint="eastAsia" w:ascii="仿宋" w:hAnsi="仿宋" w:eastAsia="仿宋"/>
          <w:b w:val="0"/>
          <w:bCs/>
          <w:sz w:val="32"/>
          <w:szCs w:val="32"/>
        </w:rPr>
        <w:t>。</w:t>
      </w:r>
    </w:p>
    <w:p>
      <w:pPr>
        <w:pStyle w:val="2"/>
        <w:ind w:firstLine="643" w:firstLineChars="200"/>
        <w:rPr>
          <w:rStyle w:val="14"/>
          <w:rFonts w:hint="eastAsia" w:ascii="仿宋" w:hAnsi="仿宋" w:eastAsia="仿宋"/>
          <w:b w:val="0"/>
          <w:bCs/>
          <w:sz w:val="32"/>
          <w:szCs w:val="32"/>
        </w:rPr>
      </w:pPr>
      <w:r>
        <w:rPr>
          <w:rStyle w:val="14"/>
          <w:rFonts w:ascii="仿宋" w:hAnsi="仿宋" w:eastAsia="仿宋"/>
          <w:bCs/>
          <w:sz w:val="32"/>
          <w:szCs w:val="32"/>
        </w:rPr>
        <w:t>5.</w:t>
      </w:r>
      <w:r>
        <w:rPr>
          <w:rStyle w:val="14"/>
          <w:rFonts w:hint="eastAsia" w:ascii="仿宋" w:hAnsi="仿宋" w:eastAsia="仿宋"/>
          <w:bCs/>
          <w:sz w:val="32"/>
          <w:szCs w:val="32"/>
        </w:rPr>
        <w:t>社会保障和就业（类）就业补助（款）其他就业补助支出（项）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支出决算为30.92万元，完成预算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Style w:val="14"/>
          <w:rFonts w:hint="eastAsia" w:eastAsia="仿宋"/>
          <w:b w:val="0"/>
          <w:bCs/>
          <w:sz w:val="32"/>
          <w:szCs w:val="32"/>
        </w:rPr>
        <w:t>决算数与预算数持平</w:t>
      </w:r>
      <w:r>
        <w:rPr>
          <w:rStyle w:val="14"/>
          <w:rFonts w:hint="eastAsia" w:ascii="仿宋" w:hAnsi="仿宋" w:eastAsia="仿宋"/>
          <w:b w:val="0"/>
          <w:bCs/>
          <w:sz w:val="32"/>
          <w:szCs w:val="32"/>
        </w:rPr>
        <w:t>。</w:t>
      </w:r>
    </w:p>
    <w:p>
      <w:pPr>
        <w:pStyle w:val="2"/>
        <w:ind w:firstLine="643" w:firstLineChars="200"/>
        <w:rPr>
          <w:rFonts w:ascii="仿宋" w:hAnsi="仿宋" w:eastAsia="仿宋"/>
          <w:b/>
          <w:sz w:val="32"/>
          <w:szCs w:val="32"/>
        </w:rPr>
      </w:pPr>
      <w:r>
        <w:rPr>
          <w:rStyle w:val="14"/>
          <w:rFonts w:ascii="仿宋" w:hAnsi="仿宋" w:eastAsia="仿宋"/>
          <w:bCs/>
          <w:sz w:val="32"/>
          <w:szCs w:val="32"/>
        </w:rPr>
        <w:t>6.</w:t>
      </w:r>
      <w:r>
        <w:rPr>
          <w:rFonts w:hint="eastAsia" w:ascii="仿宋" w:hAnsi="仿宋" w:eastAsia="仿宋"/>
          <w:b/>
          <w:bCs/>
          <w:sz w:val="32"/>
          <w:szCs w:val="32"/>
        </w:rPr>
        <w:t>住房保障支出</w:t>
      </w:r>
      <w:r>
        <w:rPr>
          <w:rStyle w:val="14"/>
          <w:rFonts w:hint="eastAsia" w:ascii="仿宋" w:hAnsi="仿宋" w:eastAsia="仿宋"/>
          <w:bCs/>
          <w:sz w:val="32"/>
          <w:szCs w:val="32"/>
        </w:rPr>
        <w:t>（类）住房改革支出（款）住房公积金（项）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29.92</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Style w:val="14"/>
          <w:rFonts w:hint="eastAsia" w:eastAsia="仿宋"/>
          <w:b w:val="0"/>
          <w:bCs/>
          <w:sz w:val="32"/>
          <w:szCs w:val="32"/>
        </w:rPr>
        <w:t>决算数与预算数持平</w:t>
      </w:r>
      <w:r>
        <w:rPr>
          <w:rStyle w:val="14"/>
          <w:rFonts w:hint="eastAsia" w:ascii="仿宋" w:hAnsi="仿宋" w:eastAsia="仿宋"/>
          <w:b w:val="0"/>
          <w:bCs/>
          <w:sz w:val="32"/>
          <w:szCs w:val="32"/>
        </w:rPr>
        <w:t>。</w:t>
      </w:r>
    </w:p>
    <w:p>
      <w:pPr>
        <w:tabs>
          <w:tab w:val="right" w:pos="8306"/>
        </w:tabs>
        <w:spacing w:line="600" w:lineRule="exact"/>
        <w:ind w:firstLine="640"/>
        <w:outlineLvl w:val="1"/>
        <w:rPr>
          <w:rStyle w:val="25"/>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34"/>
      <w:bookmarkEnd w:id="35"/>
      <w:r>
        <w:rPr>
          <w:rStyle w:val="25"/>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w:t>
      </w:r>
      <w:r>
        <w:rPr>
          <w:rFonts w:hint="eastAsia" w:ascii="仿宋" w:hAnsi="仿宋" w:eastAsia="仿宋"/>
          <w:sz w:val="32"/>
          <w:szCs w:val="32"/>
          <w:lang w:val="en-US" w:eastAsia="zh-CN"/>
        </w:rPr>
        <w:t>355.57</w:t>
      </w:r>
      <w:r>
        <w:rPr>
          <w:rFonts w:hint="eastAsia" w:ascii="仿宋" w:hAnsi="仿宋" w:eastAsia="仿宋"/>
          <w:sz w:val="32"/>
          <w:szCs w:val="32"/>
        </w:rPr>
        <w:t>万元，其中：</w:t>
      </w:r>
    </w:p>
    <w:p>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rFonts w:hint="eastAsia" w:ascii="仿宋" w:hAnsi="仿宋" w:eastAsia="仿宋"/>
          <w:sz w:val="32"/>
          <w:szCs w:val="32"/>
          <w:lang w:val="en-US" w:eastAsia="zh-CN"/>
        </w:rPr>
        <w:t>326.67</w:t>
      </w:r>
      <w:r>
        <w:rPr>
          <w:rFonts w:hint="eastAsia" w:ascii="仿宋" w:hAnsi="仿宋" w:eastAsia="仿宋"/>
          <w:sz w:val="32"/>
          <w:szCs w:val="32"/>
        </w:rPr>
        <w:t>万元，主要包括：基本工资、津贴补贴、绩效工资、机关事业单位基本养老保险缴费、职工基本医疗保险缴费、公务员医疗补助缴费</w:t>
      </w:r>
      <w:r>
        <w:rPr>
          <w:rFonts w:hint="eastAsia" w:ascii="仿宋" w:hAnsi="仿宋" w:eastAsia="仿宋"/>
          <w:sz w:val="32"/>
          <w:szCs w:val="32"/>
          <w:lang w:eastAsia="zh-CN"/>
        </w:rPr>
        <w:t>、</w:t>
      </w:r>
      <w:r>
        <w:rPr>
          <w:rFonts w:hint="eastAsia" w:ascii="仿宋" w:hAnsi="仿宋" w:eastAsia="仿宋"/>
          <w:sz w:val="32"/>
          <w:szCs w:val="32"/>
        </w:rPr>
        <w:t>其他社会保障缴费、其他工资福利支出、生活补助、住房公积金、其他对个人和家庭的补助支出等。</w:t>
      </w:r>
    </w:p>
    <w:p>
      <w:pPr>
        <w:spacing w:line="600" w:lineRule="exact"/>
        <w:ind w:firstLine="645"/>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28.9</w:t>
      </w:r>
      <w:r>
        <w:rPr>
          <w:rFonts w:hint="eastAsia" w:ascii="仿宋" w:hAnsi="仿宋" w:eastAsia="仿宋"/>
          <w:sz w:val="32"/>
          <w:szCs w:val="32"/>
        </w:rPr>
        <w:t>万元，主要包括：办公费、水费、电费、邮电费、差旅费、维修（护）费、培训费、公务接待费、劳务费、委托业务费、工会经费、其他交通费、其他商品和服务支出等。</w:t>
      </w:r>
    </w:p>
    <w:p>
      <w:pPr>
        <w:spacing w:line="600" w:lineRule="exact"/>
        <w:ind w:firstLine="640"/>
        <w:outlineLvl w:val="1"/>
        <w:rPr>
          <w:rStyle w:val="25"/>
          <w:rFonts w:ascii="黑体" w:hAnsi="黑体" w:eastAsia="黑体"/>
          <w:b w:val="0"/>
        </w:rPr>
      </w:pPr>
      <w:bookmarkStart w:id="36" w:name="_Toc15377215"/>
      <w:bookmarkStart w:id="37" w:name="_Toc15396609"/>
      <w:r>
        <w:rPr>
          <w:rFonts w:hint="eastAsia" w:ascii="黑体" w:eastAsia="黑体"/>
          <w:sz w:val="32"/>
          <w:szCs w:val="32"/>
        </w:rPr>
        <w:t>七、</w:t>
      </w:r>
      <w:r>
        <w:rPr>
          <w:rStyle w:val="25"/>
          <w:rFonts w:hint="eastAsia" w:ascii="黑体" w:hAnsi="黑体" w:eastAsia="黑体"/>
          <w:b w:val="0"/>
        </w:rPr>
        <w:t>财政拨款</w:t>
      </w:r>
      <w:r>
        <w:rPr>
          <w:rStyle w:val="25"/>
          <w:rFonts w:hint="eastAsia" w:ascii="黑体" w:hAnsi="黑体" w:eastAsia="黑体"/>
        </w:rPr>
        <w:t>“</w:t>
      </w:r>
      <w:r>
        <w:rPr>
          <w:rStyle w:val="25"/>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w:t>
      </w:r>
      <w:r>
        <w:rPr>
          <w:rFonts w:hint="eastAsia" w:ascii="仿宋" w:hAnsi="仿宋" w:eastAsia="仿宋"/>
          <w:sz w:val="32"/>
          <w:szCs w:val="32"/>
          <w:lang w:val="en-US" w:eastAsia="zh-CN"/>
        </w:rPr>
        <w:t>0.32</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，较上年增加</w:t>
      </w:r>
      <w:r>
        <w:rPr>
          <w:rFonts w:hint="eastAsia" w:ascii="仿宋" w:hAnsi="仿宋" w:eastAsia="仿宋"/>
          <w:sz w:val="32"/>
          <w:szCs w:val="32"/>
          <w:lang w:val="en-US" w:eastAsia="zh-CN"/>
        </w:rPr>
        <w:t>0.07</w:t>
      </w:r>
      <w:r>
        <w:rPr>
          <w:rFonts w:hint="eastAsia" w:ascii="仿宋" w:hAnsi="仿宋" w:eastAsia="仿宋"/>
          <w:sz w:val="32"/>
          <w:szCs w:val="32"/>
        </w:rPr>
        <w:t>万元，增长</w:t>
      </w:r>
      <w:r>
        <w:rPr>
          <w:rFonts w:hint="eastAsia" w:ascii="仿宋" w:hAnsi="仿宋" w:eastAsia="仿宋"/>
          <w:sz w:val="32"/>
          <w:szCs w:val="32"/>
          <w:lang w:val="en-US" w:eastAsia="zh-CN"/>
        </w:rPr>
        <w:t>28</w:t>
      </w:r>
      <w:r>
        <w:rPr>
          <w:rFonts w:hint="eastAsia" w:ascii="仿宋" w:hAnsi="仿宋" w:eastAsia="仿宋"/>
          <w:sz w:val="32"/>
          <w:szCs w:val="32"/>
        </w:rPr>
        <w:t>%。决算数</w:t>
      </w:r>
      <w:r>
        <w:rPr>
          <w:rFonts w:hint="eastAsia" w:ascii="仿宋" w:hAnsi="仿宋" w:eastAsia="仿宋"/>
          <w:sz w:val="32"/>
          <w:szCs w:val="32"/>
          <w:lang w:eastAsia="zh-CN"/>
        </w:rPr>
        <w:t>与</w:t>
      </w:r>
      <w:r>
        <w:rPr>
          <w:rFonts w:hint="eastAsia" w:ascii="仿宋" w:hAnsi="仿宋" w:eastAsia="仿宋"/>
          <w:sz w:val="32"/>
          <w:szCs w:val="32"/>
        </w:rPr>
        <w:t>预算数持平。</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hint="eastAsia"/>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0.32</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。具体情况如下：</w:t>
      </w:r>
    </w:p>
    <w:p>
      <w:pPr>
        <w:pStyle w:val="2"/>
      </w:pPr>
      <w:r>
        <w:rPr>
          <w:rFonts w:hint="eastAsia"/>
          <w:lang w:val="en-US" w:eastAsia="zh-CN"/>
        </w:rPr>
        <w:t xml:space="preserve">  </w:t>
      </w:r>
      <w:r>
        <w:drawing>
          <wp:inline distT="0" distB="0" distL="114300" distR="114300">
            <wp:extent cx="4572000" cy="2743200"/>
            <wp:effectExtent l="4445" t="4445" r="14605" b="14605"/>
            <wp:docPr id="1331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w:t>
      </w:r>
      <w:r>
        <w:rPr>
          <w:rFonts w:hint="eastAsia" w:ascii="仿宋" w:hAnsi="仿宋" w:eastAsia="仿宋"/>
          <w:sz w:val="32"/>
          <w:szCs w:val="32"/>
          <w:lang w:eastAsia="zh-CN"/>
        </w:rPr>
        <w:t>单位：万元</w:t>
      </w:r>
      <w:r>
        <w:rPr>
          <w:rFonts w:hint="eastAsia" w:ascii="仿宋" w:hAnsi="仿宋" w:eastAsia="仿宋"/>
          <w:sz w:val="32"/>
          <w:szCs w:val="32"/>
        </w:rPr>
        <w:t>）</w:t>
      </w:r>
    </w:p>
    <w:p>
      <w:pPr>
        <w:spacing w:line="600" w:lineRule="exact"/>
        <w:ind w:firstLine="640"/>
        <w:rPr>
          <w:rFonts w:ascii="仿宋" w:hAnsi="仿宋" w:eastAsia="仿宋"/>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hint="eastAsia" w:ascii="仿宋" w:hAnsi="仿宋" w:eastAsia="仿宋"/>
          <w:b w:val="0"/>
          <w:bCs/>
          <w:sz w:val="32"/>
          <w:szCs w:val="32"/>
          <w:lang w:val="en-US" w:eastAsia="zh-CN"/>
        </w:rPr>
        <w:t>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w:t>
      </w:r>
      <w:r>
        <w:rPr>
          <w:rFonts w:ascii="仿宋" w:hAnsi="仿宋" w:eastAsia="仿宋"/>
          <w:sz w:val="32"/>
          <w:szCs w:val="32"/>
        </w:rPr>
        <w:t>因公出国（境）支出决算与202</w:t>
      </w:r>
      <w:r>
        <w:rPr>
          <w:rFonts w:hint="eastAsia" w:ascii="仿宋" w:hAnsi="仿宋" w:eastAsia="仿宋"/>
          <w:sz w:val="32"/>
          <w:szCs w:val="32"/>
          <w:lang w:val="en-US" w:eastAsia="zh-CN"/>
        </w:rPr>
        <w:t>1</w:t>
      </w:r>
      <w:r>
        <w:rPr>
          <w:rFonts w:ascii="仿宋" w:hAnsi="仿宋" w:eastAsia="仿宋"/>
          <w:sz w:val="32"/>
          <w:szCs w:val="32"/>
        </w:rPr>
        <w:t>年持平。主要原因是2022没有安排因公出国（境）经费预算。</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b/>
          <w:sz w:val="32"/>
          <w:szCs w:val="32"/>
          <w:lang w:val="en-US" w:eastAsia="zh-CN"/>
        </w:rPr>
        <w:t>0</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hint="eastAsia" w:ascii="仿宋" w:hAnsi="仿宋" w:eastAsia="仿宋"/>
          <w:b w:val="0"/>
          <w:bCs/>
          <w:sz w:val="32"/>
          <w:szCs w:val="32"/>
          <w:lang w:val="en-US" w:eastAsia="zh-CN"/>
        </w:rPr>
        <w:t>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ascii="仿宋" w:hAnsi="仿宋" w:eastAsia="仿宋"/>
          <w:sz w:val="32"/>
          <w:szCs w:val="32"/>
        </w:rPr>
        <w:t>公务用车购置及运行维护费支出决算与202</w:t>
      </w:r>
      <w:r>
        <w:rPr>
          <w:rFonts w:hint="eastAsia" w:ascii="仿宋" w:hAnsi="仿宋" w:eastAsia="仿宋"/>
          <w:sz w:val="32"/>
          <w:szCs w:val="32"/>
          <w:lang w:val="en-US" w:eastAsia="zh-CN"/>
        </w:rPr>
        <w:t>1</w:t>
      </w:r>
      <w:r>
        <w:rPr>
          <w:rFonts w:ascii="仿宋" w:hAnsi="仿宋" w:eastAsia="仿宋"/>
          <w:sz w:val="32"/>
          <w:szCs w:val="32"/>
        </w:rPr>
        <w:t>年持平。主要原因是是2022没有安排公务用车购置及运行维护费预算。</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b/>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b/>
          <w:sz w:val="32"/>
          <w:szCs w:val="32"/>
          <w:lang w:val="en-US" w:eastAsia="zh-CN"/>
        </w:rPr>
        <w:t>0.32</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hint="eastAsia" w:ascii="仿宋" w:hAnsi="仿宋" w:eastAsia="仿宋"/>
          <w:b w:val="0"/>
          <w:bCs/>
          <w:sz w:val="32"/>
          <w:szCs w:val="32"/>
          <w:lang w:val="en-US" w:eastAsia="zh-CN"/>
        </w:rPr>
        <w:t>100%</w:t>
      </w:r>
      <w:r>
        <w:rPr>
          <w:rStyle w:val="14"/>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21年增加</w:t>
      </w:r>
      <w:r>
        <w:rPr>
          <w:rFonts w:hint="eastAsia" w:ascii="仿宋_GB2312" w:eastAsia="仿宋_GB2312"/>
          <w:sz w:val="32"/>
          <w:szCs w:val="32"/>
          <w:lang w:val="en-US" w:eastAsia="zh-CN"/>
        </w:rPr>
        <w:t>0.07</w:t>
      </w:r>
      <w:r>
        <w:rPr>
          <w:rFonts w:hint="eastAsia" w:ascii="仿宋_GB2312" w:eastAsia="仿宋_GB2312"/>
          <w:sz w:val="32"/>
          <w:szCs w:val="32"/>
        </w:rPr>
        <w:t>万元，增长</w:t>
      </w:r>
      <w:r>
        <w:rPr>
          <w:rFonts w:hint="eastAsia" w:ascii="仿宋_GB2312" w:eastAsia="仿宋_GB2312"/>
          <w:sz w:val="32"/>
          <w:szCs w:val="32"/>
          <w:lang w:val="en-US" w:eastAsia="zh-CN"/>
        </w:rPr>
        <w:t>28</w:t>
      </w:r>
      <w:r>
        <w:rPr>
          <w:rFonts w:ascii="仿宋_GB2312" w:eastAsia="仿宋_GB2312"/>
          <w:sz w:val="32"/>
          <w:szCs w:val="32"/>
        </w:rPr>
        <w:t>%</w:t>
      </w:r>
      <w:r>
        <w:rPr>
          <w:rFonts w:hint="eastAsia" w:ascii="仿宋_GB2312" w:eastAsia="仿宋_GB2312"/>
          <w:sz w:val="32"/>
          <w:szCs w:val="32"/>
        </w:rPr>
        <w:t>。</w:t>
      </w:r>
      <w:r>
        <w:rPr>
          <w:rFonts w:ascii="仿宋" w:hAnsi="仿宋" w:eastAsia="仿宋"/>
          <w:sz w:val="32"/>
          <w:szCs w:val="32"/>
        </w:rPr>
        <w:t>主要原因是</w:t>
      </w:r>
      <w:r>
        <w:rPr>
          <w:rFonts w:hint="eastAsia" w:ascii="仿宋" w:hAnsi="仿宋" w:eastAsia="仿宋"/>
          <w:sz w:val="32"/>
          <w:szCs w:val="32"/>
          <w:lang w:val="en-US" w:eastAsia="zh-CN"/>
        </w:rPr>
        <w:t>2022年</w:t>
      </w:r>
      <w:r>
        <w:rPr>
          <w:rFonts w:ascii="仿宋" w:hAnsi="仿宋" w:eastAsia="仿宋"/>
          <w:sz w:val="32"/>
          <w:szCs w:val="32"/>
        </w:rPr>
        <w:t>公务接待</w:t>
      </w:r>
      <w:r>
        <w:rPr>
          <w:rFonts w:hint="eastAsia" w:ascii="仿宋" w:hAnsi="仿宋" w:eastAsia="仿宋"/>
          <w:sz w:val="32"/>
          <w:szCs w:val="32"/>
          <w:lang w:eastAsia="zh-CN"/>
        </w:rPr>
        <w:t>量增多</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b/>
          <w:sz w:val="32"/>
          <w:szCs w:val="32"/>
          <w:lang w:val="en-US" w:eastAsia="zh-CN"/>
        </w:rPr>
        <w:t>0.32</w:t>
      </w:r>
      <w:r>
        <w:rPr>
          <w:rFonts w:hint="eastAsia" w:ascii="仿宋_GB2312" w:eastAsia="仿宋_GB2312"/>
          <w:sz w:val="32"/>
          <w:szCs w:val="32"/>
        </w:rPr>
        <w:t>万元，主要用于接待来攀考察团队用餐费。国内公务接待</w:t>
      </w:r>
      <w:r>
        <w:rPr>
          <w:rFonts w:hint="eastAsia" w:ascii="仿宋_GB2312" w:eastAsia="仿宋_GB2312"/>
          <w:sz w:val="32"/>
          <w:szCs w:val="32"/>
          <w:lang w:val="en-US" w:eastAsia="zh-CN"/>
        </w:rPr>
        <w:t>3</w:t>
      </w:r>
      <w:r>
        <w:rPr>
          <w:rFonts w:hint="eastAsia" w:ascii="仿宋_GB2312" w:eastAsia="仿宋_GB2312"/>
          <w:sz w:val="32"/>
          <w:szCs w:val="32"/>
        </w:rPr>
        <w:t>批次，</w:t>
      </w:r>
      <w:r>
        <w:rPr>
          <w:rFonts w:hint="eastAsia" w:ascii="仿宋_GB2312" w:eastAsia="仿宋_GB2312"/>
          <w:sz w:val="32"/>
          <w:szCs w:val="32"/>
          <w:lang w:val="en-US" w:eastAsia="zh-CN"/>
        </w:rPr>
        <w:t>14</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0.32</w:t>
      </w:r>
      <w:r>
        <w:rPr>
          <w:rFonts w:hint="eastAsia" w:ascii="仿宋_GB2312" w:eastAsia="仿宋_GB2312"/>
          <w:sz w:val="32"/>
          <w:szCs w:val="32"/>
        </w:rPr>
        <w:t>万元，具体内容包括：</w:t>
      </w:r>
      <w:r>
        <w:rPr>
          <w:rFonts w:hint="eastAsia" w:ascii="仿宋_GB2312" w:eastAsia="仿宋_GB2312"/>
          <w:sz w:val="32"/>
          <w:szCs w:val="32"/>
          <w:lang w:val="en-US" w:eastAsia="zh-CN"/>
        </w:rPr>
        <w:t>2022年1月20日支付会理县人力资源和社会保障局来攀调研人力资源相关工作餐费1595元，2022年6月30日支付四川省人才交流中心主任来攀考察调研餐费843元，2022年10月25日支付四川省人社厅党组巡察组延伸巡察餐费762元</w:t>
      </w:r>
      <w:r>
        <w:rPr>
          <w:rFonts w:hint="eastAsia" w:ascii="仿宋_GB2312" w:eastAsia="仿宋_GB2312"/>
          <w:sz w:val="32"/>
          <w:szCs w:val="32"/>
        </w:rPr>
        <w:t>。</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b/>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bookmarkStart w:id="40" w:name="_Toc15396610"/>
      <w:bookmarkStart w:id="41" w:name="_Toc15377218"/>
    </w:p>
    <w:p>
      <w:pPr>
        <w:spacing w:line="600" w:lineRule="exact"/>
        <w:ind w:firstLine="640"/>
        <w:outlineLvl w:val="1"/>
        <w:rPr>
          <w:rStyle w:val="25"/>
          <w:rFonts w:ascii="黑体" w:hAnsi="黑体" w:eastAsia="黑体"/>
        </w:rPr>
      </w:pPr>
      <w:r>
        <w:rPr>
          <w:rFonts w:hint="eastAsia" w:ascii="黑体" w:eastAsia="黑体"/>
          <w:sz w:val="32"/>
          <w:szCs w:val="32"/>
        </w:rPr>
        <w:t>八、</w:t>
      </w:r>
      <w:r>
        <w:rPr>
          <w:rStyle w:val="25"/>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2"/>
        </w:numPr>
        <w:spacing w:line="600" w:lineRule="exact"/>
        <w:ind w:firstLine="640"/>
        <w:outlineLvl w:val="1"/>
        <w:rPr>
          <w:rStyle w:val="25"/>
          <w:rFonts w:ascii="黑体" w:hAnsi="黑体" w:eastAsia="黑体"/>
          <w:b w:val="0"/>
        </w:rPr>
      </w:pPr>
      <w:bookmarkStart w:id="42" w:name="_Toc15377219"/>
      <w:bookmarkStart w:id="43" w:name="_Toc15396611"/>
      <w:r>
        <w:rPr>
          <w:rStyle w:val="25"/>
          <w:rFonts w:hint="eastAsia" w:ascii="黑体" w:hAnsi="黑体" w:eastAsia="黑体"/>
          <w:b w:val="0"/>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22年国有资本经营预算财政拨款支出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2"/>
        </w:numPr>
        <w:spacing w:line="600" w:lineRule="exact"/>
        <w:ind w:firstLine="640"/>
        <w:outlineLvl w:val="1"/>
        <w:rPr>
          <w:rStyle w:val="25"/>
          <w:rFonts w:ascii="黑体" w:hAnsi="黑体" w:eastAsia="黑体"/>
          <w:b w:val="0"/>
        </w:rPr>
      </w:pPr>
      <w:bookmarkStart w:id="44" w:name="_Toc15396612"/>
      <w:bookmarkStart w:id="45" w:name="_Toc15377221"/>
      <w:r>
        <w:rPr>
          <w:rStyle w:val="25"/>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 w:hAnsi="仿宋" w:eastAsia="仿宋"/>
          <w:sz w:val="32"/>
          <w:szCs w:val="32"/>
        </w:rPr>
      </w:pPr>
      <w:r>
        <w:rPr>
          <w:rFonts w:ascii="仿宋" w:hAnsi="仿宋" w:eastAsia="仿宋"/>
          <w:sz w:val="32"/>
          <w:szCs w:val="32"/>
        </w:rPr>
        <w:t>攀枝花市人才服务中心为事业单位，无机关运行经费。</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ascii="仿宋" w:hAnsi="仿宋" w:eastAsia="仿宋"/>
          <w:sz w:val="32"/>
          <w:szCs w:val="32"/>
        </w:rPr>
        <w:t>攀枝花市人才服务中心</w:t>
      </w:r>
      <w:r>
        <w:rPr>
          <w:rFonts w:hint="eastAsia" w:ascii="仿宋_GB2312" w:eastAsia="仿宋_GB2312"/>
          <w:sz w:val="32"/>
          <w:szCs w:val="32"/>
        </w:rPr>
        <w:t>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 w:hAnsi="仿宋" w:eastAsia="仿宋"/>
          <w:sz w:val="32"/>
          <w:szCs w:val="32"/>
        </w:rPr>
        <w:t>攀枝花市人才服务中心</w:t>
      </w:r>
      <w:r>
        <w:rPr>
          <w:rFonts w:hint="eastAsia" w:ascii="仿宋_GB2312" w:eastAsia="仿宋_GB2312"/>
          <w:sz w:val="32"/>
          <w:szCs w:val="32"/>
        </w:rPr>
        <w:t>共有车辆</w:t>
      </w:r>
      <w:r>
        <w:rPr>
          <w:rFonts w:hint="eastAsia" w:ascii="仿宋_GB2312" w:eastAsia="仿宋_GB2312"/>
          <w:sz w:val="32"/>
          <w:szCs w:val="32"/>
          <w:lang w:val="en-US" w:eastAsia="zh-CN"/>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pStyle w:val="2"/>
        <w:spacing w:before="93"/>
        <w:ind w:firstLine="640" w:firstLineChars="200"/>
        <w:rPr>
          <w:highlight w:val="none"/>
        </w:rPr>
      </w:pPr>
      <w:r>
        <w:rPr>
          <w:rFonts w:hint="eastAsia" w:hAnsi="仿宋_GB2312" w:cs="仿宋_GB2312"/>
          <w:sz w:val="32"/>
          <w:szCs w:val="32"/>
          <w:highlight w:val="none"/>
        </w:rPr>
        <w:t>根据预算绩效管理要求，本单位在2022年度预算编制阶段，组织对</w:t>
      </w:r>
      <w:r>
        <w:rPr>
          <w:rFonts w:hint="eastAsia" w:hAnsi="仿宋_GB2312" w:cs="仿宋_GB2312"/>
          <w:sz w:val="32"/>
          <w:szCs w:val="32"/>
          <w:highlight w:val="none"/>
          <w:lang w:val="en-US" w:eastAsia="zh-CN"/>
        </w:rPr>
        <w:t>0</w:t>
      </w:r>
      <w:r>
        <w:rPr>
          <w:rFonts w:hint="eastAsia" w:hAnsi="仿宋_GB2312" w:cs="仿宋_GB2312"/>
          <w:sz w:val="32"/>
          <w:szCs w:val="32"/>
          <w:highlight w:val="none"/>
        </w:rPr>
        <w:t>个项目开展了预算事前绩效评估，对</w:t>
      </w:r>
      <w:r>
        <w:rPr>
          <w:rFonts w:hint="eastAsia" w:hAnsi="仿宋_GB2312" w:cs="仿宋_GB2312"/>
          <w:sz w:val="32"/>
          <w:szCs w:val="32"/>
          <w:highlight w:val="none"/>
          <w:lang w:val="en-US" w:eastAsia="zh-CN"/>
        </w:rPr>
        <w:t>0</w:t>
      </w:r>
      <w:r>
        <w:rPr>
          <w:rFonts w:hint="eastAsia" w:hAnsi="仿宋_GB2312" w:cs="仿宋_GB2312"/>
          <w:sz w:val="32"/>
          <w:szCs w:val="32"/>
          <w:highlight w:val="none"/>
        </w:rPr>
        <w:t>个项目编制了绩效目标，预算执行过程中，选取</w:t>
      </w:r>
      <w:r>
        <w:rPr>
          <w:rFonts w:hint="eastAsia" w:hAnsi="仿宋_GB2312" w:cs="仿宋_GB2312"/>
          <w:sz w:val="32"/>
          <w:szCs w:val="32"/>
          <w:highlight w:val="none"/>
          <w:lang w:val="en-US" w:eastAsia="zh-CN"/>
        </w:rPr>
        <w:t>5</w:t>
      </w:r>
      <w:r>
        <w:rPr>
          <w:rFonts w:hint="eastAsia" w:hAnsi="仿宋_GB2312" w:cs="仿宋_GB2312"/>
          <w:sz w:val="32"/>
          <w:szCs w:val="32"/>
          <w:highlight w:val="none"/>
        </w:rPr>
        <w:t>个项目开展绩效监控，组织对</w:t>
      </w:r>
      <w:r>
        <w:rPr>
          <w:rFonts w:hint="eastAsia" w:hAnsi="仿宋_GB2312" w:cs="仿宋_GB2312"/>
          <w:sz w:val="32"/>
          <w:szCs w:val="32"/>
          <w:highlight w:val="none"/>
          <w:lang w:val="en-US" w:eastAsia="zh-CN"/>
        </w:rPr>
        <w:t>5</w:t>
      </w:r>
      <w:r>
        <w:rPr>
          <w:rFonts w:hint="eastAsia" w:hAnsi="仿宋_GB2312" w:cs="仿宋_GB2312"/>
          <w:sz w:val="32"/>
          <w:szCs w:val="32"/>
          <w:highlight w:val="none"/>
        </w:rPr>
        <w:t>个项目开展绩效自评，绩效自评表详见第四部分附件。</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4"/>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4"/>
          <w:rFonts w:hint="eastAsia" w:ascii="黑体" w:hAnsi="黑体" w:eastAsia="黑体"/>
          <w:b w:val="0"/>
        </w:rPr>
        <w:t>词解释</w:t>
      </w:r>
      <w:bookmarkEnd w:id="49"/>
      <w:bookmarkEnd w:id="50"/>
    </w:p>
    <w:p>
      <w:pPr>
        <w:spacing w:line="600" w:lineRule="exact"/>
        <w:jc w:val="left"/>
        <w:rPr>
          <w:rFonts w:ascii="宋体"/>
          <w:b/>
          <w:sz w:val="44"/>
          <w:szCs w:val="44"/>
        </w:rPr>
      </w:pP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2"/>
        <w:spacing w:line="560" w:lineRule="exact"/>
        <w:ind w:firstLine="640" w:firstLineChars="200"/>
        <w:rPr>
          <w:rFonts w:ascii="仿宋_GB2312" w:eastAsia="仿宋_GB2312"/>
          <w:color w:val="auto"/>
          <w:sz w:val="32"/>
          <w:szCs w:val="32"/>
        </w:rPr>
      </w:pPr>
      <w:r>
        <w:rPr>
          <w:rFonts w:hAnsi="仿宋" w:cs="Times New Roman"/>
          <w:color w:val="auto"/>
          <w:sz w:val="32"/>
          <w:szCs w:val="32"/>
        </w:rPr>
        <w:t>2.其他收入：指单位取得的除上述收入以外的各项收入。主要是银行存款利息收入。</w:t>
      </w:r>
    </w:p>
    <w:p>
      <w:pPr>
        <w:ind w:firstLine="640" w:firstLineChars="200"/>
        <w:rPr>
          <w:rFonts w:ascii="仿宋" w:hAnsi="仿宋" w:eastAsia="仿宋"/>
          <w:sz w:val="32"/>
          <w:szCs w:val="32"/>
        </w:rPr>
      </w:pPr>
      <w:r>
        <w:rPr>
          <w:rFonts w:hint="eastAsia" w:ascii="仿宋" w:hAnsi="仿宋" w:eastAsia="仿宋"/>
          <w:sz w:val="32"/>
          <w:szCs w:val="32"/>
          <w:lang w:val="en-US" w:eastAsia="zh-CN"/>
        </w:rPr>
        <w:t>3</w:t>
      </w:r>
      <w:r>
        <w:rPr>
          <w:rFonts w:ascii="仿宋" w:hAnsi="仿宋" w:eastAsia="仿宋"/>
          <w:sz w:val="32"/>
          <w:szCs w:val="32"/>
        </w:rPr>
        <w:t>.社会保障和就业（类）人力资源和社会保障管理事务（款）事业运行（项）:指反映事业单位的基本支出，不包括行政单位(包括实行公务员管理的事业单位)后勤服务中心、医务室等附属事业单位 。</w:t>
      </w:r>
    </w:p>
    <w:p>
      <w:pPr>
        <w:ind w:firstLine="640" w:firstLineChars="200"/>
        <w:rPr>
          <w:rFonts w:ascii="仿宋" w:hAnsi="仿宋" w:eastAsia="仿宋"/>
          <w:sz w:val="32"/>
          <w:szCs w:val="32"/>
        </w:rPr>
      </w:pPr>
      <w:r>
        <w:rPr>
          <w:rFonts w:hint="eastAsia" w:ascii="仿宋" w:hAnsi="仿宋" w:eastAsia="仿宋"/>
          <w:sz w:val="32"/>
          <w:szCs w:val="32"/>
          <w:lang w:val="en-US" w:eastAsia="zh-CN"/>
        </w:rPr>
        <w:t>4</w:t>
      </w:r>
      <w:r>
        <w:rPr>
          <w:rFonts w:ascii="仿宋" w:hAnsi="仿宋" w:eastAsia="仿宋"/>
          <w:sz w:val="32"/>
          <w:szCs w:val="32"/>
        </w:rPr>
        <w:t>.社会保障和就业（类）人力资源和社会保障管理事务（款）其他人力资源和社会保障管理事务支出（项）: 指反映除上述项目以外其他</w:t>
      </w:r>
      <w:r>
        <w:rPr>
          <w:rFonts w:hint="eastAsia" w:ascii="仿宋" w:hAnsi="仿宋" w:eastAsia="仿宋"/>
          <w:sz w:val="32"/>
          <w:szCs w:val="32"/>
          <w:lang w:eastAsia="zh-CN"/>
        </w:rPr>
        <w:t>用于</w:t>
      </w:r>
      <w:r>
        <w:rPr>
          <w:rFonts w:ascii="仿宋" w:hAnsi="仿宋" w:eastAsia="仿宋"/>
          <w:sz w:val="32"/>
          <w:szCs w:val="32"/>
        </w:rPr>
        <w:t>人力资源</w:t>
      </w:r>
      <w:r>
        <w:rPr>
          <w:rFonts w:hint="eastAsia" w:ascii="仿宋" w:hAnsi="仿宋" w:eastAsia="仿宋"/>
          <w:sz w:val="32"/>
          <w:szCs w:val="32"/>
          <w:lang w:eastAsia="zh-CN"/>
        </w:rPr>
        <w:t>和社会保障事务</w:t>
      </w:r>
      <w:r>
        <w:rPr>
          <w:rFonts w:ascii="仿宋" w:hAnsi="仿宋" w:eastAsia="仿宋"/>
          <w:sz w:val="32"/>
          <w:szCs w:val="32"/>
        </w:rPr>
        <w:t>方面的支出。</w:t>
      </w:r>
    </w:p>
    <w:p>
      <w:pPr>
        <w:ind w:firstLine="640" w:firstLineChars="200"/>
        <w:rPr>
          <w:rFonts w:ascii="仿宋" w:hAnsi="仿宋" w:eastAsia="仿宋"/>
          <w:sz w:val="32"/>
          <w:szCs w:val="32"/>
        </w:rPr>
      </w:pPr>
      <w:r>
        <w:rPr>
          <w:rFonts w:hint="eastAsia" w:ascii="仿宋" w:hAnsi="仿宋" w:eastAsia="仿宋"/>
          <w:sz w:val="32"/>
          <w:szCs w:val="32"/>
          <w:lang w:val="en-US" w:eastAsia="zh-CN"/>
        </w:rPr>
        <w:t>5</w:t>
      </w:r>
      <w:r>
        <w:rPr>
          <w:rFonts w:ascii="仿宋" w:hAnsi="仿宋" w:eastAsia="仿宋"/>
          <w:sz w:val="32"/>
          <w:szCs w:val="32"/>
        </w:rPr>
        <w:t>.社会保障和就业（类）行政事业单位养老支出（款）事业单位离退休（项）: 指反映事业单位开支的离退休经费。</w:t>
      </w:r>
    </w:p>
    <w:p>
      <w:pPr>
        <w:ind w:firstLine="640" w:firstLineChars="200"/>
        <w:rPr>
          <w:rFonts w:ascii="仿宋" w:hAnsi="仿宋" w:eastAsia="仿宋"/>
          <w:sz w:val="32"/>
          <w:szCs w:val="32"/>
        </w:rPr>
      </w:pPr>
      <w:r>
        <w:rPr>
          <w:rFonts w:hint="eastAsia" w:ascii="仿宋" w:hAnsi="仿宋" w:eastAsia="仿宋"/>
          <w:sz w:val="32"/>
          <w:szCs w:val="32"/>
          <w:lang w:val="en-US" w:eastAsia="zh-CN"/>
        </w:rPr>
        <w:t>6</w:t>
      </w:r>
      <w:r>
        <w:rPr>
          <w:rFonts w:ascii="仿宋" w:hAnsi="仿宋" w:eastAsia="仿宋"/>
          <w:sz w:val="32"/>
          <w:szCs w:val="32"/>
        </w:rPr>
        <w:t xml:space="preserve">.社会保障和就业（类）行政事业单位养老支出（款）机关事业单位基本养老保险缴费支出（项）: </w:t>
      </w:r>
      <w:r>
        <w:rPr>
          <w:rFonts w:ascii="仿宋" w:hAnsi="仿宋" w:eastAsia="仿宋"/>
          <w:color w:val="000000"/>
          <w:sz w:val="32"/>
          <w:szCs w:val="32"/>
        </w:rPr>
        <w:t>指反映机关事业单位实施养老保险制度由单位缴纳的基本养老保险费支出</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lang w:val="en-US" w:eastAsia="zh-CN"/>
        </w:rPr>
        <w:t>7</w:t>
      </w:r>
      <w:r>
        <w:rPr>
          <w:rFonts w:ascii="仿宋" w:hAnsi="仿宋" w:eastAsia="仿宋"/>
          <w:sz w:val="32"/>
          <w:szCs w:val="32"/>
        </w:rPr>
        <w:t xml:space="preserve">.社会保障和就业（类）就业补助（款）其他就业补助支出（项）: </w:t>
      </w:r>
      <w:r>
        <w:rPr>
          <w:rFonts w:ascii="仿宋" w:hAnsi="仿宋" w:eastAsia="仿宋"/>
          <w:color w:val="000000"/>
          <w:sz w:val="32"/>
          <w:szCs w:val="32"/>
        </w:rPr>
        <w:t>指反映除上述项目以外按规定确定的其他用于促进就业的补助支出</w:t>
      </w:r>
      <w:r>
        <w:rPr>
          <w:rFonts w:ascii="仿宋" w:hAnsi="仿宋" w:eastAsia="仿宋"/>
          <w:sz w:val="32"/>
          <w:szCs w:val="32"/>
        </w:rPr>
        <w:t>。</w:t>
      </w:r>
    </w:p>
    <w:p>
      <w:pPr>
        <w:ind w:firstLine="640" w:firstLineChars="200"/>
        <w:rPr>
          <w:rFonts w:ascii="仿宋" w:hAnsi="仿宋" w:eastAsia="仿宋"/>
          <w:color w:val="000000"/>
          <w:sz w:val="32"/>
          <w:szCs w:val="32"/>
        </w:rPr>
      </w:pPr>
      <w:r>
        <w:rPr>
          <w:rFonts w:hint="eastAsia" w:ascii="仿宋" w:hAnsi="仿宋" w:eastAsia="仿宋"/>
          <w:sz w:val="32"/>
          <w:szCs w:val="32"/>
          <w:lang w:val="en-US" w:eastAsia="zh-CN"/>
        </w:rPr>
        <w:t>8</w:t>
      </w:r>
      <w:r>
        <w:rPr>
          <w:rFonts w:ascii="仿宋" w:hAnsi="仿宋" w:eastAsia="仿宋"/>
          <w:sz w:val="32"/>
          <w:szCs w:val="32"/>
        </w:rPr>
        <w:t>.住房保障支出（类）住房改革支出（款）住房公积金（项）:</w:t>
      </w:r>
      <w:r>
        <w:rPr>
          <w:rFonts w:ascii="仿宋" w:hAnsi="仿宋" w:eastAsia="仿宋"/>
          <w:color w:val="000000"/>
          <w:sz w:val="32"/>
          <w:szCs w:val="32"/>
        </w:rPr>
        <w:t>指反映行政事业单位按人力资源和社会保障部、财政部规定的基本工资和津贴补贴以及规定比例为职工缴纳的住房公积金。</w:t>
      </w:r>
    </w:p>
    <w:p>
      <w:pPr>
        <w:ind w:firstLine="640" w:firstLineChars="200"/>
        <w:rPr>
          <w:rFonts w:ascii="仿宋" w:hAnsi="仿宋" w:eastAsia="仿宋"/>
          <w:sz w:val="32"/>
          <w:szCs w:val="32"/>
        </w:rPr>
      </w:pPr>
      <w:r>
        <w:rPr>
          <w:rFonts w:hint="eastAsia" w:ascii="仿宋" w:hAnsi="仿宋" w:eastAsia="仿宋"/>
          <w:sz w:val="32"/>
          <w:szCs w:val="32"/>
          <w:lang w:val="en-US" w:eastAsia="zh-CN"/>
        </w:rPr>
        <w:t>9</w:t>
      </w:r>
      <w:r>
        <w:rPr>
          <w:rFonts w:ascii="仿宋" w:hAnsi="仿宋" w:eastAsia="仿宋"/>
          <w:sz w:val="32"/>
          <w:szCs w:val="32"/>
        </w:rPr>
        <w:t>.基本支出：指为保障机构正常运转、完成日常工作任务而发生的人员支出和公用支出。</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lang w:val="en-US" w:eastAsia="zh-CN"/>
        </w:rPr>
        <w:t>0</w:t>
      </w:r>
      <w:r>
        <w:rPr>
          <w:rFonts w:ascii="仿宋" w:hAnsi="仿宋" w:eastAsia="仿宋"/>
          <w:sz w:val="32"/>
          <w:szCs w:val="32"/>
        </w:rPr>
        <w:t xml:space="preserve">.项目支出：指在基本支出之外为完成特定行政任务和事业发展目标所发生的支出。 </w:t>
      </w:r>
    </w:p>
    <w:p>
      <w:pPr>
        <w:pStyle w:val="22"/>
        <w:spacing w:line="560" w:lineRule="exact"/>
        <w:ind w:firstLine="640" w:firstLineChars="200"/>
        <w:rPr>
          <w:rFonts w:hAnsi="仿宋" w:cs="Times New Roman"/>
          <w:color w:val="auto"/>
          <w:sz w:val="32"/>
          <w:szCs w:val="32"/>
        </w:rPr>
      </w:pPr>
      <w:r>
        <w:rPr>
          <w:rFonts w:hAnsi="仿宋" w:cs="Times New Roman"/>
          <w:color w:val="auto"/>
          <w:sz w:val="32"/>
          <w:szCs w:val="32"/>
        </w:rPr>
        <w:t>1</w:t>
      </w:r>
      <w:r>
        <w:rPr>
          <w:rFonts w:hint="eastAsia" w:hAnsi="仿宋" w:cs="Times New Roman"/>
          <w:color w:val="auto"/>
          <w:sz w:val="32"/>
          <w:szCs w:val="32"/>
          <w:lang w:val="en-US" w:eastAsia="zh-CN"/>
        </w:rPr>
        <w:t>1</w:t>
      </w:r>
      <w:r>
        <w:rPr>
          <w:rFonts w:hAnsi="仿宋" w:cs="Times New Roman"/>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hAnsi="仿宋" w:cs="Times New Roman"/>
          <w:color w:val="auto"/>
          <w:sz w:val="32"/>
          <w:szCs w:val="32"/>
        </w:rPr>
      </w:pPr>
      <w:r>
        <w:rPr>
          <w:rFonts w:hAnsi="仿宋" w:cs="Times New Roman"/>
          <w:color w:val="auto"/>
          <w:sz w:val="32"/>
          <w:szCs w:val="32"/>
        </w:rPr>
        <w:t>1</w:t>
      </w:r>
      <w:r>
        <w:rPr>
          <w:rFonts w:hint="eastAsia" w:hAnsi="仿宋" w:cs="Times New Roman"/>
          <w:color w:val="auto"/>
          <w:sz w:val="32"/>
          <w:szCs w:val="32"/>
          <w:lang w:val="en-US" w:eastAsia="zh-CN"/>
        </w:rPr>
        <w:t>2</w:t>
      </w:r>
      <w:r>
        <w:rPr>
          <w:rFonts w:hAnsi="仿宋" w:cs="Times New Roman"/>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4"/>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4"/>
          <w:rFonts w:hint="eastAsia" w:ascii="黑体" w:hAnsi="黑体" w:eastAsia="黑体"/>
          <w:b w:val="0"/>
        </w:rPr>
        <w:t>四部分 附件</w:t>
      </w:r>
      <w:bookmarkEnd w:id="52"/>
    </w:p>
    <w:p>
      <w:pPr>
        <w:spacing w:line="572" w:lineRule="exact"/>
        <w:jc w:val="left"/>
        <w:outlineLvl w:val="0"/>
        <w:rPr>
          <w:rFonts w:ascii="仿宋_GB2312" w:hAnsi="仿宋_GB2312" w:eastAsia="仿宋_GB2312" w:cs="仿宋_GB2312"/>
          <w:sz w:val="32"/>
          <w:szCs w:val="32"/>
        </w:rPr>
      </w:pPr>
    </w:p>
    <w:p>
      <w:pPr>
        <w:spacing w:line="600" w:lineRule="exact"/>
        <w:ind w:firstLine="640" w:firstLineChars="200"/>
        <w:jc w:val="left"/>
        <w:outlineLvl w:val="0"/>
        <w:rPr>
          <w:rFonts w:ascii="仿宋" w:hAnsi="仿宋" w:eastAsia="仿宋" w:cs="Times New Roman"/>
          <w:color w:val="auto"/>
          <w:kern w:val="0"/>
          <w:sz w:val="32"/>
          <w:szCs w:val="32"/>
          <w:lang w:val="en-US" w:eastAsia="zh-CN" w:bidi="ar-SA"/>
        </w:rPr>
      </w:pPr>
      <w:bookmarkStart w:id="53" w:name="_Toc15396618"/>
      <w:r>
        <w:rPr>
          <w:rFonts w:hint="eastAsia" w:ascii="仿宋" w:hAnsi="仿宋" w:eastAsia="仿宋" w:cs="Times New Roman"/>
          <w:color w:val="auto"/>
          <w:kern w:val="0"/>
          <w:sz w:val="32"/>
          <w:szCs w:val="32"/>
          <w:lang w:val="en-US" w:eastAsia="zh-CN" w:bidi="ar-SA"/>
        </w:rPr>
        <w:t>部门预算项目支出绩效自评表（2022年度）见附件3-攀枝花市人才服务中心部门预算项目支出绩效自评表-1。</w:t>
      </w:r>
    </w:p>
    <w:p>
      <w:pPr>
        <w:spacing w:line="600" w:lineRule="exact"/>
        <w:jc w:val="left"/>
        <w:outlineLvl w:val="0"/>
        <w:rPr>
          <w:rFonts w:ascii="仿宋_GB2312" w:hAnsi="Calibri" w:eastAsia="仿宋_GB2312" w:cs="仿宋"/>
          <w:kern w:val="0"/>
          <w:sz w:val="32"/>
          <w:szCs w:val="32"/>
          <w:highlight w:val="none"/>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4"/>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25"/>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5"/>
          <w:rFonts w:hint="eastAsia" w:ascii="仿宋" w:hAnsi="仿宋" w:eastAsia="仿宋"/>
          <w:b w:val="0"/>
          <w:bCs w:val="0"/>
        </w:rPr>
        <w:t>入决算表</w:t>
      </w:r>
      <w:bookmarkEnd w:id="55"/>
    </w:p>
    <w:p>
      <w:pPr>
        <w:pStyle w:val="4"/>
        <w:rPr>
          <w:rFonts w:ascii="仿宋" w:hAnsi="仿宋" w:eastAsia="仿宋"/>
        </w:rPr>
      </w:pPr>
      <w:bookmarkStart w:id="56"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57"/>
    </w:p>
    <w:p>
      <w:pPr>
        <w:pStyle w:val="4"/>
        <w:rPr>
          <w:rStyle w:val="25"/>
          <w:rFonts w:ascii="仿宋" w:hAnsi="仿宋" w:eastAsia="仿宋"/>
          <w:b w:val="0"/>
          <w:bCs w:val="0"/>
        </w:rPr>
      </w:pPr>
      <w:bookmarkStart w:id="58"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5"/>
          <w:rFonts w:hint="eastAsia" w:ascii="仿宋" w:hAnsi="仿宋" w:eastAsia="仿宋"/>
          <w:b w:val="0"/>
          <w:bCs w:val="0"/>
        </w:rPr>
        <w:t>十、</w:t>
      </w:r>
      <w:bookmarkEnd w:id="63"/>
      <w:r>
        <w:rPr>
          <w:rFonts w:hint="eastAsia" w:ascii="仿宋" w:hAnsi="仿宋" w:eastAsia="仿宋"/>
          <w:b w:val="0"/>
        </w:rPr>
        <w:t>政</w:t>
      </w:r>
      <w:r>
        <w:rPr>
          <w:rStyle w:val="25"/>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25"/>
          <w:rFonts w:hint="eastAsia" w:ascii="仿宋" w:hAnsi="仿宋" w:eastAsia="仿宋"/>
          <w:b w:val="0"/>
          <w:bCs w:val="0"/>
        </w:rPr>
        <w:t>十一、</w:t>
      </w:r>
      <w:bookmarkEnd w:id="64"/>
      <w:r>
        <w:rPr>
          <w:rFonts w:hint="eastAsia" w:ascii="仿宋" w:hAnsi="仿宋" w:eastAsia="仿宋"/>
          <w:b w:val="0"/>
        </w:rPr>
        <w:t>国</w:t>
      </w:r>
      <w:r>
        <w:rPr>
          <w:rStyle w:val="25"/>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25"/>
          <w:rFonts w:hint="eastAsia" w:ascii="仿宋" w:hAnsi="仿宋" w:eastAsia="仿宋"/>
          <w:b w:val="0"/>
          <w:bCs w:val="0"/>
        </w:rPr>
        <w:t>十二、</w:t>
      </w:r>
      <w:bookmarkEnd w:id="65"/>
      <w:r>
        <w:rPr>
          <w:rStyle w:val="25"/>
          <w:rFonts w:hint="eastAsia" w:ascii="仿宋" w:hAnsi="仿宋" w:eastAsia="仿宋"/>
          <w:b w:val="0"/>
          <w:bCs w:val="0"/>
        </w:rPr>
        <w:t>国有资本经营预算财政拨款支出决算表</w:t>
      </w:r>
    </w:p>
    <w:p>
      <w:pPr>
        <w:pStyle w:val="4"/>
        <w:rPr>
          <w:rFonts w:eastAsia="仿宋"/>
        </w:rPr>
      </w:pPr>
      <w:bookmarkStart w:id="66" w:name="_Toc15396631"/>
      <w:r>
        <w:rPr>
          <w:rStyle w:val="25"/>
          <w:rFonts w:hint="eastAsia" w:ascii="仿宋" w:hAnsi="仿宋" w:eastAsia="仿宋"/>
          <w:b w:val="0"/>
          <w:bCs w:val="0"/>
        </w:rPr>
        <w:t>十三、</w:t>
      </w:r>
      <w:bookmarkEnd w:id="66"/>
      <w:r>
        <w:rPr>
          <w:rStyle w:val="25"/>
          <w:rFonts w:hint="eastAsia" w:ascii="仿宋" w:hAnsi="仿宋" w:eastAsia="仿宋"/>
          <w:b w:val="0"/>
          <w:bCs w:val="0"/>
        </w:rPr>
        <w:t>财政拨款“三公”经费支出决算表</w:t>
      </w:r>
    </w:p>
    <w:sectPr>
      <w:headerReference r:id="rId3" w:type="default"/>
      <w:footerReference r:id="rId5" w:type="default"/>
      <w:headerReference r:id="rId4" w:type="even"/>
      <w:footerReference r:id="rId6"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1"/>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15</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MGRlMTUyMzU3NjdkM2MwODYxZmEyNWU5NmZlM2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30"/>
    <w:rsid w:val="00114E9B"/>
    <w:rsid w:val="00123991"/>
    <w:rsid w:val="00142216"/>
    <w:rsid w:val="00144D6A"/>
    <w:rsid w:val="0014729F"/>
    <w:rsid w:val="00157BAB"/>
    <w:rsid w:val="001654D1"/>
    <w:rsid w:val="00166E95"/>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950"/>
    <w:rsid w:val="00260C38"/>
    <w:rsid w:val="00260C9E"/>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64B39"/>
    <w:rsid w:val="00471401"/>
    <w:rsid w:val="00473F31"/>
    <w:rsid w:val="0048263A"/>
    <w:rsid w:val="00485945"/>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A049A"/>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60DF"/>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524A"/>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A06F09"/>
    <w:rsid w:val="03F6784E"/>
    <w:rsid w:val="053A62B5"/>
    <w:rsid w:val="06401D52"/>
    <w:rsid w:val="09731A15"/>
    <w:rsid w:val="0A2032A3"/>
    <w:rsid w:val="0B8A37D8"/>
    <w:rsid w:val="10C055FF"/>
    <w:rsid w:val="118107EC"/>
    <w:rsid w:val="11DD6519"/>
    <w:rsid w:val="16BB723D"/>
    <w:rsid w:val="18015F3F"/>
    <w:rsid w:val="1A276C6A"/>
    <w:rsid w:val="1BE8440E"/>
    <w:rsid w:val="1D155CEE"/>
    <w:rsid w:val="20384772"/>
    <w:rsid w:val="20F57F95"/>
    <w:rsid w:val="240371BF"/>
    <w:rsid w:val="25711CC6"/>
    <w:rsid w:val="25C741E6"/>
    <w:rsid w:val="27842671"/>
    <w:rsid w:val="29FD04D3"/>
    <w:rsid w:val="2ABE7A3E"/>
    <w:rsid w:val="2CA234A8"/>
    <w:rsid w:val="2EFA178C"/>
    <w:rsid w:val="30B46D73"/>
    <w:rsid w:val="319F7F4E"/>
    <w:rsid w:val="343530D7"/>
    <w:rsid w:val="383D272C"/>
    <w:rsid w:val="39AE70AB"/>
    <w:rsid w:val="3C0C0783"/>
    <w:rsid w:val="3D4D07DF"/>
    <w:rsid w:val="3F6820A1"/>
    <w:rsid w:val="3F9F3A96"/>
    <w:rsid w:val="3FA516F6"/>
    <w:rsid w:val="40D80C0F"/>
    <w:rsid w:val="445D1410"/>
    <w:rsid w:val="48BF60AB"/>
    <w:rsid w:val="493C27E9"/>
    <w:rsid w:val="496F39ED"/>
    <w:rsid w:val="49FF41D3"/>
    <w:rsid w:val="4BE068DB"/>
    <w:rsid w:val="4BF6002B"/>
    <w:rsid w:val="4D0B1AC0"/>
    <w:rsid w:val="4ECE2238"/>
    <w:rsid w:val="51DB4B86"/>
    <w:rsid w:val="52B535A3"/>
    <w:rsid w:val="55333C3E"/>
    <w:rsid w:val="556B075D"/>
    <w:rsid w:val="5BAC590E"/>
    <w:rsid w:val="62CC631F"/>
    <w:rsid w:val="64CA39A1"/>
    <w:rsid w:val="69630ADE"/>
    <w:rsid w:val="6C16685D"/>
    <w:rsid w:val="6C4A05C8"/>
    <w:rsid w:val="6D3B1A89"/>
    <w:rsid w:val="6E344496"/>
    <w:rsid w:val="71BF4EC2"/>
    <w:rsid w:val="72734D90"/>
    <w:rsid w:val="7412278C"/>
    <w:rsid w:val="7907054D"/>
    <w:rsid w:val="79E7B28D"/>
    <w:rsid w:val="7F73429A"/>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字符"/>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字符"/>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字符"/>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字符"/>
    <w:basedOn w:val="13"/>
    <w:link w:val="3"/>
    <w:qFormat/>
    <w:uiPriority w:val="9"/>
    <w:rPr>
      <w:rFonts w:ascii="Times New Roman" w:hAnsi="Times New Roman"/>
      <w:b/>
      <w:bCs/>
      <w:kern w:val="44"/>
      <w:sz w:val="44"/>
      <w:szCs w:val="44"/>
    </w:rPr>
  </w:style>
  <w:style w:type="character" w:customStyle="1" w:styleId="25">
    <w:name w:val="标题 2 字符"/>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字符"/>
    <w:basedOn w:val="13"/>
    <w:link w:val="7"/>
    <w:semiHidden/>
    <w:qFormat/>
    <w:uiPriority w:val="99"/>
    <w:rPr>
      <w:rFonts w:ascii="Times New Roman" w:hAnsi="Times New Roman"/>
      <w:kern w:val="2"/>
      <w:sz w:val="18"/>
      <w:szCs w:val="18"/>
    </w:rPr>
  </w:style>
  <w:style w:type="character" w:customStyle="1" w:styleId="28">
    <w:name w:val="标题 3 字符"/>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20851;&#20110;2022&#24180;&#37096;&#38376;&#20915;&#31639;&#20844;&#24320;&#30456;&#20851;&#35201;&#27714;&#30340;&#36890;&#30693;\&#22235;&#24029;&#30465;&#25856;&#26525;&#33457;&#24066;&#20154;&#25165;&#26381;&#21153;&#20013;&#24515;&#33609;&#31295;202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20851;&#20110;2022&#24180;&#37096;&#38376;&#20915;&#31639;&#20844;&#24320;&#30456;&#20851;&#35201;&#27714;&#30340;&#36890;&#30693;\&#22235;&#24029;&#30465;&#25856;&#26525;&#33457;&#24066;&#20154;&#25165;&#26381;&#21153;&#20013;&#24515;&#33609;&#31295;202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20851;&#20110;2022&#24180;&#37096;&#38376;&#20915;&#31639;&#20844;&#24320;&#30456;&#20851;&#35201;&#27714;&#30340;&#36890;&#30693;\&#22235;&#24029;&#30465;&#25856;&#26525;&#33457;&#24066;&#20154;&#25165;&#26381;&#21153;&#20013;&#24515;&#33609;&#31295;202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20851;&#20110;2022&#24180;&#37096;&#38376;&#20915;&#31639;&#20844;&#24320;&#30456;&#20851;&#35201;&#27714;&#30340;&#36890;&#30693;\&#22235;&#24029;&#30465;&#25856;&#26525;&#33457;&#24066;&#20154;&#25165;&#26381;&#21153;&#20013;&#24515;&#33609;&#31295;2022.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esktop\&#20851;&#20110;2022&#24180;&#37096;&#38376;&#20915;&#31639;&#20844;&#24320;&#30456;&#20851;&#35201;&#27714;&#30340;&#36890;&#30693;\&#22235;&#24029;&#30465;&#25856;&#26525;&#33457;&#24066;&#20154;&#25165;&#26381;&#21153;&#20013;&#24515;&#33609;&#31295;2022.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20851;&#20110;2022&#24180;&#37096;&#38376;&#20915;&#31639;&#20844;&#24320;&#30456;&#20851;&#35201;&#27714;&#30340;&#36890;&#30693;\&#22235;&#24029;&#30465;&#25856;&#26525;&#33457;&#24066;&#20154;&#25165;&#26381;&#21153;&#20013;&#24515;&#33609;&#31295;2022.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Desktop\&#20851;&#20110;2022&#24180;&#37096;&#38376;&#20915;&#31639;&#20844;&#24320;&#30456;&#20851;&#35201;&#27714;&#30340;&#36890;&#30693;\&#22235;&#24029;&#30465;&#25856;&#26525;&#33457;&#24066;&#20154;&#25165;&#26381;&#21153;&#20013;&#24515;&#33609;&#31295;202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5B9BD5">
                <a:alpha val="100000"/>
              </a:srgbClr>
            </a:solidFill>
            <a:ln w="3175">
              <a:noFill/>
            </a:ln>
          </c:spPr>
          <c:invertIfNegative val="0"/>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等线" charset="-122"/>
                    <a:ea typeface="等线" charset="-122"/>
                    <a:cs typeface="等线"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'[四川省攀枝花市人才服务中心草稿2022.xls]Z01 收入支出决算总表(财决公开1表)'!$M$11:$M$14</c:f>
              <c:strCache>
                <c:ptCount val="4"/>
                <c:pt idx="0">
                  <c:v>2021年收入</c:v>
                </c:pt>
                <c:pt idx="1">
                  <c:v>2022年收入</c:v>
                </c:pt>
                <c:pt idx="2">
                  <c:v>2021年支出</c:v>
                </c:pt>
                <c:pt idx="3">
                  <c:v>2022年支出</c:v>
                </c:pt>
              </c:strCache>
            </c:strRef>
          </c:cat>
          <c:val>
            <c:numRef>
              <c:f>'[四川省攀枝花市人才服务中心草稿2022.xls]Z01 收入支出决算总表(财决公开1表)'!$N$11:$N$14</c:f>
              <c:numCache>
                <c:formatCode>General</c:formatCode>
                <c:ptCount val="4"/>
                <c:pt idx="0">
                  <c:v>449.16</c:v>
                </c:pt>
                <c:pt idx="1">
                  <c:v>435.93</c:v>
                </c:pt>
                <c:pt idx="2">
                  <c:v>449.16</c:v>
                </c:pt>
                <c:pt idx="3">
                  <c:v>435.93</c:v>
                </c:pt>
              </c:numCache>
            </c:numRef>
          </c:val>
        </c:ser>
        <c:dLbls>
          <c:showLegendKey val="0"/>
          <c:showVal val="0"/>
          <c:showCatName val="0"/>
          <c:showSerName val="0"/>
          <c:showPercent val="0"/>
          <c:showBubbleSize val="0"/>
        </c:dLbls>
        <c:gapWidth val="219"/>
        <c:overlap val="-27"/>
        <c:axId val="992530740"/>
        <c:axId val="776417493"/>
      </c:barChart>
      <c:catAx>
        <c:axId val="99253074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alpha val="100000"/>
                  </a:srgbClr>
                </a:solidFill>
                <a:latin typeface="等线" charset="-122"/>
                <a:ea typeface="等线" charset="-122"/>
                <a:cs typeface="等线" charset="-122"/>
              </a:defRPr>
            </a:pPr>
          </a:p>
        </c:txPr>
        <c:crossAx val="776417493"/>
        <c:crosses val="autoZero"/>
        <c:auto val="1"/>
        <c:lblAlgn val="ctr"/>
        <c:lblOffset val="100"/>
        <c:noMultiLvlLbl val="0"/>
      </c:catAx>
      <c:valAx>
        <c:axId val="776417493"/>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3175" cap="flat" cmpd="sng" algn="ctr">
            <a:noFill/>
            <a:prstDash val="solid"/>
            <a:round/>
          </a:ln>
        </c:spPr>
        <c:txPr>
          <a:bodyPr rot="0" spcFirstLastPara="0" vertOverflow="ellipsis" vert="horz" wrap="square" anchor="ctr" anchorCtr="1"/>
          <a:lstStyle/>
          <a:p>
            <a:pPr>
              <a:defRPr lang="zh-CN" sz="900" b="0" i="0" u="none" strike="noStrike" kern="1200" baseline="0">
                <a:solidFill>
                  <a:srgbClr val="333333">
                    <a:alpha val="100000"/>
                  </a:srgbClr>
                </a:solidFill>
                <a:latin typeface="等线" charset="-122"/>
                <a:ea typeface="等线" charset="-122"/>
                <a:cs typeface="等线" charset="-122"/>
              </a:defRPr>
            </a:pPr>
          </a:p>
        </c:txPr>
        <c:crossAx val="992530740"/>
        <c:crosses val="autoZero"/>
        <c:crossBetween val="between"/>
      </c:valAx>
      <c:spPr>
        <a:noFill/>
        <a:ln w="3175">
          <a:noFill/>
        </a:ln>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等线" charset="-122"/>
          <a:ea typeface="等线" charset="-122"/>
          <a:cs typeface="等线"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w="12700" cmpd="sng">
              <a:solidFill>
                <a:schemeClr val="accent2"/>
              </a:solidFill>
              <a:prstDash val="solid"/>
            </a:ln>
            <a:sp3d contourW="12700"/>
          </c:spPr>
          <c:explosion val="0"/>
          <c:dPt>
            <c:idx val="0"/>
            <c:bubble3D val="0"/>
            <c:explosion val="0"/>
            <c:spPr>
              <a:solidFill>
                <a:srgbClr val="5B9BD5">
                  <a:alpha val="100000"/>
                </a:srgbClr>
              </a:solidFill>
              <a:ln w="12700" cmpd="sng">
                <a:solidFill>
                  <a:schemeClr val="accent2"/>
                </a:solidFill>
                <a:prstDash val="solid"/>
              </a:ln>
              <a:sp3d contourW="12700"/>
            </c:spPr>
          </c:dPt>
          <c:dPt>
            <c:idx val="1"/>
            <c:bubble3D val="0"/>
            <c:explosion val="0"/>
            <c:spPr>
              <a:solidFill>
                <a:srgbClr val="ED7D31">
                  <a:alpha val="100000"/>
                </a:srgbClr>
              </a:solidFill>
              <a:ln w="12700" cmpd="sng">
                <a:solidFill>
                  <a:schemeClr val="accent2"/>
                </a:solidFill>
                <a:prstDash val="solid"/>
              </a:ln>
              <a:sp3d contourW="12700"/>
            </c:spPr>
          </c:dPt>
          <c:dLbls>
            <c:dLbl>
              <c:idx val="1"/>
              <c:layout>
                <c:manualLayout>
                  <c:x val="-0.0550103783469807"/>
                  <c:y val="0.048801808348689"/>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等线" charset="-122"/>
                      <a:ea typeface="等线" charset="-122"/>
                      <a:cs typeface="等线"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等线" charset="-122"/>
                    <a:ea typeface="等线" charset="-122"/>
                    <a:cs typeface="等线"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'[四川省攀枝花市人才服务中心草稿2022.xls]Z01 收入支出决算总表(财决公开1表)'!$K$33:$K$34</c:f>
              <c:strCache>
                <c:ptCount val="2"/>
                <c:pt idx="0">
                  <c:v>一般公共预算财政拨款收入</c:v>
                </c:pt>
                <c:pt idx="1">
                  <c:v>其他收入</c:v>
                </c:pt>
              </c:strCache>
            </c:strRef>
          </c:cat>
          <c:val>
            <c:numRef>
              <c:f>'[四川省攀枝花市人才服务中心草稿2022.xls]Z01 收入支出决算总表(财决公开1表)'!$L$33:$L$34</c:f>
              <c:numCache>
                <c:formatCode>General</c:formatCode>
                <c:ptCount val="2"/>
                <c:pt idx="0">
                  <c:v>406.74</c:v>
                </c:pt>
                <c:pt idx="1">
                  <c:v>0.01</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b"/>
      <c:layout/>
      <c:overlay val="0"/>
      <c:spPr>
        <a:noFill/>
        <a:ln w="3175">
          <a:noFill/>
        </a:ln>
      </c:spPr>
      <c:txPr>
        <a:bodyPr rot="0" spcFirstLastPara="0" vertOverflow="ellipsis" vert="horz" wrap="square" anchor="ctr" anchorCtr="1"/>
        <a:lstStyle/>
        <a:p>
          <a:pPr>
            <a:defRPr lang="zh-CN" sz="825" b="0" i="0" u="none" strike="noStrike" kern="1200" baseline="0">
              <a:solidFill>
                <a:srgbClr val="333333"/>
              </a:solidFill>
              <a:latin typeface="等线"/>
              <a:ea typeface="等线"/>
              <a:cs typeface="等线"/>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900" b="0" i="0" u="none" strike="noStrike" baseline="0">
          <a:solidFill>
            <a:srgbClr val="000000">
              <a:alpha val="100000"/>
            </a:srgbClr>
          </a:solidFill>
          <a:latin typeface="等线" charset="-122"/>
          <a:ea typeface="等线" charset="-122"/>
          <a:cs typeface="等线"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'[四川省攀枝花市人才服务中心草稿2022.xls]Z03 支出决算表(财决公开03表)'!$O$13:$P$13</c:f>
              <c:strCache>
                <c:ptCount val="2"/>
                <c:pt idx="0">
                  <c:v>基本支出</c:v>
                </c:pt>
                <c:pt idx="1">
                  <c:v>项目支出</c:v>
                </c:pt>
              </c:strCache>
            </c:strRef>
          </c:cat>
          <c:val>
            <c:numRef>
              <c:f>'[四川省攀枝花市人才服务中心草稿2022.xls]Z03 支出决算表(财决公开03表)'!$O$14:$P$14</c:f>
              <c:numCache>
                <c:formatCode>General</c:formatCode>
                <c:ptCount val="2"/>
                <c:pt idx="0">
                  <c:v>355.57</c:v>
                </c:pt>
                <c:pt idx="1">
                  <c:v>80.35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'[四川省攀枝花市人才服务中心草稿2022.xls]Z04 财政拨款收入支出决算总表(财决公开04表)'!$M$26:$M$29</c:f>
              <c:strCache>
                <c:ptCount val="4"/>
                <c:pt idx="0">
                  <c:v>2021年财政拨款收入</c:v>
                </c:pt>
                <c:pt idx="1">
                  <c:v>2022年财政拨款收入</c:v>
                </c:pt>
                <c:pt idx="2">
                  <c:v>2021年财政拨款支出</c:v>
                </c:pt>
                <c:pt idx="3">
                  <c:v>2022年财政拨款支出</c:v>
                </c:pt>
              </c:strCache>
            </c:strRef>
          </c:cat>
          <c:val>
            <c:numRef>
              <c:f>'[四川省攀枝花市人才服务中心草稿2022.xls]Z04 财政拨款收入支出决算总表(财决公开04表)'!$N$26:$N$29</c:f>
              <c:numCache>
                <c:formatCode>General</c:formatCode>
                <c:ptCount val="4"/>
                <c:pt idx="0">
                  <c:v>448.35</c:v>
                </c:pt>
                <c:pt idx="1">
                  <c:v>435.92</c:v>
                </c:pt>
                <c:pt idx="2">
                  <c:v>448.35</c:v>
                </c:pt>
                <c:pt idx="3">
                  <c:v>435.92</c:v>
                </c:pt>
              </c:numCache>
            </c:numRef>
          </c:val>
        </c:ser>
        <c:dLbls>
          <c:showLegendKey val="0"/>
          <c:showVal val="0"/>
          <c:showCatName val="0"/>
          <c:showSerName val="0"/>
          <c:showPercent val="0"/>
          <c:showBubbleSize val="0"/>
        </c:dLbls>
        <c:gapWidth val="219"/>
        <c:overlap val="-27"/>
        <c:axId val="137360106"/>
        <c:axId val="571704629"/>
      </c:barChart>
      <c:catAx>
        <c:axId val="13736010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1704629"/>
        <c:crosses val="autoZero"/>
        <c:auto val="1"/>
        <c:lblAlgn val="ctr"/>
        <c:lblOffset val="100"/>
        <c:noMultiLvlLbl val="0"/>
      </c:catAx>
      <c:valAx>
        <c:axId val="571704629"/>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736010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722222222222"/>
          <c:y val="0.0313628158844765"/>
          <c:w val="0.863111111111111"/>
          <c:h val="0.83712962962963"/>
        </c:manualLayout>
      </c:layout>
      <c:barChart>
        <c:barDir val="col"/>
        <c:grouping val="clustered"/>
        <c:varyColors val="0"/>
        <c:ser>
          <c:idx val="0"/>
          <c:order val="0"/>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'[四川省攀枝花市人才服务中心草稿2022.xls]Z05 财政拨款支出决算明细表(财决公开05表)'!$R$23:$R$24</c:f>
              <c:strCache>
                <c:ptCount val="2"/>
                <c:pt idx="0">
                  <c:v>2021年一般公共预算财政拨款支出</c:v>
                </c:pt>
                <c:pt idx="1">
                  <c:v>2022年一般公共预算财政拨款支出</c:v>
                </c:pt>
              </c:strCache>
            </c:strRef>
          </c:cat>
          <c:val>
            <c:numRef>
              <c:f>'[四川省攀枝花市人才服务中心草稿2022.xls]Z05 财政拨款支出决算明细表(财决公开05表)'!$S$23:$S$24</c:f>
              <c:numCache>
                <c:formatCode>General</c:formatCode>
                <c:ptCount val="2"/>
                <c:pt idx="0">
                  <c:v>448.35</c:v>
                </c:pt>
                <c:pt idx="1">
                  <c:v>435.92</c:v>
                </c:pt>
              </c:numCache>
            </c:numRef>
          </c:val>
        </c:ser>
        <c:dLbls>
          <c:showLegendKey val="0"/>
          <c:showVal val="0"/>
          <c:showCatName val="0"/>
          <c:showSerName val="0"/>
          <c:showPercent val="0"/>
          <c:showBubbleSize val="0"/>
        </c:dLbls>
        <c:gapWidth val="219"/>
        <c:overlap val="-27"/>
        <c:axId val="625648682"/>
        <c:axId val="34626583"/>
      </c:barChart>
      <c:catAx>
        <c:axId val="62564868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626583"/>
        <c:crosses val="autoZero"/>
        <c:auto val="1"/>
        <c:lblAlgn val="ctr"/>
        <c:lblOffset val="100"/>
        <c:noMultiLvlLbl val="0"/>
      </c:catAx>
      <c:valAx>
        <c:axId val="34626583"/>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564868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w="19050">
              <a:noFill/>
            </a:ln>
          </c:spPr>
          <c:explosion val="0"/>
          <c:dPt>
            <c:idx val="0"/>
            <c:bubble3D val="0"/>
            <c:explosion val="0"/>
            <c:spPr>
              <a:solidFill>
                <a:schemeClr val="accent1"/>
              </a:solidFill>
              <a:ln w="19050">
                <a:noFill/>
              </a:ln>
              <a:effectLst/>
            </c:spPr>
          </c:dPt>
          <c:dPt>
            <c:idx val="1"/>
            <c:bubble3D val="0"/>
            <c:explosion val="0"/>
            <c:spPr>
              <a:solidFill>
                <a:schemeClr val="accent2"/>
              </a:solidFill>
              <a:ln w="19050">
                <a:no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'[四川省攀枝花市人才服务中心草稿2022.xls]Z06 一般公共预算财政拨款支出决算表(财决公开06表)'!$L$9:$L$10</c:f>
              <c:strCache>
                <c:ptCount val="2"/>
                <c:pt idx="0">
                  <c:v>一般公共服务支出</c:v>
                </c:pt>
                <c:pt idx="1">
                  <c:v>住房保障支出</c:v>
                </c:pt>
              </c:strCache>
            </c:strRef>
          </c:cat>
          <c:val>
            <c:numRef>
              <c:f>'[四川省攀枝花市人才服务中心草稿2022.xls]Z06 一般公共预算财政拨款支出决算表(财决公开06表)'!$M$9:$M$10</c:f>
              <c:numCache>
                <c:formatCode>General</c:formatCode>
                <c:ptCount val="2"/>
                <c:pt idx="0">
                  <c:v>406</c:v>
                </c:pt>
                <c:pt idx="1">
                  <c:v>29.92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w="19050">
              <a:noFill/>
            </a:ln>
          </c:spPr>
          <c:explosion val="0"/>
          <c:dPt>
            <c:idx val="0"/>
            <c:bubble3D val="0"/>
            <c:explosion val="0"/>
            <c:spPr>
              <a:solidFill>
                <a:schemeClr val="accent1"/>
              </a:solidFill>
              <a:ln w="19050">
                <a:noFill/>
              </a:ln>
              <a:effectLst/>
            </c:spPr>
          </c:dPt>
          <c:dPt>
            <c:idx val="1"/>
            <c:bubble3D val="0"/>
            <c:explosion val="0"/>
            <c:spPr>
              <a:solidFill>
                <a:schemeClr val="accent2"/>
              </a:solidFill>
              <a:ln w="19050">
                <a:noFill/>
              </a:ln>
              <a:effectLst/>
            </c:spPr>
          </c:dPt>
          <c:dPt>
            <c:idx val="2"/>
            <c:bubble3D val="0"/>
            <c:explosion val="0"/>
            <c:spPr>
              <a:solidFill>
                <a:schemeClr val="accent3"/>
              </a:solidFill>
              <a:ln w="19050">
                <a:noFill/>
              </a:ln>
              <a:effectLst/>
            </c:spPr>
          </c:dPt>
          <c:dLbls>
            <c:dLbl>
              <c:idx val="2"/>
              <c:layout>
                <c:manualLayout>
                  <c:x val="0"/>
                  <c:y val="-0.00347222222222222"/>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'[四川省攀枝花市人才服务中心草稿2022.xls]Z10 一般公共预算财政拨款“三公”经费支出决算表(财决公开1'!$I$21:$I$23</c:f>
              <c:strCache>
                <c:ptCount val="3"/>
                <c:pt idx="0">
                  <c:v>公务接待</c:v>
                </c:pt>
                <c:pt idx="1">
                  <c:v>因公出国（境）费</c:v>
                </c:pt>
                <c:pt idx="2">
                  <c:v>公务用车购置及运行费</c:v>
                </c:pt>
              </c:strCache>
            </c:strRef>
          </c:cat>
          <c:val>
            <c:numRef>
              <c:f>'[四川省攀枝花市人才服务中心草稿2022.xls]Z10 一般公共预算财政拨款“三公”经费支出决算表(财决公开1'!$J$21:$J$23</c:f>
              <c:numCache>
                <c:formatCode>General</c:formatCode>
                <c:ptCount val="3"/>
                <c:pt idx="0">
                  <c:v>0.32</c:v>
                </c:pt>
                <c:pt idx="1">
                  <c:v>0</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71944444444444"/>
          <c:y val="0.891666666666667"/>
          <c:w val="0.656111111111111"/>
          <c:h val="0.07708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4262</Words>
  <Characters>4642</Characters>
  <Lines>41</Lines>
  <Paragraphs>11</Paragraphs>
  <TotalTime>391</TotalTime>
  <ScaleCrop>false</ScaleCrop>
  <LinksUpToDate>false</LinksUpToDate>
  <CharactersWithSpaces>4699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廖子欢（攀枝花市人才服务中心）</cp:lastModifiedBy>
  <cp:lastPrinted>2023-07-31T02:35:00Z</cp:lastPrinted>
  <dcterms:modified xsi:type="dcterms:W3CDTF">2023-09-12T07:24:55Z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12A8C6F9E86F46AEA1CA4B1CA6AA7956_12</vt:lpwstr>
  </property>
</Properties>
</file>