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398812">
      <w:pPr>
        <w:spacing w:line="560" w:lineRule="exact"/>
        <w:rPr>
          <w:rFonts w:ascii="仿宋_GB2312" w:eastAsia="仿宋_GB2312"/>
          <w:sz w:val="32"/>
          <w:szCs w:val="32"/>
        </w:rPr>
      </w:pPr>
      <w:bookmarkStart w:id="0" w:name="_GoBack"/>
      <w:bookmarkEnd w:id="0"/>
      <w:r>
        <w:rPr>
          <w:rFonts w:hint="eastAsia" w:ascii="仿宋_GB2312" w:eastAsia="仿宋_GB2312"/>
          <w:sz w:val="32"/>
          <w:szCs w:val="32"/>
        </w:rPr>
        <w:t>附件4：</w:t>
      </w:r>
    </w:p>
    <w:p w14:paraId="4BD9604B">
      <w:pPr>
        <w:spacing w:line="560" w:lineRule="exact"/>
        <w:jc w:val="center"/>
        <w:rPr>
          <w:rFonts w:ascii="方正小标宋简体" w:eastAsia="方正小标宋简体"/>
          <w:sz w:val="44"/>
          <w:szCs w:val="44"/>
        </w:rPr>
      </w:pPr>
      <w:r>
        <w:rPr>
          <w:rFonts w:hint="eastAsia" w:ascii="方正小标宋简体" w:eastAsia="方正小标宋简体"/>
          <w:sz w:val="44"/>
          <w:szCs w:val="44"/>
        </w:rPr>
        <w:t>攀枝花市劳动人事争议仲裁院</w:t>
      </w:r>
    </w:p>
    <w:p w14:paraId="3A2B1938">
      <w:pPr>
        <w:spacing w:line="560" w:lineRule="exact"/>
        <w:jc w:val="center"/>
        <w:rPr>
          <w:rFonts w:ascii="方正小标宋简体" w:eastAsia="方正小标宋简体"/>
          <w:sz w:val="44"/>
          <w:szCs w:val="44"/>
        </w:rPr>
      </w:pPr>
      <w:r>
        <w:rPr>
          <w:rFonts w:hint="eastAsia" w:ascii="方正小标宋简体" w:eastAsia="方正小标宋简体"/>
          <w:sz w:val="44"/>
          <w:szCs w:val="44"/>
        </w:rPr>
        <w:t>2020年度部门预算项目支出绩效自评报告</w:t>
      </w:r>
    </w:p>
    <w:p w14:paraId="633099EC">
      <w:pPr>
        <w:spacing w:line="560" w:lineRule="exact"/>
        <w:jc w:val="center"/>
        <w:rPr>
          <w:rFonts w:ascii="方正小标宋简体" w:eastAsia="方正小标宋简体"/>
          <w:sz w:val="44"/>
          <w:szCs w:val="44"/>
        </w:rPr>
      </w:pPr>
      <w:r>
        <w:rPr>
          <w:rFonts w:hint="eastAsia" w:ascii="方正小标宋简体" w:eastAsia="方正小标宋简体"/>
          <w:sz w:val="44"/>
          <w:szCs w:val="44"/>
        </w:rPr>
        <w:t>（办案辅助人员用工包干经费）</w:t>
      </w:r>
    </w:p>
    <w:p w14:paraId="5DCB8979">
      <w:pPr>
        <w:spacing w:line="560" w:lineRule="exact"/>
        <w:rPr>
          <w:rFonts w:ascii="仿宋_GB2312" w:eastAsia="仿宋_GB2312"/>
          <w:sz w:val="32"/>
          <w:szCs w:val="32"/>
        </w:rPr>
      </w:pPr>
    </w:p>
    <w:p w14:paraId="6C71E3E2">
      <w:pPr>
        <w:spacing w:line="560" w:lineRule="exact"/>
        <w:ind w:firstLine="640" w:firstLineChars="200"/>
        <w:rPr>
          <w:rFonts w:ascii="黑体" w:hAnsi="黑体" w:eastAsia="黑体"/>
          <w:sz w:val="32"/>
          <w:szCs w:val="32"/>
        </w:rPr>
      </w:pPr>
      <w:r>
        <w:rPr>
          <w:rFonts w:hint="eastAsia" w:ascii="黑体" w:hAnsi="黑体" w:eastAsia="黑体"/>
          <w:sz w:val="32"/>
          <w:szCs w:val="32"/>
        </w:rPr>
        <w:t>一、项目概况</w:t>
      </w:r>
    </w:p>
    <w:p w14:paraId="0DAA42F2">
      <w:pPr>
        <w:spacing w:line="560" w:lineRule="exact"/>
        <w:ind w:firstLine="640" w:firstLineChars="200"/>
        <w:rPr>
          <w:rFonts w:ascii="黑体" w:hAnsi="黑体" w:eastAsia="黑体"/>
          <w:sz w:val="32"/>
          <w:szCs w:val="32"/>
        </w:rPr>
      </w:pPr>
      <w:r>
        <w:rPr>
          <w:rFonts w:hint="eastAsia" w:ascii="楷体" w:hAnsi="楷体" w:eastAsia="楷体"/>
          <w:sz w:val="32"/>
          <w:szCs w:val="32"/>
        </w:rPr>
        <w:t>（一）项目基本情况</w:t>
      </w:r>
    </w:p>
    <w:p w14:paraId="72391C7E">
      <w:pPr>
        <w:spacing w:line="560" w:lineRule="exact"/>
        <w:ind w:firstLine="640" w:firstLineChars="200"/>
        <w:rPr>
          <w:rFonts w:ascii="黑体" w:hAnsi="黑体" w:eastAsia="黑体"/>
          <w:sz w:val="32"/>
          <w:szCs w:val="32"/>
        </w:rPr>
      </w:pPr>
      <w:r>
        <w:rPr>
          <w:rFonts w:hint="eastAsia" w:ascii="仿宋_GB2312" w:eastAsia="仿宋_GB2312"/>
          <w:sz w:val="32"/>
          <w:szCs w:val="32"/>
        </w:rPr>
        <w:t>1．说明项目主管部门（单位）在该项目管理中的职能</w:t>
      </w:r>
    </w:p>
    <w:p w14:paraId="507DD175">
      <w:pPr>
        <w:spacing w:line="560" w:lineRule="exact"/>
        <w:ind w:firstLine="640" w:firstLineChars="200"/>
        <w:rPr>
          <w:rFonts w:ascii="黑体" w:hAnsi="黑体" w:eastAsia="黑体"/>
          <w:sz w:val="32"/>
          <w:szCs w:val="32"/>
        </w:rPr>
      </w:pPr>
      <w:r>
        <w:rPr>
          <w:rFonts w:hint="eastAsia" w:ascii="仿宋_GB2312" w:eastAsia="仿宋_GB2312"/>
          <w:sz w:val="32"/>
          <w:szCs w:val="32"/>
        </w:rPr>
        <w:t>负责处理全市受案范围内的劳动、人事争议案件及上级交办的案件；参与协调处理涉及人力资源和社会保障工作的突发涉稳事件；依法组织协调处理跨地区的劳动、人事争议；负责全市劳动人事争议仲裁专、兼职仲裁员和调解员的培训、考核、任免、管理工作；指导、协调全市劳动人事争议调解仲裁工作；指导全市劳动人事争议调解组织建设，指导开展劳动人事争议预防工作；劳动人事争议仲裁报表报送；研究提出劳动人事争议仲裁政策的意见，制定并组织实施劳动人事仲裁中长期规划。</w:t>
      </w:r>
    </w:p>
    <w:p w14:paraId="5283B015">
      <w:pPr>
        <w:spacing w:line="560" w:lineRule="exact"/>
        <w:ind w:firstLine="640" w:firstLineChars="200"/>
        <w:rPr>
          <w:rFonts w:ascii="黑体" w:hAnsi="黑体" w:eastAsia="黑体"/>
          <w:sz w:val="32"/>
          <w:szCs w:val="32"/>
        </w:rPr>
      </w:pPr>
      <w:r>
        <w:rPr>
          <w:rFonts w:hint="eastAsia" w:ascii="仿宋_GB2312" w:eastAsia="仿宋_GB2312"/>
          <w:sz w:val="32"/>
          <w:szCs w:val="32"/>
        </w:rPr>
        <w:t>2．项目立项、资金申报的依据</w:t>
      </w:r>
    </w:p>
    <w:p w14:paraId="2C41EA94">
      <w:pPr>
        <w:spacing w:line="560" w:lineRule="exact"/>
        <w:ind w:firstLine="640" w:firstLineChars="200"/>
        <w:rPr>
          <w:rFonts w:ascii="黑体" w:hAnsi="黑体" w:eastAsia="黑体"/>
          <w:sz w:val="32"/>
          <w:szCs w:val="32"/>
        </w:rPr>
      </w:pPr>
      <w:r>
        <w:rPr>
          <w:rFonts w:hint="eastAsia" w:ascii="仿宋_GB2312" w:eastAsia="仿宋_GB2312"/>
          <w:sz w:val="32"/>
          <w:szCs w:val="32"/>
        </w:rPr>
        <w:t>市劳动人事争议仲裁院系市人力资源和社会保障局下属财政全额拨款事业单位，自2014年财务独立后办公经费运行一直比较困难，为保障仲裁调解工作正常运行，每年都向市财政提出追加经费的申请。2019年9月26日，市人力资源社会保障局和市财政局联合向市政府提出申请（攀人社〔2019〕106号）并获得批准，即市劳动人事争议仲裁院3名办案辅助人员经费纳入财政预算，用工经费参照《攀枝花市市级机关事业单位编外合同制用工管理办法》中管理岗位用工标准，每人每年3.6万元，另按0.35的综合系数核定由用人单位承担的社会保险及住房公积金费用。</w:t>
      </w:r>
    </w:p>
    <w:p w14:paraId="2E66832E">
      <w:pPr>
        <w:spacing w:line="560" w:lineRule="exact"/>
        <w:ind w:firstLine="640" w:firstLineChars="200"/>
        <w:rPr>
          <w:rFonts w:ascii="黑体" w:hAnsi="黑体" w:eastAsia="黑体"/>
          <w:sz w:val="32"/>
          <w:szCs w:val="32"/>
        </w:rPr>
      </w:pPr>
      <w:r>
        <w:rPr>
          <w:rFonts w:hint="eastAsia" w:ascii="仿宋_GB2312" w:eastAsia="仿宋_GB2312"/>
          <w:sz w:val="32"/>
          <w:szCs w:val="32"/>
        </w:rPr>
        <w:t>3．资金管理办法制定情况，资金支持具体项目的条件、范围与支持方式概况</w:t>
      </w:r>
    </w:p>
    <w:p w14:paraId="60BFF510">
      <w:pPr>
        <w:spacing w:line="560" w:lineRule="exact"/>
        <w:ind w:firstLine="640" w:firstLineChars="200"/>
        <w:rPr>
          <w:rFonts w:ascii="黑体" w:hAnsi="黑体" w:eastAsia="黑体"/>
          <w:sz w:val="32"/>
          <w:szCs w:val="32"/>
        </w:rPr>
      </w:pPr>
      <w:r>
        <w:rPr>
          <w:rFonts w:hint="eastAsia" w:ascii="仿宋_GB2312" w:eastAsia="仿宋_GB2312"/>
          <w:sz w:val="32"/>
          <w:szCs w:val="32"/>
        </w:rPr>
        <w:t>严格按照攀人社〔2019〕106号文，参照《攀枝花市市级机关事业单位编外合同制用工管理办法》中管理岗位用工标准使用经费。</w:t>
      </w:r>
    </w:p>
    <w:p w14:paraId="175E29E5">
      <w:pPr>
        <w:spacing w:line="560" w:lineRule="exact"/>
        <w:ind w:firstLine="640" w:firstLineChars="200"/>
        <w:rPr>
          <w:rFonts w:ascii="黑体" w:hAnsi="黑体" w:eastAsia="黑体"/>
          <w:sz w:val="32"/>
          <w:szCs w:val="32"/>
        </w:rPr>
      </w:pPr>
      <w:r>
        <w:rPr>
          <w:rFonts w:hint="eastAsia" w:ascii="仿宋_GB2312" w:eastAsia="仿宋_GB2312"/>
          <w:sz w:val="32"/>
          <w:szCs w:val="32"/>
        </w:rPr>
        <w:t>4．资金分配的原则及考虑因素</w:t>
      </w:r>
    </w:p>
    <w:p w14:paraId="721F5F84">
      <w:pPr>
        <w:spacing w:line="560" w:lineRule="exact"/>
        <w:ind w:firstLine="640" w:firstLineChars="200"/>
        <w:rPr>
          <w:rFonts w:ascii="黑体" w:hAnsi="黑体" w:eastAsia="黑体"/>
          <w:sz w:val="32"/>
          <w:szCs w:val="32"/>
        </w:rPr>
      </w:pPr>
      <w:r>
        <w:rPr>
          <w:rFonts w:hint="eastAsia" w:ascii="仿宋_GB2312" w:eastAsia="仿宋_GB2312"/>
          <w:sz w:val="32"/>
          <w:szCs w:val="32"/>
        </w:rPr>
        <w:t>该项目资金仅用于办案辅助人员。</w:t>
      </w:r>
    </w:p>
    <w:p w14:paraId="13CAF995">
      <w:pPr>
        <w:spacing w:line="560" w:lineRule="exact"/>
        <w:ind w:firstLine="640" w:firstLineChars="200"/>
        <w:rPr>
          <w:rFonts w:ascii="楷体" w:hAnsi="楷体" w:eastAsia="楷体"/>
          <w:sz w:val="32"/>
          <w:szCs w:val="32"/>
        </w:rPr>
      </w:pPr>
      <w:r>
        <w:rPr>
          <w:rFonts w:hint="eastAsia" w:ascii="楷体" w:hAnsi="楷体" w:eastAsia="楷体"/>
          <w:sz w:val="32"/>
          <w:szCs w:val="32"/>
        </w:rPr>
        <w:t>（二）项目绩效目标</w:t>
      </w:r>
    </w:p>
    <w:p w14:paraId="4159C862">
      <w:pPr>
        <w:spacing w:line="560" w:lineRule="exact"/>
        <w:ind w:firstLine="640" w:firstLineChars="200"/>
        <w:rPr>
          <w:rFonts w:ascii="楷体" w:hAnsi="楷体" w:eastAsia="楷体"/>
          <w:sz w:val="32"/>
          <w:szCs w:val="32"/>
        </w:rPr>
      </w:pPr>
      <w:r>
        <w:rPr>
          <w:rFonts w:hint="eastAsia" w:ascii="仿宋_GB2312" w:eastAsia="仿宋_GB2312"/>
          <w:sz w:val="32"/>
          <w:szCs w:val="32"/>
        </w:rPr>
        <w:t>1．项目主要内容</w:t>
      </w:r>
    </w:p>
    <w:p w14:paraId="22C7DECF">
      <w:pPr>
        <w:spacing w:line="560" w:lineRule="exact"/>
        <w:ind w:firstLine="640" w:firstLineChars="200"/>
        <w:rPr>
          <w:rFonts w:ascii="楷体" w:hAnsi="楷体" w:eastAsia="楷体"/>
          <w:sz w:val="32"/>
          <w:szCs w:val="32"/>
        </w:rPr>
      </w:pPr>
      <w:r>
        <w:rPr>
          <w:rFonts w:hint="eastAsia" w:ascii="仿宋_GB2312" w:eastAsia="仿宋_GB2312"/>
          <w:sz w:val="32"/>
          <w:szCs w:val="32"/>
        </w:rPr>
        <w:t>根据省上政策规定和市劳动人事争议仲裁院的实际工作需要，为及时妥善处理劳动人事争议案件，维护和谐劳动关系，建议将市劳动人事争议仲裁院 3 名办案辅助人员经费纳入财政预算，用工经费参照《攀故花市市级机关事业单位编外合同制用工管理办法》中管理岗位用工标准，每人每年3.6万元，另按照0.35的综合系数核定由用人单位承担的社会保险及住房公积金费用。即：财政每年核拨市劳动人事争议仲裁院3名办案辅助人员用工包干经费14.58万元。</w:t>
      </w:r>
    </w:p>
    <w:p w14:paraId="751556A1">
      <w:pPr>
        <w:spacing w:line="560" w:lineRule="exact"/>
        <w:ind w:firstLine="640" w:firstLineChars="200"/>
        <w:rPr>
          <w:rFonts w:ascii="仿宋_GB2312" w:eastAsia="仿宋_GB2312"/>
          <w:sz w:val="32"/>
          <w:szCs w:val="32"/>
        </w:rPr>
      </w:pPr>
      <w:r>
        <w:rPr>
          <w:rFonts w:hint="eastAsia" w:ascii="仿宋_GB2312" w:eastAsia="仿宋_GB2312"/>
          <w:sz w:val="32"/>
          <w:szCs w:val="32"/>
        </w:rPr>
        <w:t>2．项目应实现的具体绩效目标，包括目标的量化、细化情况以及项目实施进度计划等。</w:t>
      </w:r>
    </w:p>
    <w:p w14:paraId="3FCC1100">
      <w:pPr>
        <w:spacing w:line="560" w:lineRule="exact"/>
        <w:ind w:firstLine="640" w:firstLineChars="200"/>
        <w:rPr>
          <w:rFonts w:ascii="楷体" w:hAnsi="楷体" w:eastAsia="楷体"/>
          <w:sz w:val="32"/>
          <w:szCs w:val="32"/>
        </w:rPr>
      </w:pPr>
      <w:r>
        <w:rPr>
          <w:rFonts w:hint="eastAsia" w:ascii="仿宋_GB2312" w:eastAsia="仿宋_GB2312"/>
          <w:sz w:val="32"/>
          <w:szCs w:val="32"/>
        </w:rPr>
        <w:t>为保障市劳动人事争议仲裁院主体工作的正常开展，对案件卷宗管理、法律文书管理和送达、书记员、财务行政等办案辅助工作提出了具体的要求和规定：</w:t>
      </w:r>
    </w:p>
    <w:p w14:paraId="5EC5FF8F">
      <w:pPr>
        <w:spacing w:line="560" w:lineRule="exact"/>
        <w:ind w:firstLine="640" w:firstLineChars="200"/>
        <w:rPr>
          <w:rFonts w:ascii="仿宋_GB2312" w:eastAsia="仿宋_GB2312"/>
          <w:sz w:val="32"/>
          <w:szCs w:val="32"/>
        </w:rPr>
      </w:pPr>
      <w:r>
        <w:rPr>
          <w:rFonts w:hint="eastAsia" w:ascii="仿宋_GB2312" w:eastAsia="仿宋_GB2312"/>
          <w:sz w:val="32"/>
          <w:szCs w:val="32"/>
        </w:rPr>
        <w:t>(1)案件卷宗管理</w:t>
      </w:r>
    </w:p>
    <w:p w14:paraId="79C6B256">
      <w:pPr>
        <w:spacing w:line="560" w:lineRule="exact"/>
        <w:ind w:firstLine="640" w:firstLineChars="200"/>
        <w:rPr>
          <w:rFonts w:ascii="仿宋_GB2312" w:eastAsia="仿宋_GB2312"/>
          <w:sz w:val="32"/>
          <w:szCs w:val="32"/>
        </w:rPr>
      </w:pPr>
      <w:r>
        <w:rPr>
          <w:rFonts w:hint="eastAsia" w:ascii="仿宋_GB2312" w:eastAsia="仿宋_GB2312"/>
          <w:sz w:val="32"/>
          <w:szCs w:val="32"/>
        </w:rPr>
        <w:t>①案卷要求按年度、类别相结合和“一卷一案”的原则立卷归档，做到文书材料齐全、手续齐备、科学编目、利于检索、装订规范、利于保存。</w:t>
      </w:r>
    </w:p>
    <w:p w14:paraId="3B456F79">
      <w:pPr>
        <w:spacing w:line="560" w:lineRule="exact"/>
        <w:ind w:firstLine="640" w:firstLineChars="200"/>
        <w:rPr>
          <w:rFonts w:ascii="仿宋_GB2312" w:eastAsia="仿宋_GB2312"/>
          <w:sz w:val="32"/>
          <w:szCs w:val="32"/>
        </w:rPr>
      </w:pPr>
      <w:r>
        <w:rPr>
          <w:rFonts w:hint="eastAsia" w:ascii="仿宋_GB2312" w:eastAsia="仿宋_GB2312"/>
          <w:sz w:val="32"/>
          <w:szCs w:val="32"/>
        </w:rPr>
        <w:t>②案卷要求归档率100%。案件结案一个月内完成档案移交。案卷移交后，任何人不得擅自抽取、调换、涂改、增删、污损卷内文书材料。</w:t>
      </w:r>
    </w:p>
    <w:p w14:paraId="290DF441">
      <w:pPr>
        <w:spacing w:line="560" w:lineRule="exact"/>
        <w:ind w:firstLine="640" w:firstLineChars="200"/>
        <w:rPr>
          <w:rFonts w:ascii="仿宋_GB2312" w:eastAsia="仿宋_GB2312"/>
          <w:sz w:val="32"/>
          <w:szCs w:val="32"/>
        </w:rPr>
      </w:pPr>
      <w:r>
        <w:rPr>
          <w:rFonts w:hint="eastAsia" w:ascii="仿宋_GB2312" w:eastAsia="仿宋_GB2312"/>
          <w:sz w:val="32"/>
          <w:szCs w:val="32"/>
        </w:rPr>
        <w:t>③严格遵守查阅制度。对案卷正卷材料的查阅、复制必须严格履行登记手续，不允许私自查阅、复制案卷材料。</w:t>
      </w:r>
    </w:p>
    <w:p w14:paraId="0BA414B8">
      <w:pPr>
        <w:spacing w:line="560" w:lineRule="exact"/>
        <w:ind w:firstLine="640" w:firstLineChars="200"/>
        <w:rPr>
          <w:rFonts w:ascii="仿宋_GB2312" w:eastAsia="仿宋_GB2312"/>
          <w:sz w:val="32"/>
          <w:szCs w:val="32"/>
        </w:rPr>
      </w:pPr>
      <w:r>
        <w:rPr>
          <w:rFonts w:hint="eastAsia" w:ascii="仿宋_GB2312" w:eastAsia="仿宋_GB2312"/>
          <w:sz w:val="32"/>
          <w:szCs w:val="32"/>
        </w:rPr>
        <w:t>(2)书记员</w:t>
      </w:r>
    </w:p>
    <w:p w14:paraId="225FDC82">
      <w:pPr>
        <w:spacing w:line="560" w:lineRule="exact"/>
        <w:ind w:firstLine="640" w:firstLineChars="200"/>
        <w:rPr>
          <w:rFonts w:ascii="仿宋_GB2312" w:eastAsia="仿宋_GB2312"/>
          <w:sz w:val="32"/>
          <w:szCs w:val="32"/>
        </w:rPr>
      </w:pPr>
      <w:r>
        <w:rPr>
          <w:rFonts w:hint="eastAsia" w:ascii="仿宋_GB2312" w:eastAsia="仿宋_GB2312"/>
          <w:sz w:val="32"/>
          <w:szCs w:val="32"/>
        </w:rPr>
        <w:t>①协助仲裁员的指示做好仲裁（开庭）准备工作，收集相关材料，查明当事人和其他仲裁参与人是否到庭，宣布仲裁庭纪律，确保仲裁庭顺利开庭。</w:t>
      </w:r>
    </w:p>
    <w:p w14:paraId="15866DB0">
      <w:pPr>
        <w:spacing w:line="560" w:lineRule="exact"/>
        <w:ind w:firstLine="640" w:firstLineChars="200"/>
        <w:rPr>
          <w:rFonts w:ascii="仿宋_GB2312" w:eastAsia="仿宋_GB2312"/>
          <w:sz w:val="32"/>
          <w:szCs w:val="32"/>
        </w:rPr>
      </w:pPr>
      <w:r>
        <w:rPr>
          <w:rFonts w:hint="eastAsia" w:ascii="仿宋_GB2312" w:eastAsia="仿宋_GB2312"/>
          <w:sz w:val="32"/>
          <w:szCs w:val="32"/>
        </w:rPr>
        <w:t>②如实、完整记录仲裁庭审活动，做好庭审中的工作。</w:t>
      </w:r>
    </w:p>
    <w:p w14:paraId="79F7F4AD">
      <w:pPr>
        <w:spacing w:line="560" w:lineRule="exact"/>
        <w:ind w:firstLine="640" w:firstLineChars="200"/>
        <w:rPr>
          <w:rFonts w:ascii="仿宋_GB2312" w:eastAsia="仿宋_GB2312"/>
          <w:sz w:val="32"/>
          <w:szCs w:val="32"/>
        </w:rPr>
      </w:pPr>
      <w:r>
        <w:rPr>
          <w:rFonts w:hint="eastAsia" w:ascii="仿宋_GB2312" w:eastAsia="仿宋_GB2312"/>
          <w:sz w:val="32"/>
          <w:szCs w:val="32"/>
        </w:rPr>
        <w:t>③做好庭审后相关工作，协助仲裁员做调解和其它事宜。</w:t>
      </w:r>
    </w:p>
    <w:p w14:paraId="416C6163">
      <w:pPr>
        <w:spacing w:line="560" w:lineRule="exact"/>
        <w:ind w:firstLine="640" w:firstLineChars="200"/>
        <w:rPr>
          <w:rFonts w:ascii="仿宋_GB2312" w:eastAsia="仿宋_GB2312"/>
          <w:sz w:val="32"/>
          <w:szCs w:val="32"/>
        </w:rPr>
      </w:pPr>
      <w:r>
        <w:rPr>
          <w:rFonts w:hint="eastAsia" w:ascii="仿宋_GB2312" w:eastAsia="仿宋_GB2312"/>
          <w:sz w:val="32"/>
          <w:szCs w:val="32"/>
        </w:rPr>
        <w:t>④做好仲裁文书的送达工作，在法律规定期限内送达，送达必须有送达回执。留置送达、张贴时驾驶公务车充当驾驶员，应遵守公务车管理规定和交通管理规定。</w:t>
      </w:r>
    </w:p>
    <w:p w14:paraId="1EBEB232">
      <w:pPr>
        <w:spacing w:line="560" w:lineRule="exact"/>
        <w:ind w:firstLine="640" w:firstLineChars="200"/>
        <w:rPr>
          <w:rFonts w:ascii="仿宋_GB2312" w:eastAsia="仿宋_GB2312"/>
          <w:sz w:val="32"/>
          <w:szCs w:val="32"/>
        </w:rPr>
      </w:pPr>
      <w:r>
        <w:rPr>
          <w:rFonts w:hint="eastAsia" w:ascii="仿宋_GB2312" w:eastAsia="仿宋_GB2312"/>
          <w:sz w:val="32"/>
          <w:szCs w:val="32"/>
        </w:rPr>
        <w:t>⑤制作好笔录，依法制作庭审、调查、讨论等笔录，系统学习了解笔录的性质、作用、特点和要求，熟悉制作各种笔录的具体方法。</w:t>
      </w:r>
    </w:p>
    <w:p w14:paraId="7CBCB453">
      <w:pPr>
        <w:spacing w:line="560" w:lineRule="exact"/>
        <w:ind w:firstLine="640" w:firstLineChars="200"/>
        <w:rPr>
          <w:rFonts w:ascii="仿宋_GB2312" w:eastAsia="仿宋_GB2312"/>
          <w:sz w:val="32"/>
          <w:szCs w:val="32"/>
        </w:rPr>
      </w:pPr>
      <w:r>
        <w:rPr>
          <w:rFonts w:hint="eastAsia" w:ascii="仿宋_GB2312" w:eastAsia="仿宋_GB2312"/>
          <w:sz w:val="32"/>
          <w:szCs w:val="32"/>
        </w:rPr>
        <w:t>⑥调处简易纠纷，校对仲裁文书，协助仲裁员制作仲裁裁决书。</w:t>
      </w:r>
    </w:p>
    <w:p w14:paraId="16F3D6E7">
      <w:pPr>
        <w:spacing w:line="560" w:lineRule="exact"/>
        <w:ind w:firstLine="640" w:firstLineChars="200"/>
        <w:rPr>
          <w:rFonts w:ascii="仿宋_GB2312" w:eastAsia="仿宋_GB2312"/>
          <w:sz w:val="32"/>
          <w:szCs w:val="32"/>
        </w:rPr>
      </w:pPr>
      <w:r>
        <w:rPr>
          <w:rFonts w:hint="eastAsia" w:ascii="仿宋_GB2312" w:eastAsia="仿宋_GB2312"/>
          <w:sz w:val="32"/>
          <w:szCs w:val="32"/>
        </w:rPr>
        <w:t>(3)财务行政</w:t>
      </w:r>
    </w:p>
    <w:p w14:paraId="267E5DA0">
      <w:pPr>
        <w:spacing w:line="560" w:lineRule="exact"/>
        <w:ind w:firstLine="640" w:firstLineChars="200"/>
        <w:rPr>
          <w:rFonts w:ascii="仿宋_GB2312" w:eastAsia="仿宋_GB2312"/>
          <w:sz w:val="32"/>
          <w:szCs w:val="32"/>
        </w:rPr>
      </w:pPr>
      <w:r>
        <w:rPr>
          <w:rFonts w:hint="eastAsia" w:ascii="仿宋_GB2312" w:eastAsia="仿宋_GB2312"/>
          <w:sz w:val="32"/>
          <w:szCs w:val="32"/>
        </w:rPr>
        <w:t>①要求财务管理符合财务规定，完成每年的预算决算工作，按要求报送财务报表。</w:t>
      </w:r>
    </w:p>
    <w:p w14:paraId="3D620AFD">
      <w:pPr>
        <w:spacing w:line="560" w:lineRule="exact"/>
        <w:ind w:firstLine="640" w:firstLineChars="200"/>
        <w:rPr>
          <w:rFonts w:ascii="仿宋_GB2312" w:eastAsia="仿宋_GB2312"/>
          <w:sz w:val="32"/>
          <w:szCs w:val="32"/>
        </w:rPr>
      </w:pPr>
      <w:r>
        <w:rPr>
          <w:rFonts w:hint="eastAsia" w:ascii="仿宋_GB2312" w:eastAsia="仿宋_GB2312"/>
          <w:sz w:val="32"/>
          <w:szCs w:val="32"/>
        </w:rPr>
        <w:t>②要求按时做好劳资、后勤保障工作。</w:t>
      </w:r>
    </w:p>
    <w:p w14:paraId="0A5A5A78">
      <w:pPr>
        <w:spacing w:line="560" w:lineRule="exact"/>
        <w:ind w:firstLine="640" w:firstLineChars="200"/>
        <w:rPr>
          <w:rFonts w:ascii="仿宋_GB2312" w:eastAsia="仿宋_GB2312"/>
          <w:sz w:val="32"/>
          <w:szCs w:val="32"/>
        </w:rPr>
      </w:pPr>
      <w:r>
        <w:rPr>
          <w:rFonts w:hint="eastAsia" w:ascii="仿宋_GB2312" w:eastAsia="仿宋_GB2312"/>
          <w:sz w:val="32"/>
          <w:szCs w:val="32"/>
        </w:rPr>
        <w:t>③要求做好群众来信、来访的处理和接待工作。</w:t>
      </w:r>
    </w:p>
    <w:p w14:paraId="479A515B">
      <w:pPr>
        <w:spacing w:line="560" w:lineRule="exact"/>
        <w:ind w:firstLine="640" w:firstLineChars="200"/>
        <w:rPr>
          <w:rFonts w:ascii="仿宋_GB2312" w:eastAsia="仿宋_GB2312"/>
          <w:sz w:val="32"/>
          <w:szCs w:val="32"/>
        </w:rPr>
      </w:pPr>
      <w:r>
        <w:rPr>
          <w:rFonts w:hint="eastAsia" w:ascii="仿宋_GB2312" w:eastAsia="仿宋_GB2312"/>
          <w:sz w:val="32"/>
          <w:szCs w:val="32"/>
        </w:rPr>
        <w:t>从2019年开始，市仲裁院聘用3名编外人员从事以上办案辅助工作，使专职仲裁员的数量从4名增加到6名，年均办案量下降到216件。同时，专职仲裁员在办案的基础上加大经历投入到调解预防工作中，使调解率从90%上升到95%以上，为和谐劳动关系提供更大的智力支持。</w:t>
      </w:r>
    </w:p>
    <w:p w14:paraId="00A13A7C">
      <w:pPr>
        <w:spacing w:line="560" w:lineRule="exact"/>
        <w:ind w:firstLine="640" w:firstLineChars="200"/>
        <w:rPr>
          <w:rFonts w:ascii="仿宋_GB2312" w:eastAsia="仿宋_GB2312"/>
          <w:sz w:val="32"/>
          <w:szCs w:val="32"/>
        </w:rPr>
      </w:pPr>
      <w:r>
        <w:rPr>
          <w:rFonts w:hint="eastAsia" w:ascii="仿宋_GB2312" w:eastAsia="仿宋_GB2312"/>
          <w:sz w:val="32"/>
          <w:szCs w:val="32"/>
        </w:rPr>
        <w:t xml:space="preserve">3.分析评价申报内容是否与实际相符，申报目标是否合理可行 </w:t>
      </w:r>
    </w:p>
    <w:p w14:paraId="1562C992">
      <w:pPr>
        <w:spacing w:line="560" w:lineRule="exact"/>
        <w:ind w:firstLine="640" w:firstLineChars="200"/>
        <w:rPr>
          <w:rFonts w:ascii="仿宋_GB2312" w:eastAsia="仿宋_GB2312"/>
          <w:sz w:val="32"/>
          <w:szCs w:val="32"/>
        </w:rPr>
      </w:pPr>
      <w:r>
        <w:rPr>
          <w:rFonts w:hint="eastAsia" w:ascii="仿宋_GB2312" w:eastAsia="仿宋_GB2312"/>
          <w:sz w:val="32"/>
          <w:szCs w:val="32"/>
        </w:rPr>
        <w:t>所有申报内容与实际相符，申报目标合理可行。</w:t>
      </w:r>
    </w:p>
    <w:p w14:paraId="1528392D">
      <w:pPr>
        <w:spacing w:line="560" w:lineRule="exact"/>
        <w:ind w:firstLine="640" w:firstLineChars="200"/>
        <w:rPr>
          <w:rFonts w:ascii="黑体" w:hAnsi="黑体" w:eastAsia="黑体"/>
          <w:sz w:val="32"/>
          <w:szCs w:val="32"/>
        </w:rPr>
      </w:pPr>
      <w:r>
        <w:rPr>
          <w:rFonts w:hint="eastAsia" w:ascii="黑体" w:hAnsi="黑体" w:eastAsia="黑体"/>
          <w:sz w:val="32"/>
          <w:szCs w:val="32"/>
        </w:rPr>
        <w:t>二、项目资金申报及使用情况</w:t>
      </w:r>
    </w:p>
    <w:p w14:paraId="436CD418">
      <w:pPr>
        <w:spacing w:line="560" w:lineRule="exact"/>
        <w:ind w:firstLine="640" w:firstLineChars="200"/>
        <w:rPr>
          <w:rFonts w:ascii="黑体" w:hAnsi="黑体" w:eastAsia="黑体"/>
          <w:sz w:val="32"/>
          <w:szCs w:val="32"/>
        </w:rPr>
      </w:pPr>
      <w:r>
        <w:rPr>
          <w:rFonts w:hint="eastAsia" w:ascii="楷体" w:hAnsi="楷体" w:eastAsia="楷体"/>
          <w:sz w:val="32"/>
          <w:szCs w:val="32"/>
        </w:rPr>
        <w:t>（一）项目资金申报及批复情况</w:t>
      </w:r>
    </w:p>
    <w:p w14:paraId="514100A2">
      <w:pPr>
        <w:spacing w:line="560" w:lineRule="exact"/>
        <w:ind w:firstLine="640" w:firstLineChars="200"/>
        <w:rPr>
          <w:rFonts w:ascii="黑体" w:hAnsi="黑体" w:eastAsia="黑体"/>
          <w:sz w:val="32"/>
          <w:szCs w:val="32"/>
        </w:rPr>
      </w:pPr>
      <w:r>
        <w:rPr>
          <w:rFonts w:hint="eastAsia" w:ascii="仿宋_GB2312" w:eastAsia="仿宋_GB2312"/>
          <w:sz w:val="32"/>
          <w:szCs w:val="32"/>
        </w:rPr>
        <w:t>市劳动人事争议仲裁院系市人力资源和社会保障局下属财政全额拨款事业单位，自2014年财务独立后办公经费运行一直比较困难，为保障仲裁调解工作正常运行，每年都向市财政提出追加经费的申请。2019年9月26日，市人力资源社会保障局和市财政局联合向市政府提出申请（攀人社〔2019〕106号）并获得批准，即市劳动人事争议仲裁院3名办案辅助人员经费纳入财政预算，用工经费参照《攀枝花市市级机关事业单位编外合同制用工管理办法》中管理岗位用工标准，每人每年3.6万元，另按0.35的综合系数核定由用人单位承担的社会保险及住房公积金费用。</w:t>
      </w:r>
    </w:p>
    <w:p w14:paraId="25495338">
      <w:pPr>
        <w:spacing w:line="560" w:lineRule="exact"/>
        <w:ind w:firstLine="640" w:firstLineChars="200"/>
        <w:rPr>
          <w:rFonts w:ascii="黑体" w:hAnsi="黑体" w:eastAsia="黑体"/>
          <w:sz w:val="32"/>
          <w:szCs w:val="32"/>
        </w:rPr>
      </w:pPr>
      <w:r>
        <w:rPr>
          <w:rFonts w:hint="eastAsia" w:ascii="楷体" w:hAnsi="楷体" w:eastAsia="楷体"/>
          <w:sz w:val="32"/>
          <w:szCs w:val="32"/>
        </w:rPr>
        <w:t>（二）资金计划、到位及使用情况</w:t>
      </w:r>
    </w:p>
    <w:p w14:paraId="1FD50B63">
      <w:pPr>
        <w:spacing w:line="560" w:lineRule="exact"/>
        <w:ind w:firstLine="640" w:firstLineChars="200"/>
        <w:rPr>
          <w:rFonts w:ascii="黑体" w:hAnsi="黑体" w:eastAsia="黑体"/>
          <w:sz w:val="32"/>
          <w:szCs w:val="32"/>
        </w:rPr>
      </w:pPr>
      <w:r>
        <w:rPr>
          <w:rFonts w:hint="eastAsia" w:ascii="仿宋_GB2312" w:eastAsia="仿宋_GB2312"/>
          <w:sz w:val="32"/>
          <w:szCs w:val="32"/>
        </w:rPr>
        <w:t>1．资金计划及到位</w:t>
      </w:r>
    </w:p>
    <w:p w14:paraId="79F68A33">
      <w:pPr>
        <w:spacing w:line="560" w:lineRule="exact"/>
        <w:ind w:firstLine="640" w:firstLineChars="200"/>
        <w:rPr>
          <w:rFonts w:ascii="楷体" w:hAnsi="楷体" w:eastAsia="楷体"/>
          <w:sz w:val="32"/>
          <w:szCs w:val="32"/>
        </w:rPr>
      </w:pPr>
      <w:r>
        <w:rPr>
          <w:rFonts w:hint="eastAsia" w:ascii="仿宋_GB2312" w:eastAsia="仿宋_GB2312"/>
          <w:sz w:val="32"/>
          <w:szCs w:val="32"/>
        </w:rPr>
        <w:t>2020年该资金由财政在统一拨付完成。</w:t>
      </w:r>
    </w:p>
    <w:p w14:paraId="73394054">
      <w:pPr>
        <w:spacing w:line="560" w:lineRule="exact"/>
        <w:ind w:firstLine="640" w:firstLineChars="200"/>
        <w:rPr>
          <w:rFonts w:ascii="楷体" w:hAnsi="楷体" w:eastAsia="楷体"/>
          <w:sz w:val="32"/>
          <w:szCs w:val="32"/>
        </w:rPr>
      </w:pPr>
      <w:r>
        <w:rPr>
          <w:rFonts w:hint="eastAsia" w:ascii="仿宋_GB2312" w:eastAsia="仿宋_GB2312"/>
          <w:sz w:val="32"/>
          <w:szCs w:val="32"/>
        </w:rPr>
        <w:t>2．资金使用</w:t>
      </w:r>
    </w:p>
    <w:p w14:paraId="1EAC640E">
      <w:pPr>
        <w:spacing w:line="560" w:lineRule="exact"/>
        <w:ind w:firstLine="640" w:firstLineChars="200"/>
        <w:rPr>
          <w:rFonts w:ascii="楷体" w:hAnsi="楷体" w:eastAsia="楷体"/>
          <w:sz w:val="32"/>
          <w:szCs w:val="32"/>
        </w:rPr>
      </w:pPr>
      <w:r>
        <w:rPr>
          <w:rFonts w:hint="eastAsia" w:ascii="仿宋_GB2312" w:eastAsia="仿宋_GB2312"/>
          <w:sz w:val="32"/>
          <w:szCs w:val="32"/>
        </w:rPr>
        <w:t>①薪酬结构:聘用人员实行结构工资制度，即月工资总额由基本工资、工龄工资、办案补助、绩效工资、交通补贴等组成。</w:t>
      </w:r>
      <w:r>
        <w:rPr>
          <w:rFonts w:hint="eastAsia" w:ascii="楷体" w:hAnsi="楷体" w:eastAsia="楷体"/>
          <w:sz w:val="32"/>
          <w:szCs w:val="32"/>
        </w:rPr>
        <w:t xml:space="preserve"> </w:t>
      </w:r>
    </w:p>
    <w:p w14:paraId="7EB3C094">
      <w:pPr>
        <w:spacing w:line="560" w:lineRule="exact"/>
        <w:ind w:firstLine="640" w:firstLineChars="200"/>
        <w:rPr>
          <w:rFonts w:ascii="楷体" w:hAnsi="楷体" w:eastAsia="楷体"/>
          <w:sz w:val="32"/>
          <w:szCs w:val="32"/>
        </w:rPr>
      </w:pPr>
      <w:r>
        <w:rPr>
          <w:rFonts w:hint="eastAsia" w:ascii="仿宋_GB2312" w:eastAsia="仿宋_GB2312"/>
          <w:sz w:val="32"/>
          <w:szCs w:val="32"/>
        </w:rPr>
        <w:t>②基本工资:按照统筹地区最低工资标准的1.2倍确定，并随着最低工资标准的调整而调整。</w:t>
      </w:r>
    </w:p>
    <w:p w14:paraId="5D516EDC">
      <w:pPr>
        <w:spacing w:line="560" w:lineRule="exact"/>
        <w:ind w:firstLine="640" w:firstLineChars="200"/>
        <w:rPr>
          <w:rFonts w:ascii="楷体" w:hAnsi="楷体" w:eastAsia="楷体"/>
          <w:sz w:val="32"/>
          <w:szCs w:val="32"/>
        </w:rPr>
      </w:pPr>
      <w:r>
        <w:rPr>
          <w:rFonts w:hint="eastAsia" w:ascii="仿宋_GB2312" w:eastAsia="仿宋_GB2312"/>
          <w:sz w:val="32"/>
          <w:szCs w:val="32"/>
        </w:rPr>
        <w:t>③工龄工资:按自然年度计算，每一年工龄工资标准为50元。</w:t>
      </w:r>
    </w:p>
    <w:p w14:paraId="771313D0">
      <w:pPr>
        <w:spacing w:line="560" w:lineRule="exact"/>
        <w:ind w:firstLine="640" w:firstLineChars="200"/>
        <w:rPr>
          <w:rFonts w:ascii="仿宋_GB2312" w:eastAsia="仿宋_GB2312"/>
          <w:sz w:val="32"/>
          <w:szCs w:val="32"/>
        </w:rPr>
      </w:pPr>
      <w:r>
        <w:rPr>
          <w:rFonts w:hint="eastAsia" w:ascii="仿宋_GB2312" w:eastAsia="仿宋_GB2312"/>
          <w:sz w:val="32"/>
          <w:szCs w:val="32"/>
        </w:rPr>
        <w:t>④办案补助:办案补助是对案件办理中产生的通信费、市内交通费、误餐费等直接与办案相关费用的补贴，具体标准为:担任书记员20元/件，10以下并案审理的集体案件40元/起，10以上并案审理的集体案件60元/起；担任仲裁员80元/件，10以下并案审理的集体案件160元/起，10以上并案审理的集体案件240元/起。</w:t>
      </w:r>
    </w:p>
    <w:p w14:paraId="72866F18">
      <w:pPr>
        <w:spacing w:line="560" w:lineRule="exact"/>
        <w:ind w:firstLine="640" w:firstLineChars="200"/>
        <w:rPr>
          <w:rFonts w:ascii="仿宋_GB2312" w:eastAsia="仿宋_GB2312"/>
          <w:sz w:val="32"/>
          <w:szCs w:val="32"/>
        </w:rPr>
      </w:pPr>
      <w:r>
        <w:rPr>
          <w:rFonts w:hint="eastAsia" w:ascii="仿宋_GB2312" w:eastAsia="仿宋_GB2312"/>
          <w:sz w:val="32"/>
          <w:szCs w:val="32"/>
        </w:rPr>
        <w:t>每月25日前由审理庭按实际结案数统计签章后报办公室。</w:t>
      </w:r>
    </w:p>
    <w:p w14:paraId="42294943">
      <w:pPr>
        <w:spacing w:line="560" w:lineRule="exact"/>
        <w:ind w:firstLine="640" w:firstLineChars="200"/>
        <w:rPr>
          <w:rFonts w:ascii="仿宋_GB2312" w:eastAsia="仿宋_GB2312"/>
          <w:sz w:val="32"/>
          <w:szCs w:val="32"/>
        </w:rPr>
      </w:pPr>
      <w:r>
        <w:rPr>
          <w:rFonts w:hint="eastAsia" w:ascii="仿宋_GB2312" w:eastAsia="仿宋_GB2312"/>
          <w:sz w:val="32"/>
          <w:szCs w:val="32"/>
        </w:rPr>
        <w:t>⑤绩效工资:绩效标准：按300元/月标准发放。</w:t>
      </w:r>
    </w:p>
    <w:p w14:paraId="1EA449A9">
      <w:pPr>
        <w:spacing w:line="560" w:lineRule="exact"/>
        <w:ind w:firstLine="640" w:firstLineChars="200"/>
        <w:rPr>
          <w:rFonts w:ascii="仿宋_GB2312" w:eastAsia="仿宋_GB2312"/>
          <w:sz w:val="32"/>
          <w:szCs w:val="32"/>
        </w:rPr>
      </w:pPr>
      <w:r>
        <w:rPr>
          <w:rFonts w:hint="eastAsia" w:ascii="仿宋_GB2312" w:eastAsia="仿宋_GB2312"/>
          <w:sz w:val="32"/>
          <w:szCs w:val="32"/>
        </w:rPr>
        <w:t xml:space="preserve">考核内容分为如期结案：每延期结案1件扣绩效50元，当月超过3件的，扣发当月全部绩效；如期移交:未如期移交1件扣绩效50元，当月超过3件的，扣发当月全部绩效；卷宗完整:卷宗不完整1件扣绩效50元，当月超过3件的，扣发当月全部绩效;文明办案：凡与当事人发生冲突（口角、肢体碰撞）的扣发当月全部绩效且视为不胜任本职工作;公正办案：凡发生影响案件公正处理行为的扣发当月全部绩效且视为不胜任本职工作;文书规范：凡发生文书不规范的1次扣考核奖50元，当月超过3次的，扣发当月全部绩效；因文书不规范已产生后果的扣发当月全部绩效且视为不胜任本职工作。    </w:t>
      </w:r>
    </w:p>
    <w:p w14:paraId="74DAFC66">
      <w:pPr>
        <w:spacing w:line="560" w:lineRule="exact"/>
        <w:ind w:firstLine="640" w:firstLineChars="200"/>
        <w:rPr>
          <w:rFonts w:ascii="仿宋_GB2312" w:eastAsia="仿宋_GB2312"/>
          <w:sz w:val="32"/>
          <w:szCs w:val="32"/>
        </w:rPr>
      </w:pPr>
      <w:r>
        <w:rPr>
          <w:rFonts w:hint="eastAsia" w:ascii="仿宋_GB2312" w:eastAsia="仿宋_GB2312"/>
          <w:sz w:val="32"/>
          <w:szCs w:val="32"/>
        </w:rPr>
        <w:t>发放办法：每月由审理庭统计签章后报办公室。</w:t>
      </w:r>
    </w:p>
    <w:p w14:paraId="22351356">
      <w:pPr>
        <w:spacing w:line="560" w:lineRule="exact"/>
        <w:ind w:firstLine="640" w:firstLineChars="200"/>
        <w:rPr>
          <w:rFonts w:ascii="仿宋_GB2312" w:eastAsia="仿宋_GB2312"/>
          <w:sz w:val="32"/>
          <w:szCs w:val="32"/>
        </w:rPr>
      </w:pPr>
      <w:r>
        <w:rPr>
          <w:rFonts w:hint="eastAsia" w:ascii="仿宋_GB2312" w:eastAsia="仿宋_GB2312"/>
          <w:sz w:val="32"/>
          <w:szCs w:val="32"/>
        </w:rPr>
        <w:t>2020年度财政拨款“办案辅助人员用工包干经费”项目资金收、支总计14.58万元。</w:t>
      </w:r>
    </w:p>
    <w:p w14:paraId="35268E88">
      <w:pPr>
        <w:spacing w:line="560" w:lineRule="exact"/>
        <w:ind w:firstLine="640" w:firstLineChars="200"/>
        <w:rPr>
          <w:rFonts w:ascii="仿宋_GB2312" w:eastAsia="仿宋_GB2312"/>
          <w:sz w:val="32"/>
          <w:szCs w:val="32"/>
        </w:rPr>
      </w:pPr>
      <w:r>
        <w:rPr>
          <w:rFonts w:hint="eastAsia" w:ascii="楷体" w:hAnsi="楷体" w:eastAsia="楷体"/>
          <w:sz w:val="32"/>
          <w:szCs w:val="32"/>
        </w:rPr>
        <w:t>（三）项目财务管理情况</w:t>
      </w:r>
    </w:p>
    <w:p w14:paraId="27870AE8">
      <w:pPr>
        <w:spacing w:line="560" w:lineRule="exact"/>
        <w:ind w:firstLine="640" w:firstLineChars="200"/>
        <w:rPr>
          <w:rFonts w:ascii="仿宋_GB2312" w:eastAsia="仿宋_GB2312"/>
          <w:sz w:val="32"/>
          <w:szCs w:val="32"/>
        </w:rPr>
      </w:pPr>
      <w:r>
        <w:rPr>
          <w:rFonts w:hint="eastAsia" w:ascii="仿宋_GB2312" w:eastAsia="仿宋_GB2312"/>
          <w:sz w:val="32"/>
          <w:szCs w:val="32"/>
        </w:rPr>
        <w:t>该项目经费严格按照财务管理制度进行管理，保证专款专用，不存在截留、滞留、挤占、挪用、套取、虚报、冒领的问题，资金发放复查由财务人员按照财务制度进行资金的审核、支付和核算，所有支出均以转账方式进行，在具体支付时手续是完善的，不存在虚假会计凭证的情况，会计严格执行财务管理制度，财务及时、核算规范。</w:t>
      </w:r>
    </w:p>
    <w:p w14:paraId="37183F3B">
      <w:pPr>
        <w:spacing w:line="560" w:lineRule="exact"/>
        <w:ind w:firstLine="640" w:firstLineChars="200"/>
        <w:rPr>
          <w:rFonts w:ascii="仿宋_GB2312" w:eastAsia="仿宋_GB2312"/>
          <w:sz w:val="32"/>
          <w:szCs w:val="32"/>
        </w:rPr>
      </w:pPr>
      <w:r>
        <w:rPr>
          <w:rFonts w:hint="eastAsia" w:ascii="黑体" w:hAnsi="黑体" w:eastAsia="黑体"/>
          <w:sz w:val="32"/>
          <w:szCs w:val="32"/>
        </w:rPr>
        <w:t>三、项目实施及管理情况</w:t>
      </w:r>
    </w:p>
    <w:p w14:paraId="452DE751">
      <w:pPr>
        <w:spacing w:line="560" w:lineRule="exact"/>
        <w:ind w:firstLine="640" w:firstLineChars="200"/>
        <w:rPr>
          <w:rFonts w:ascii="楷体" w:hAnsi="楷体" w:eastAsia="楷体"/>
          <w:sz w:val="32"/>
          <w:szCs w:val="32"/>
        </w:rPr>
      </w:pPr>
      <w:r>
        <w:rPr>
          <w:rFonts w:hint="eastAsia" w:ascii="楷体" w:hAnsi="楷体" w:eastAsia="楷体"/>
          <w:sz w:val="32"/>
          <w:szCs w:val="32"/>
        </w:rPr>
        <w:t>（一）项目组织架构及实施流程</w:t>
      </w:r>
    </w:p>
    <w:p w14:paraId="4E58C457">
      <w:pPr>
        <w:spacing w:line="560" w:lineRule="exact"/>
        <w:ind w:firstLine="640" w:firstLineChars="200"/>
        <w:rPr>
          <w:rFonts w:ascii="楷体" w:hAnsi="楷体" w:eastAsia="楷体"/>
          <w:sz w:val="32"/>
          <w:szCs w:val="32"/>
        </w:rPr>
      </w:pPr>
      <w:r>
        <w:rPr>
          <w:rFonts w:hint="eastAsia" w:ascii="仿宋_GB2312" w:eastAsia="仿宋_GB2312"/>
          <w:sz w:val="32"/>
          <w:szCs w:val="32"/>
        </w:rPr>
        <w:t>仲裁院副院长→①办公室（财务室）、②立案庭、③审理庭</w:t>
      </w:r>
    </w:p>
    <w:p w14:paraId="01021E98">
      <w:pPr>
        <w:spacing w:line="560" w:lineRule="exact"/>
        <w:ind w:firstLine="640" w:firstLineChars="200"/>
        <w:rPr>
          <w:rFonts w:ascii="楷体" w:hAnsi="楷体" w:eastAsia="楷体"/>
          <w:sz w:val="32"/>
          <w:szCs w:val="32"/>
        </w:rPr>
      </w:pPr>
      <w:r>
        <w:rPr>
          <w:rFonts w:hint="eastAsia" w:ascii="楷体" w:hAnsi="楷体" w:eastAsia="楷体"/>
          <w:sz w:val="32"/>
          <w:szCs w:val="32"/>
        </w:rPr>
        <w:t>（二）项目管理情况</w:t>
      </w:r>
    </w:p>
    <w:p w14:paraId="1F2AEA41">
      <w:pPr>
        <w:spacing w:line="560" w:lineRule="exact"/>
        <w:ind w:firstLine="640" w:firstLineChars="200"/>
        <w:rPr>
          <w:rFonts w:ascii="楷体" w:hAnsi="楷体" w:eastAsia="楷体"/>
          <w:sz w:val="32"/>
          <w:szCs w:val="32"/>
        </w:rPr>
      </w:pPr>
      <w:r>
        <w:rPr>
          <w:rFonts w:hint="eastAsia" w:ascii="仿宋_GB2312" w:eastAsia="仿宋_GB2312"/>
          <w:sz w:val="32"/>
          <w:szCs w:val="32"/>
        </w:rPr>
        <w:t>参照《攀故花市市级机关事业单位编外合同制用工管理办法》，按照财务管理制度推进实施。</w:t>
      </w:r>
    </w:p>
    <w:p w14:paraId="242F1D14">
      <w:pPr>
        <w:spacing w:line="560" w:lineRule="exact"/>
        <w:ind w:firstLine="640" w:firstLineChars="200"/>
        <w:rPr>
          <w:rFonts w:ascii="楷体" w:hAnsi="楷体" w:eastAsia="楷体"/>
          <w:sz w:val="32"/>
          <w:szCs w:val="32"/>
        </w:rPr>
      </w:pPr>
      <w:r>
        <w:rPr>
          <w:rFonts w:hint="eastAsia" w:ascii="楷体" w:hAnsi="楷体" w:eastAsia="楷体"/>
          <w:sz w:val="32"/>
          <w:szCs w:val="32"/>
        </w:rPr>
        <w:t>（三）项目监管情况</w:t>
      </w:r>
    </w:p>
    <w:p w14:paraId="3F1CAC4B">
      <w:pPr>
        <w:spacing w:line="560" w:lineRule="exact"/>
        <w:ind w:firstLine="640" w:firstLineChars="200"/>
        <w:rPr>
          <w:rFonts w:ascii="楷体" w:hAnsi="楷体" w:eastAsia="楷体"/>
          <w:sz w:val="32"/>
          <w:szCs w:val="32"/>
        </w:rPr>
      </w:pPr>
      <w:r>
        <w:rPr>
          <w:rFonts w:hint="eastAsia" w:ascii="仿宋_GB2312" w:eastAsia="仿宋_GB2312"/>
          <w:sz w:val="32"/>
          <w:szCs w:val="32"/>
        </w:rPr>
        <w:t>按照财务管理制度实施推进、监督。</w:t>
      </w:r>
    </w:p>
    <w:p w14:paraId="1614CC37">
      <w:pPr>
        <w:spacing w:line="560" w:lineRule="exact"/>
        <w:ind w:firstLine="640" w:firstLineChars="200"/>
        <w:rPr>
          <w:rFonts w:ascii="楷体" w:hAnsi="楷体" w:eastAsia="楷体"/>
          <w:sz w:val="32"/>
          <w:szCs w:val="32"/>
        </w:rPr>
      </w:pPr>
      <w:r>
        <w:rPr>
          <w:rFonts w:hint="eastAsia" w:ascii="黑体" w:hAnsi="黑体" w:eastAsia="黑体"/>
          <w:sz w:val="32"/>
          <w:szCs w:val="32"/>
        </w:rPr>
        <w:t>四、项目绩效情况</w:t>
      </w:r>
    </w:p>
    <w:p w14:paraId="03AEE6F3">
      <w:pPr>
        <w:spacing w:line="560" w:lineRule="exact"/>
        <w:ind w:firstLine="640" w:firstLineChars="200"/>
        <w:rPr>
          <w:rFonts w:ascii="楷体" w:hAnsi="楷体" w:eastAsia="楷体"/>
          <w:sz w:val="32"/>
          <w:szCs w:val="32"/>
        </w:rPr>
      </w:pPr>
      <w:r>
        <w:rPr>
          <w:rFonts w:hint="eastAsia" w:ascii="楷体" w:hAnsi="楷体" w:eastAsia="楷体"/>
          <w:sz w:val="32"/>
          <w:szCs w:val="32"/>
        </w:rPr>
        <w:t>（一）项目完成情况</w:t>
      </w:r>
    </w:p>
    <w:p w14:paraId="331EA219">
      <w:pPr>
        <w:spacing w:line="560" w:lineRule="exact"/>
        <w:ind w:firstLine="640" w:firstLineChars="200"/>
        <w:rPr>
          <w:rFonts w:ascii="楷体" w:hAnsi="楷体" w:eastAsia="楷体"/>
          <w:sz w:val="32"/>
          <w:szCs w:val="32"/>
        </w:rPr>
      </w:pPr>
      <w:r>
        <w:rPr>
          <w:rFonts w:hint="eastAsia" w:ascii="仿宋_GB2312" w:eastAsia="仿宋_GB2312"/>
          <w:sz w:val="32"/>
          <w:szCs w:val="32"/>
        </w:rPr>
        <w:t>每月发放编外聘用人员待遇，购买五险一金。保障编外聘用人员福利。</w:t>
      </w:r>
    </w:p>
    <w:p w14:paraId="01B71988">
      <w:pPr>
        <w:spacing w:line="560" w:lineRule="exact"/>
        <w:ind w:firstLine="640" w:firstLineChars="200"/>
        <w:rPr>
          <w:rFonts w:ascii="楷体" w:hAnsi="楷体" w:eastAsia="楷体"/>
          <w:sz w:val="32"/>
          <w:szCs w:val="32"/>
        </w:rPr>
      </w:pPr>
      <w:r>
        <w:rPr>
          <w:rFonts w:hint="eastAsia" w:ascii="楷体" w:hAnsi="楷体" w:eastAsia="楷体"/>
          <w:sz w:val="32"/>
          <w:szCs w:val="32"/>
        </w:rPr>
        <w:t>（二）项目效益情况</w:t>
      </w:r>
    </w:p>
    <w:p w14:paraId="3285D788">
      <w:pPr>
        <w:spacing w:line="560" w:lineRule="exact"/>
        <w:ind w:firstLine="640" w:firstLineChars="200"/>
        <w:rPr>
          <w:rFonts w:ascii="楷体" w:hAnsi="楷体" w:eastAsia="楷体"/>
          <w:sz w:val="32"/>
          <w:szCs w:val="32"/>
        </w:rPr>
      </w:pPr>
      <w:r>
        <w:rPr>
          <w:rFonts w:hint="eastAsia" w:ascii="仿宋_GB2312" w:eastAsia="仿宋_GB2312"/>
          <w:sz w:val="32"/>
          <w:szCs w:val="32"/>
        </w:rPr>
        <w:t>定期每月发放编外聘用人员福利，积极主动开展工作。</w:t>
      </w:r>
    </w:p>
    <w:p w14:paraId="72983AFD">
      <w:pPr>
        <w:spacing w:line="560" w:lineRule="exact"/>
        <w:ind w:firstLine="640" w:firstLineChars="200"/>
        <w:rPr>
          <w:rFonts w:ascii="黑体" w:hAnsi="黑体" w:eastAsia="黑体"/>
          <w:sz w:val="32"/>
          <w:szCs w:val="32"/>
        </w:rPr>
      </w:pPr>
      <w:r>
        <w:rPr>
          <w:rFonts w:hint="eastAsia" w:ascii="黑体" w:hAnsi="黑体" w:eastAsia="黑体"/>
          <w:sz w:val="32"/>
          <w:szCs w:val="32"/>
        </w:rPr>
        <w:t>五、评价结论及建议</w:t>
      </w:r>
    </w:p>
    <w:p w14:paraId="530F2A88">
      <w:pPr>
        <w:spacing w:line="560" w:lineRule="exact"/>
        <w:ind w:firstLine="640" w:firstLineChars="200"/>
        <w:rPr>
          <w:rFonts w:ascii="黑体" w:hAnsi="黑体" w:eastAsia="黑体"/>
          <w:sz w:val="32"/>
          <w:szCs w:val="32"/>
        </w:rPr>
      </w:pPr>
      <w:r>
        <w:rPr>
          <w:rFonts w:hint="eastAsia" w:ascii="楷体" w:hAnsi="楷体" w:eastAsia="楷体"/>
          <w:sz w:val="32"/>
          <w:szCs w:val="32"/>
        </w:rPr>
        <w:t>（一）评价结论</w:t>
      </w:r>
    </w:p>
    <w:p w14:paraId="41311E9B">
      <w:pPr>
        <w:spacing w:line="560" w:lineRule="exact"/>
        <w:ind w:firstLine="640" w:firstLineChars="200"/>
        <w:rPr>
          <w:rFonts w:ascii="黑体" w:hAnsi="黑体" w:eastAsia="黑体"/>
          <w:sz w:val="32"/>
          <w:szCs w:val="32"/>
        </w:rPr>
      </w:pPr>
      <w:r>
        <w:rPr>
          <w:rFonts w:hint="eastAsia" w:ascii="仿宋_GB2312" w:eastAsia="仿宋_GB2312"/>
          <w:sz w:val="32"/>
          <w:szCs w:val="32"/>
        </w:rPr>
        <w:t>按照财政资金使用用途和目的，我单位款项支付规范，最大限度地发挥了财政资金的使用效率，认真执行年初预算资金计划，</w:t>
      </w:r>
      <w:r>
        <w:rPr>
          <w:rFonts w:hint="eastAsia" w:ascii="仿宋_GB2312" w:eastAsia="仿宋_GB2312"/>
          <w:sz w:val="32"/>
          <w:szCs w:val="32"/>
          <w:lang w:eastAsia="zh-CN"/>
        </w:rPr>
        <w:t>账务</w:t>
      </w:r>
      <w:r>
        <w:rPr>
          <w:rFonts w:hint="eastAsia" w:ascii="仿宋_GB2312" w:eastAsia="仿宋_GB2312"/>
          <w:sz w:val="32"/>
          <w:szCs w:val="32"/>
        </w:rPr>
        <w:t>核算及时规范，保障了机关正常运转，促进了项目建设全面完成，较好地完成了年度工作目标任务。</w:t>
      </w:r>
    </w:p>
    <w:p w14:paraId="5EB929D7">
      <w:pPr>
        <w:spacing w:line="560" w:lineRule="exact"/>
        <w:ind w:firstLine="640" w:firstLineChars="200"/>
        <w:rPr>
          <w:rFonts w:ascii="楷体" w:hAnsi="楷体" w:eastAsia="楷体"/>
          <w:sz w:val="32"/>
          <w:szCs w:val="32"/>
        </w:rPr>
      </w:pPr>
      <w:r>
        <w:rPr>
          <w:rFonts w:hint="eastAsia" w:ascii="楷体" w:hAnsi="楷体" w:eastAsia="楷体"/>
          <w:sz w:val="32"/>
          <w:szCs w:val="32"/>
        </w:rPr>
        <w:t>（二）存在的问题</w:t>
      </w:r>
    </w:p>
    <w:p w14:paraId="6902D3AF">
      <w:pPr>
        <w:spacing w:line="560" w:lineRule="exact"/>
        <w:ind w:firstLine="640" w:firstLineChars="200"/>
        <w:rPr>
          <w:rFonts w:ascii="楷体" w:hAnsi="楷体" w:eastAsia="楷体"/>
          <w:sz w:val="32"/>
          <w:szCs w:val="32"/>
        </w:rPr>
      </w:pPr>
      <w:r>
        <w:rPr>
          <w:rFonts w:hint="eastAsia" w:ascii="仿宋_GB2312" w:eastAsia="仿宋_GB2312"/>
          <w:sz w:val="32"/>
          <w:szCs w:val="32"/>
        </w:rPr>
        <w:t>项目指标设立、绩效监控与评价有提升空间。</w:t>
      </w:r>
    </w:p>
    <w:p w14:paraId="61F07BFF">
      <w:pPr>
        <w:spacing w:line="560" w:lineRule="exact"/>
        <w:ind w:firstLine="640" w:firstLineChars="200"/>
        <w:rPr>
          <w:rFonts w:ascii="楷体" w:hAnsi="楷体" w:eastAsia="楷体"/>
          <w:sz w:val="32"/>
          <w:szCs w:val="32"/>
        </w:rPr>
      </w:pPr>
      <w:r>
        <w:rPr>
          <w:rFonts w:hint="eastAsia" w:ascii="楷体" w:hAnsi="楷体" w:eastAsia="楷体"/>
          <w:sz w:val="32"/>
          <w:szCs w:val="32"/>
        </w:rPr>
        <w:t>（三）相关建议</w:t>
      </w:r>
    </w:p>
    <w:p w14:paraId="59D3CCCE">
      <w:pPr>
        <w:spacing w:line="560" w:lineRule="exact"/>
        <w:ind w:firstLine="640" w:firstLineChars="200"/>
        <w:rPr>
          <w:rFonts w:ascii="楷体" w:hAnsi="楷体" w:eastAsia="楷体"/>
          <w:sz w:val="32"/>
          <w:szCs w:val="32"/>
        </w:rPr>
      </w:pPr>
      <w:r>
        <w:rPr>
          <w:rFonts w:hint="eastAsia" w:ascii="仿宋_GB2312" w:eastAsia="仿宋_GB2312"/>
          <w:sz w:val="32"/>
          <w:szCs w:val="32"/>
        </w:rPr>
        <w:t>要充分认识到开展财政支出绩效评价的重要性和紧迫性，以高度的责任感，进一步健全完善内部工作机制，统筹安排，细化分工，明确职责，把预算绩效管理工作作为部门推进财政资金管理的重要抓手，抓好抓早抓细。</w:t>
      </w:r>
    </w:p>
    <w:sectPr>
      <w:footerReference r:id="rId3" w:type="default"/>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altName w:val="Arial Unicode MS"/>
    <w:panose1 w:val="02010601030101010101"/>
    <w:charset w:val="86"/>
    <w:family w:val="script"/>
    <w:pitch w:val="default"/>
    <w:sig w:usb0="00000000" w:usb1="00000000" w:usb2="00000010" w:usb3="00000000" w:csb0="00040000" w:csb1="00000000"/>
  </w:font>
  <w:font w:name="楷体">
    <w:altName w:val="楷体_GB2312"/>
    <w:panose1 w:val="02010609060101010101"/>
    <w:charset w:val="86"/>
    <w:family w:val="modern"/>
    <w:pitch w:val="default"/>
    <w:sig w:usb0="00000000" w:usb1="00000000"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1930457"/>
      <w:docPartObj>
        <w:docPartGallery w:val="AutoText"/>
      </w:docPartObj>
    </w:sdtPr>
    <w:sdtContent>
      <w:p w14:paraId="0F827057">
        <w:pPr>
          <w:pStyle w:val="2"/>
          <w:jc w:val="center"/>
        </w:pPr>
        <w:r>
          <w:fldChar w:fldCharType="begin"/>
        </w:r>
        <w:r>
          <w:instrText xml:space="preserve"> PAGE   \* MERGEFORMAT </w:instrText>
        </w:r>
        <w:r>
          <w:fldChar w:fldCharType="separate"/>
        </w:r>
        <w:r>
          <w:rPr>
            <w:lang w:val="zh-CN"/>
          </w:rPr>
          <w:t>8</w:t>
        </w:r>
        <w:r>
          <w:rPr>
            <w:lang w:val="zh-CN"/>
          </w:rPr>
          <w:fldChar w:fldCharType="end"/>
        </w:r>
      </w:p>
    </w:sdtContent>
  </w:sdt>
  <w:p w14:paraId="59A8449A">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B6E36"/>
    <w:rsid w:val="00000D33"/>
    <w:rsid w:val="0001007C"/>
    <w:rsid w:val="00014F17"/>
    <w:rsid w:val="00034314"/>
    <w:rsid w:val="0004232B"/>
    <w:rsid w:val="00043038"/>
    <w:rsid w:val="00044EC9"/>
    <w:rsid w:val="00064A93"/>
    <w:rsid w:val="00067989"/>
    <w:rsid w:val="00096A8F"/>
    <w:rsid w:val="00097ECC"/>
    <w:rsid w:val="000C1707"/>
    <w:rsid w:val="000D1D78"/>
    <w:rsid w:val="000D2E9A"/>
    <w:rsid w:val="000D5238"/>
    <w:rsid w:val="000D61A9"/>
    <w:rsid w:val="000D6722"/>
    <w:rsid w:val="000E36B3"/>
    <w:rsid w:val="00103849"/>
    <w:rsid w:val="00105BC4"/>
    <w:rsid w:val="00110197"/>
    <w:rsid w:val="00111F4A"/>
    <w:rsid w:val="001206F3"/>
    <w:rsid w:val="00125D73"/>
    <w:rsid w:val="00133BAB"/>
    <w:rsid w:val="00135412"/>
    <w:rsid w:val="00141098"/>
    <w:rsid w:val="0014484A"/>
    <w:rsid w:val="00157189"/>
    <w:rsid w:val="00157877"/>
    <w:rsid w:val="001626D0"/>
    <w:rsid w:val="0018391C"/>
    <w:rsid w:val="00184B93"/>
    <w:rsid w:val="00193B44"/>
    <w:rsid w:val="001A31E0"/>
    <w:rsid w:val="001B2023"/>
    <w:rsid w:val="001B5865"/>
    <w:rsid w:val="001D6202"/>
    <w:rsid w:val="001E3450"/>
    <w:rsid w:val="001F503B"/>
    <w:rsid w:val="00202B2A"/>
    <w:rsid w:val="00234ADD"/>
    <w:rsid w:val="0023544F"/>
    <w:rsid w:val="00260320"/>
    <w:rsid w:val="0026187F"/>
    <w:rsid w:val="00282783"/>
    <w:rsid w:val="0029305E"/>
    <w:rsid w:val="00295E5A"/>
    <w:rsid w:val="0029677B"/>
    <w:rsid w:val="002B3244"/>
    <w:rsid w:val="002E179B"/>
    <w:rsid w:val="002F44EB"/>
    <w:rsid w:val="00313E97"/>
    <w:rsid w:val="0033363A"/>
    <w:rsid w:val="00337D7C"/>
    <w:rsid w:val="003641FD"/>
    <w:rsid w:val="00371569"/>
    <w:rsid w:val="00371FC0"/>
    <w:rsid w:val="0037585C"/>
    <w:rsid w:val="00380513"/>
    <w:rsid w:val="00381F54"/>
    <w:rsid w:val="0038420D"/>
    <w:rsid w:val="00394745"/>
    <w:rsid w:val="003A1A11"/>
    <w:rsid w:val="003D06C7"/>
    <w:rsid w:val="003D461D"/>
    <w:rsid w:val="003E6CEB"/>
    <w:rsid w:val="003F5F72"/>
    <w:rsid w:val="00404317"/>
    <w:rsid w:val="00414C04"/>
    <w:rsid w:val="004216EB"/>
    <w:rsid w:val="004351DC"/>
    <w:rsid w:val="0043690C"/>
    <w:rsid w:val="0044122A"/>
    <w:rsid w:val="004844A9"/>
    <w:rsid w:val="00484F52"/>
    <w:rsid w:val="00487338"/>
    <w:rsid w:val="0049126E"/>
    <w:rsid w:val="00494455"/>
    <w:rsid w:val="004A2E15"/>
    <w:rsid w:val="004B15A4"/>
    <w:rsid w:val="004B1DE8"/>
    <w:rsid w:val="004C0257"/>
    <w:rsid w:val="004C2E8C"/>
    <w:rsid w:val="004C3EF9"/>
    <w:rsid w:val="00506516"/>
    <w:rsid w:val="00506636"/>
    <w:rsid w:val="00521715"/>
    <w:rsid w:val="00523AE7"/>
    <w:rsid w:val="005313FF"/>
    <w:rsid w:val="00537EF4"/>
    <w:rsid w:val="00552E90"/>
    <w:rsid w:val="005639A0"/>
    <w:rsid w:val="00566199"/>
    <w:rsid w:val="00567BA0"/>
    <w:rsid w:val="00580CF6"/>
    <w:rsid w:val="00582D26"/>
    <w:rsid w:val="005847DE"/>
    <w:rsid w:val="00595112"/>
    <w:rsid w:val="005A299B"/>
    <w:rsid w:val="005B3E00"/>
    <w:rsid w:val="005D2D3F"/>
    <w:rsid w:val="005F21C3"/>
    <w:rsid w:val="005F34E4"/>
    <w:rsid w:val="005F5A69"/>
    <w:rsid w:val="005F79DA"/>
    <w:rsid w:val="00602336"/>
    <w:rsid w:val="00627EB9"/>
    <w:rsid w:val="00643F8B"/>
    <w:rsid w:val="00653019"/>
    <w:rsid w:val="00664880"/>
    <w:rsid w:val="006667DD"/>
    <w:rsid w:val="00667C94"/>
    <w:rsid w:val="00672338"/>
    <w:rsid w:val="00676D54"/>
    <w:rsid w:val="00677DD3"/>
    <w:rsid w:val="00684F92"/>
    <w:rsid w:val="006A51D1"/>
    <w:rsid w:val="006A7AC0"/>
    <w:rsid w:val="006B6E36"/>
    <w:rsid w:val="006C1E2A"/>
    <w:rsid w:val="006D3887"/>
    <w:rsid w:val="006F0463"/>
    <w:rsid w:val="006F6F5C"/>
    <w:rsid w:val="00703326"/>
    <w:rsid w:val="00711A79"/>
    <w:rsid w:val="007134E3"/>
    <w:rsid w:val="00715C33"/>
    <w:rsid w:val="00734B73"/>
    <w:rsid w:val="00736348"/>
    <w:rsid w:val="00755685"/>
    <w:rsid w:val="00756CD3"/>
    <w:rsid w:val="00757D16"/>
    <w:rsid w:val="00764D87"/>
    <w:rsid w:val="007B08FF"/>
    <w:rsid w:val="007B39DF"/>
    <w:rsid w:val="007C692A"/>
    <w:rsid w:val="007E4C51"/>
    <w:rsid w:val="007F0153"/>
    <w:rsid w:val="007F0494"/>
    <w:rsid w:val="007F0AFA"/>
    <w:rsid w:val="007F27DF"/>
    <w:rsid w:val="00803FA9"/>
    <w:rsid w:val="00804B45"/>
    <w:rsid w:val="00830229"/>
    <w:rsid w:val="0083545B"/>
    <w:rsid w:val="00835A00"/>
    <w:rsid w:val="00836AD9"/>
    <w:rsid w:val="0084109E"/>
    <w:rsid w:val="0087561D"/>
    <w:rsid w:val="00875C86"/>
    <w:rsid w:val="008A7D25"/>
    <w:rsid w:val="008B73DC"/>
    <w:rsid w:val="008C06A3"/>
    <w:rsid w:val="008D27A7"/>
    <w:rsid w:val="008D410A"/>
    <w:rsid w:val="008E0D95"/>
    <w:rsid w:val="008E3934"/>
    <w:rsid w:val="008E3A9D"/>
    <w:rsid w:val="00921479"/>
    <w:rsid w:val="00922291"/>
    <w:rsid w:val="009268AC"/>
    <w:rsid w:val="00932D81"/>
    <w:rsid w:val="00944037"/>
    <w:rsid w:val="00944367"/>
    <w:rsid w:val="0095142C"/>
    <w:rsid w:val="00967186"/>
    <w:rsid w:val="00977691"/>
    <w:rsid w:val="00994013"/>
    <w:rsid w:val="009A4EAA"/>
    <w:rsid w:val="009B5411"/>
    <w:rsid w:val="009E233B"/>
    <w:rsid w:val="009E574A"/>
    <w:rsid w:val="009E798E"/>
    <w:rsid w:val="00A0197B"/>
    <w:rsid w:val="00A0713A"/>
    <w:rsid w:val="00A25B0D"/>
    <w:rsid w:val="00A32460"/>
    <w:rsid w:val="00A37BF3"/>
    <w:rsid w:val="00A37E00"/>
    <w:rsid w:val="00A83481"/>
    <w:rsid w:val="00AC1B46"/>
    <w:rsid w:val="00AC742F"/>
    <w:rsid w:val="00AD63B4"/>
    <w:rsid w:val="00AE67A4"/>
    <w:rsid w:val="00AF5AF8"/>
    <w:rsid w:val="00AF67ED"/>
    <w:rsid w:val="00B006B6"/>
    <w:rsid w:val="00B00D38"/>
    <w:rsid w:val="00B01FCD"/>
    <w:rsid w:val="00B122FF"/>
    <w:rsid w:val="00B13B9F"/>
    <w:rsid w:val="00B1480C"/>
    <w:rsid w:val="00B22280"/>
    <w:rsid w:val="00B23916"/>
    <w:rsid w:val="00B26439"/>
    <w:rsid w:val="00B26EB2"/>
    <w:rsid w:val="00B3106D"/>
    <w:rsid w:val="00B51D5A"/>
    <w:rsid w:val="00B55A07"/>
    <w:rsid w:val="00B57026"/>
    <w:rsid w:val="00B57DB5"/>
    <w:rsid w:val="00B87D8F"/>
    <w:rsid w:val="00B978CA"/>
    <w:rsid w:val="00BB108E"/>
    <w:rsid w:val="00BC539D"/>
    <w:rsid w:val="00BD3519"/>
    <w:rsid w:val="00BD5EA6"/>
    <w:rsid w:val="00BD6382"/>
    <w:rsid w:val="00BE0ABC"/>
    <w:rsid w:val="00BE2D31"/>
    <w:rsid w:val="00BE6AA5"/>
    <w:rsid w:val="00C122EE"/>
    <w:rsid w:val="00C154BC"/>
    <w:rsid w:val="00C20635"/>
    <w:rsid w:val="00C238F4"/>
    <w:rsid w:val="00C23E51"/>
    <w:rsid w:val="00C25DC8"/>
    <w:rsid w:val="00C37C71"/>
    <w:rsid w:val="00C57903"/>
    <w:rsid w:val="00C64045"/>
    <w:rsid w:val="00C81849"/>
    <w:rsid w:val="00C943B8"/>
    <w:rsid w:val="00C94857"/>
    <w:rsid w:val="00CA58DA"/>
    <w:rsid w:val="00CB1102"/>
    <w:rsid w:val="00CC6D4B"/>
    <w:rsid w:val="00CE1E6A"/>
    <w:rsid w:val="00CE1FD2"/>
    <w:rsid w:val="00CE2726"/>
    <w:rsid w:val="00CF6AE1"/>
    <w:rsid w:val="00D01BC1"/>
    <w:rsid w:val="00D02644"/>
    <w:rsid w:val="00D03259"/>
    <w:rsid w:val="00D26EB2"/>
    <w:rsid w:val="00D3385A"/>
    <w:rsid w:val="00D341CA"/>
    <w:rsid w:val="00D63E39"/>
    <w:rsid w:val="00D706DC"/>
    <w:rsid w:val="00D743B2"/>
    <w:rsid w:val="00D74C1C"/>
    <w:rsid w:val="00D768FF"/>
    <w:rsid w:val="00D878C6"/>
    <w:rsid w:val="00D94477"/>
    <w:rsid w:val="00D94C5D"/>
    <w:rsid w:val="00E14D7B"/>
    <w:rsid w:val="00E17DD4"/>
    <w:rsid w:val="00E213F4"/>
    <w:rsid w:val="00E31CE3"/>
    <w:rsid w:val="00E37610"/>
    <w:rsid w:val="00E46826"/>
    <w:rsid w:val="00E50400"/>
    <w:rsid w:val="00E603A6"/>
    <w:rsid w:val="00E665F0"/>
    <w:rsid w:val="00E73DA5"/>
    <w:rsid w:val="00EA1601"/>
    <w:rsid w:val="00EA7E72"/>
    <w:rsid w:val="00EC7861"/>
    <w:rsid w:val="00ED3658"/>
    <w:rsid w:val="00ED5147"/>
    <w:rsid w:val="00EF30DA"/>
    <w:rsid w:val="00F16F0F"/>
    <w:rsid w:val="00F24757"/>
    <w:rsid w:val="00F2644B"/>
    <w:rsid w:val="00F37C91"/>
    <w:rsid w:val="00F46A12"/>
    <w:rsid w:val="00F92E90"/>
    <w:rsid w:val="00FA7A45"/>
    <w:rsid w:val="00FB6BC9"/>
    <w:rsid w:val="00FC490B"/>
    <w:rsid w:val="00FC500F"/>
    <w:rsid w:val="00FD0BAE"/>
    <w:rsid w:val="00FD5C3C"/>
    <w:rsid w:val="00FE02BC"/>
    <w:rsid w:val="6EC900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8</Pages>
  <Words>3255</Words>
  <Characters>3357</Characters>
  <Lines>24</Lines>
  <Paragraphs>6</Paragraphs>
  <TotalTime>62</TotalTime>
  <ScaleCrop>false</ScaleCrop>
  <LinksUpToDate>false</LinksUpToDate>
  <CharactersWithSpaces>3365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2021-03-29T09:24:00Z</dcterms:created>
  <dc:creator>曾应仙</dc:creator>
  <cp:lastModifiedBy>admin</cp:lastModifiedBy>
  <dcterms:modified xsi:type="dcterms:W3CDTF">2025-03-17T01:01:47Z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eyJoZGlkIjoiY2U4MjRhNzA1OTMxMDA5N2I0MjIzNTE4NzNmYTlmYmMiLCJ1c2VySWQiOiIzMjE3NzM0MjMifQ==</vt:lpwstr>
  </property>
  <property fmtid="{D5CDD505-2E9C-101B-9397-08002B2CF9AE}" pid="3" name="KSOProductBuildVer">
    <vt:lpwstr>2052-12.1.0.20305</vt:lpwstr>
  </property>
  <property fmtid="{D5CDD505-2E9C-101B-9397-08002B2CF9AE}" pid="4" name="ICV">
    <vt:lpwstr>759F33FF00554294A56D4BCC422F1F8E_12</vt:lpwstr>
  </property>
</Properties>
</file>