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421" w:rsidRPr="002D3AA0" w:rsidRDefault="00012421" w:rsidP="00B721BD">
      <w:pPr>
        <w:spacing w:line="560" w:lineRule="exact"/>
        <w:rPr>
          <w:rFonts w:ascii="仿宋_GB2312" w:eastAsia="仿宋_GB2312"/>
          <w:sz w:val="32"/>
          <w:szCs w:val="32"/>
        </w:rPr>
      </w:pPr>
      <w:r w:rsidRPr="002D3AA0">
        <w:rPr>
          <w:rFonts w:ascii="仿宋_GB2312" w:eastAsia="仿宋_GB2312" w:hint="eastAsia"/>
          <w:sz w:val="32"/>
          <w:szCs w:val="32"/>
        </w:rPr>
        <w:t>附件4：</w:t>
      </w:r>
    </w:p>
    <w:p w:rsidR="00012421" w:rsidRPr="002D3AA0" w:rsidRDefault="00012421" w:rsidP="00B721BD">
      <w:pPr>
        <w:spacing w:line="560" w:lineRule="exact"/>
        <w:jc w:val="center"/>
        <w:rPr>
          <w:rFonts w:ascii="方正小标宋简体" w:eastAsia="方正小标宋简体"/>
          <w:sz w:val="44"/>
          <w:szCs w:val="44"/>
        </w:rPr>
      </w:pPr>
      <w:r w:rsidRPr="002D3AA0">
        <w:rPr>
          <w:rFonts w:ascii="方正小标宋简体" w:eastAsia="方正小标宋简体" w:hint="eastAsia"/>
          <w:sz w:val="44"/>
          <w:szCs w:val="44"/>
        </w:rPr>
        <w:t>攀枝花市劳动人事争议仲裁院</w:t>
      </w:r>
    </w:p>
    <w:p w:rsidR="00012421" w:rsidRPr="002D3AA0" w:rsidRDefault="00012421" w:rsidP="00B721BD">
      <w:pPr>
        <w:spacing w:line="560" w:lineRule="exact"/>
        <w:jc w:val="center"/>
        <w:rPr>
          <w:rFonts w:ascii="方正小标宋简体" w:eastAsia="方正小标宋简体"/>
          <w:sz w:val="44"/>
          <w:szCs w:val="44"/>
        </w:rPr>
      </w:pPr>
      <w:r w:rsidRPr="002D3AA0">
        <w:rPr>
          <w:rFonts w:ascii="方正小标宋简体" w:eastAsia="方正小标宋简体" w:hint="eastAsia"/>
          <w:sz w:val="44"/>
          <w:szCs w:val="44"/>
        </w:rPr>
        <w:t>2020年度部门预算项目支出绩效自评报告</w:t>
      </w:r>
    </w:p>
    <w:p w:rsidR="00012421" w:rsidRPr="002D3AA0" w:rsidRDefault="00012421" w:rsidP="00B721BD">
      <w:pPr>
        <w:spacing w:line="560" w:lineRule="exact"/>
        <w:jc w:val="center"/>
        <w:rPr>
          <w:rFonts w:ascii="方正小标宋简体" w:eastAsia="方正小标宋简体"/>
          <w:sz w:val="44"/>
          <w:szCs w:val="44"/>
        </w:rPr>
      </w:pPr>
      <w:r w:rsidRPr="002D3AA0">
        <w:rPr>
          <w:rFonts w:ascii="方正小标宋简体" w:eastAsia="方正小标宋简体" w:hint="eastAsia"/>
          <w:sz w:val="44"/>
          <w:szCs w:val="44"/>
        </w:rPr>
        <w:t>（劳动人事争议仲裁案件处理）</w:t>
      </w:r>
    </w:p>
    <w:p w:rsidR="00012421" w:rsidRPr="002D3AA0" w:rsidRDefault="00012421" w:rsidP="00B721BD">
      <w:pPr>
        <w:spacing w:line="560" w:lineRule="exact"/>
        <w:rPr>
          <w:rFonts w:ascii="仿宋_GB2312" w:eastAsia="仿宋_GB2312"/>
          <w:sz w:val="32"/>
          <w:szCs w:val="32"/>
        </w:rPr>
      </w:pPr>
    </w:p>
    <w:p w:rsidR="002D3AA0" w:rsidRDefault="00012421" w:rsidP="00B721BD">
      <w:pPr>
        <w:spacing w:line="560" w:lineRule="exact"/>
        <w:ind w:firstLineChars="200" w:firstLine="640"/>
        <w:rPr>
          <w:rFonts w:ascii="黑体" w:eastAsia="黑体" w:hAnsi="黑体"/>
          <w:sz w:val="32"/>
          <w:szCs w:val="32"/>
        </w:rPr>
      </w:pPr>
      <w:r w:rsidRPr="002D3AA0">
        <w:rPr>
          <w:rFonts w:ascii="黑体" w:eastAsia="黑体" w:hAnsi="黑体" w:hint="eastAsia"/>
          <w:sz w:val="32"/>
          <w:szCs w:val="32"/>
        </w:rPr>
        <w:t>一、项目概况</w:t>
      </w:r>
    </w:p>
    <w:p w:rsidR="00050869" w:rsidRDefault="002D3AA0" w:rsidP="00B721BD">
      <w:pPr>
        <w:spacing w:line="560" w:lineRule="exact"/>
        <w:ind w:firstLineChars="200" w:firstLine="640"/>
        <w:rPr>
          <w:rFonts w:ascii="楷体" w:eastAsia="楷体" w:hAnsi="楷体"/>
          <w:sz w:val="32"/>
          <w:szCs w:val="32"/>
        </w:rPr>
      </w:pPr>
      <w:r>
        <w:rPr>
          <w:rFonts w:ascii="楷体" w:eastAsia="楷体" w:hAnsi="楷体" w:hint="eastAsia"/>
          <w:sz w:val="32"/>
          <w:szCs w:val="32"/>
        </w:rPr>
        <w:t>（一）项目基本情况</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1．说明项目主管部门（单位）在该项目管理中的职能</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负责处理全市受案范围内的劳动、人事争议案件及上级交办的案件；参与协调处理涉及人力资源和社会保障工作的</w:t>
      </w:r>
      <w:proofErr w:type="gramStart"/>
      <w:r w:rsidRPr="002D3AA0">
        <w:rPr>
          <w:rFonts w:ascii="仿宋_GB2312" w:eastAsia="仿宋_GB2312" w:hint="eastAsia"/>
          <w:sz w:val="32"/>
          <w:szCs w:val="32"/>
        </w:rPr>
        <w:t>突发涉稳事件</w:t>
      </w:r>
      <w:proofErr w:type="gramEnd"/>
      <w:r w:rsidRPr="002D3AA0">
        <w:rPr>
          <w:rFonts w:ascii="仿宋_GB2312" w:eastAsia="仿宋_GB2312"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2．项目立项、资金申报的依据</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自市劳动人事争议仲裁院2014年财务独立后，2015年12月21日，《攀枝花市财政局关于下达市劳动人事争议仲裁院专项工作经费的通知》(攀财资社〔2015〕228号)中明确:</w:t>
      </w:r>
      <w:proofErr w:type="gramStart"/>
      <w:r w:rsidRPr="002D3AA0">
        <w:rPr>
          <w:rFonts w:ascii="仿宋_GB2312" w:eastAsia="仿宋_GB2312" w:hint="eastAsia"/>
          <w:sz w:val="32"/>
          <w:szCs w:val="32"/>
        </w:rPr>
        <w:t>下达市</w:t>
      </w:r>
      <w:proofErr w:type="gramEnd"/>
      <w:r w:rsidRPr="002D3AA0">
        <w:rPr>
          <w:rFonts w:ascii="仿宋_GB2312" w:eastAsia="仿宋_GB2312" w:hint="eastAsia"/>
          <w:sz w:val="32"/>
          <w:szCs w:val="32"/>
        </w:rPr>
        <w:t>劳动人事争议仲裁院专项工作经费15万元，专项用于业务培训、法规宣传和示范仲裁庭建设。之后一直把此项经费列入《政府收</w:t>
      </w:r>
      <w:r w:rsidRPr="002D3AA0">
        <w:rPr>
          <w:rFonts w:ascii="仿宋_GB2312" w:eastAsia="仿宋_GB2312" w:hint="eastAsia"/>
          <w:sz w:val="32"/>
          <w:szCs w:val="32"/>
        </w:rPr>
        <w:lastRenderedPageBreak/>
        <w:t>支分类科目》第2080112项“劳动人事争议调解仲裁”科目。</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3．资金管理办法制定情况，资金支持具体项目的条件、范围与支持方式概况</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市劳动人事争议仲裁院的主要职能是负责处理全市受案范围内的劳动、人事争议案件及上级交办的案件；参与协调处理涉及人力资源和社会保障工作的</w:t>
      </w:r>
      <w:proofErr w:type="gramStart"/>
      <w:r w:rsidRPr="002D3AA0">
        <w:rPr>
          <w:rFonts w:ascii="仿宋_GB2312" w:eastAsia="仿宋_GB2312" w:hint="eastAsia"/>
          <w:sz w:val="32"/>
          <w:szCs w:val="32"/>
        </w:rPr>
        <w:t>突发涉稳事件</w:t>
      </w:r>
      <w:proofErr w:type="gramEnd"/>
      <w:r w:rsidRPr="002D3AA0">
        <w:rPr>
          <w:rFonts w:ascii="仿宋_GB2312" w:eastAsia="仿宋_GB2312"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意见，制定并组织实施劳动人事争议仲裁中长期规划。</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4．资金分配的原则及考虑因素</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按照《攀枝花市财政局关于下达市劳动人事争议仲裁院专项工作经费的通知》(攀财资社〔2015〕228号)文件要求，专项用于业务培训、法规宣传和示范仲裁庭建设。</w:t>
      </w:r>
    </w:p>
    <w:p w:rsidR="00050869" w:rsidRDefault="00012421" w:rsidP="00B721BD">
      <w:pPr>
        <w:spacing w:line="560" w:lineRule="exact"/>
        <w:ind w:firstLineChars="200" w:firstLine="640"/>
        <w:rPr>
          <w:rFonts w:ascii="楷体" w:eastAsia="楷体" w:hAnsi="楷体"/>
          <w:sz w:val="32"/>
          <w:szCs w:val="32"/>
        </w:rPr>
      </w:pPr>
      <w:r w:rsidRPr="00050869">
        <w:rPr>
          <w:rFonts w:ascii="楷体" w:eastAsia="楷体" w:hAnsi="楷体" w:hint="eastAsia"/>
          <w:sz w:val="32"/>
          <w:szCs w:val="32"/>
        </w:rPr>
        <w:t>（二）项目绩效目标</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1．项目主要内容</w:t>
      </w:r>
    </w:p>
    <w:p w:rsidR="00050869" w:rsidRDefault="00012421" w:rsidP="00B721BD">
      <w:pPr>
        <w:tabs>
          <w:tab w:val="left" w:pos="7513"/>
        </w:tabs>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处理全市受案范围内的劳动、人事争议案件及上级交办的案件；参与协调处理涉及人力资源和社会保障工作的</w:t>
      </w:r>
      <w:proofErr w:type="gramStart"/>
      <w:r w:rsidRPr="002D3AA0">
        <w:rPr>
          <w:rFonts w:ascii="仿宋_GB2312" w:eastAsia="仿宋_GB2312" w:hint="eastAsia"/>
          <w:sz w:val="32"/>
          <w:szCs w:val="32"/>
        </w:rPr>
        <w:t>突发涉稳事件</w:t>
      </w:r>
      <w:proofErr w:type="gramEnd"/>
      <w:r w:rsidRPr="002D3AA0">
        <w:rPr>
          <w:rFonts w:ascii="仿宋_GB2312" w:eastAsia="仿宋_GB2312" w:hint="eastAsia"/>
          <w:sz w:val="32"/>
          <w:szCs w:val="32"/>
        </w:rPr>
        <w:t>；依法组织协调处理跨地区的劳动、人事争议；负责全市劳动人事争议仲裁专、兼职仲裁员和调解员的培训、考核、任免、管理工</w:t>
      </w:r>
      <w:r w:rsidRPr="002D3AA0">
        <w:rPr>
          <w:rFonts w:ascii="仿宋_GB2312" w:eastAsia="仿宋_GB2312" w:hint="eastAsia"/>
          <w:sz w:val="32"/>
          <w:szCs w:val="32"/>
        </w:rPr>
        <w:lastRenderedPageBreak/>
        <w:t>作；指导、协调全市劳动人事争议调解仲裁工作；指导全市劳动人事争议调解组织建设，指导开展劳动人事争议预防工作；劳动人事争议仲裁报表报送；研究提出劳动人事争议仲裁政策意见，制定并组织实施劳动人事争议仲裁中长期规划。</w:t>
      </w:r>
    </w:p>
    <w:p w:rsidR="005E74FE" w:rsidRDefault="00B721BD" w:rsidP="005E74FE">
      <w:pPr>
        <w:tabs>
          <w:tab w:val="left" w:pos="7513"/>
        </w:tabs>
        <w:spacing w:line="560" w:lineRule="exact"/>
        <w:ind w:firstLineChars="200" w:firstLine="640"/>
        <w:rPr>
          <w:rFonts w:ascii="楷体" w:eastAsia="楷体" w:hAnsi="楷体" w:hint="eastAsia"/>
          <w:sz w:val="32"/>
          <w:szCs w:val="32"/>
        </w:rPr>
      </w:pPr>
      <w:r w:rsidRPr="005E74FE">
        <w:rPr>
          <w:rFonts w:ascii="Times New Roman" w:eastAsia="楷体" w:hAnsi="Times New Roman" w:cs="Times New Roman"/>
          <w:sz w:val="32"/>
          <w:szCs w:val="32"/>
        </w:rPr>
        <w:t>2</w:t>
      </w:r>
      <w:r w:rsidR="005E74FE">
        <w:rPr>
          <w:rFonts w:ascii="仿宋_GB2312" w:eastAsia="仿宋_GB2312" w:hint="eastAsia"/>
          <w:sz w:val="32"/>
          <w:szCs w:val="32"/>
        </w:rPr>
        <w:t>.</w:t>
      </w:r>
      <w:r w:rsidRPr="005E74FE">
        <w:rPr>
          <w:rFonts w:ascii="仿宋_GB2312" w:eastAsia="仿宋_GB2312" w:hint="eastAsia"/>
          <w:sz w:val="32"/>
          <w:szCs w:val="32"/>
        </w:rPr>
        <w:t>项目应实现的具体绩效目标，包括目标的量化、细化情况以及项目实施进度计划等</w:t>
      </w:r>
    </w:p>
    <w:p w:rsidR="00050869" w:rsidRDefault="00012421" w:rsidP="005E74FE">
      <w:pPr>
        <w:tabs>
          <w:tab w:val="left" w:pos="7513"/>
        </w:tabs>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1）劳动人事争议仲裁案件处理。根据《劳动争议调解仲裁法》的规定，劳动人事争议仲裁不收费，经费由同级财政予以保障。劳动人事争议案件处理主要有法律文本及法律文书印刷、法律文书送达、委托鉴定/勘验、跨市（州）、跨省级办案，仲裁工作、业务会议和重大、疑难、突发案件协调会议等工作。</w:t>
      </w:r>
    </w:p>
    <w:p w:rsidR="00B721BD" w:rsidRPr="00B721BD"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（2）劳动人事争议调解预防。攀枝花</w:t>
      </w:r>
      <w:proofErr w:type="gramStart"/>
      <w:r w:rsidRPr="002D3AA0">
        <w:rPr>
          <w:rFonts w:ascii="仿宋_GB2312" w:eastAsia="仿宋_GB2312" w:hint="eastAsia"/>
          <w:sz w:val="32"/>
          <w:szCs w:val="32"/>
        </w:rPr>
        <w:t>市矛盾</w:t>
      </w:r>
      <w:proofErr w:type="gramEnd"/>
      <w:r w:rsidRPr="002D3AA0">
        <w:rPr>
          <w:rFonts w:ascii="仿宋_GB2312" w:eastAsia="仿宋_GB2312" w:hint="eastAsia"/>
          <w:sz w:val="32"/>
          <w:szCs w:val="32"/>
        </w:rPr>
        <w:t>纠纷“大调解”工作领导小组及市委政法</w:t>
      </w:r>
      <w:proofErr w:type="gramStart"/>
      <w:r w:rsidRPr="002D3AA0">
        <w:rPr>
          <w:rFonts w:ascii="仿宋_GB2312" w:eastAsia="仿宋_GB2312" w:hint="eastAsia"/>
          <w:sz w:val="32"/>
          <w:szCs w:val="32"/>
        </w:rPr>
        <w:t>委维稳综</w:t>
      </w:r>
      <w:proofErr w:type="gramEnd"/>
      <w:r w:rsidRPr="002D3AA0">
        <w:rPr>
          <w:rFonts w:ascii="仿宋_GB2312" w:eastAsia="仿宋_GB2312" w:hint="eastAsia"/>
          <w:sz w:val="32"/>
          <w:szCs w:val="32"/>
        </w:rPr>
        <w:t>治工作推进15个重点领域专业调解体系建设，劳动争议纠纷专业调解工作是其中之一。市人力资源社会保障局职责重新分工：市劳动人事争议仲裁院负责全市劳动人事争议仲裁员调解员培训，基层劳动争议调解组织建设，指导、协调各县（区）</w:t>
      </w:r>
      <w:proofErr w:type="gramStart"/>
      <w:r w:rsidRPr="002D3AA0">
        <w:rPr>
          <w:rFonts w:ascii="仿宋_GB2312" w:eastAsia="仿宋_GB2312" w:hint="eastAsia"/>
          <w:sz w:val="32"/>
          <w:szCs w:val="32"/>
        </w:rPr>
        <w:t>人社局</w:t>
      </w:r>
      <w:proofErr w:type="gramEnd"/>
      <w:r w:rsidRPr="002D3AA0">
        <w:rPr>
          <w:rFonts w:ascii="仿宋_GB2312" w:eastAsia="仿宋_GB2312" w:hint="eastAsia"/>
          <w:sz w:val="32"/>
          <w:szCs w:val="32"/>
        </w:rPr>
        <w:t>开展劳动人事争议预防工作，依法组织协调处理跨地区的劳动人事争议，负责劳动人事争议情况报表的收集汇总、填报报送，负责劳动人事争议相关文件的撰写、发布以及其他劳动人事争议业务性等工作。</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3．分析评价申报内容是否与实际相符，申报目标是否合理可行</w:t>
      </w:r>
      <w:r w:rsidR="00B721BD">
        <w:rPr>
          <w:rFonts w:ascii="仿宋_GB2312" w:eastAsia="仿宋_GB2312" w:hint="eastAsia"/>
          <w:sz w:val="32"/>
          <w:szCs w:val="32"/>
        </w:rPr>
        <w:t>。</w:t>
      </w:r>
    </w:p>
    <w:p w:rsid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lastRenderedPageBreak/>
        <w:t>所有申报内容与实际相符，申报目标合理可行。</w:t>
      </w:r>
    </w:p>
    <w:p w:rsidR="00050869" w:rsidRDefault="00012421" w:rsidP="00B721BD">
      <w:pPr>
        <w:spacing w:line="560" w:lineRule="exact"/>
        <w:ind w:firstLineChars="200" w:firstLine="640"/>
        <w:rPr>
          <w:rFonts w:ascii="黑体" w:eastAsia="黑体" w:hAnsi="黑体"/>
          <w:sz w:val="32"/>
          <w:szCs w:val="32"/>
        </w:rPr>
      </w:pPr>
      <w:r w:rsidRPr="00050869">
        <w:rPr>
          <w:rFonts w:ascii="黑体" w:eastAsia="黑体" w:hAnsi="黑体" w:hint="eastAsia"/>
          <w:sz w:val="32"/>
          <w:szCs w:val="32"/>
        </w:rPr>
        <w:t>二、项目资金申报及使用情况</w:t>
      </w:r>
    </w:p>
    <w:p w:rsidR="00050869" w:rsidRDefault="00012421" w:rsidP="00B721BD">
      <w:pPr>
        <w:spacing w:line="560" w:lineRule="exact"/>
        <w:ind w:firstLineChars="200" w:firstLine="640"/>
        <w:rPr>
          <w:rFonts w:ascii="楷体" w:eastAsia="楷体" w:hAnsi="楷体"/>
          <w:sz w:val="32"/>
          <w:szCs w:val="32"/>
        </w:rPr>
      </w:pPr>
      <w:r w:rsidRPr="00050869">
        <w:rPr>
          <w:rFonts w:ascii="楷体" w:eastAsia="楷体" w:hAnsi="楷体" w:hint="eastAsia"/>
          <w:sz w:val="32"/>
          <w:szCs w:val="32"/>
        </w:rPr>
        <w:t>（一）项目资金申报及批复情况</w:t>
      </w:r>
    </w:p>
    <w:p w:rsidR="00012421" w:rsidRPr="00050869"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自市劳动人事争议仲裁院2014年财务独立后，2015年12月21日，《攀枝花市财政局关于下达市劳动人事争议仲裁院专项工作经费的通知》(攀财资社〔2015〕228号)中明确:</w:t>
      </w:r>
      <w:proofErr w:type="gramStart"/>
      <w:r w:rsidRPr="002D3AA0">
        <w:rPr>
          <w:rFonts w:ascii="仿宋_GB2312" w:eastAsia="仿宋_GB2312" w:hint="eastAsia"/>
          <w:sz w:val="32"/>
          <w:szCs w:val="32"/>
        </w:rPr>
        <w:t>下达市</w:t>
      </w:r>
      <w:proofErr w:type="gramEnd"/>
      <w:r w:rsidRPr="002D3AA0">
        <w:rPr>
          <w:rFonts w:ascii="仿宋_GB2312" w:eastAsia="仿宋_GB2312" w:hint="eastAsia"/>
          <w:sz w:val="32"/>
          <w:szCs w:val="32"/>
        </w:rPr>
        <w:t>劳动人事争议仲裁院专项工作经费15万元，专项用于业务培训、法规宣传和示范仲裁庭建设。之后一直把此项经费列入《政府收支分类科目》第2080112项“劳动人事争议调解仲裁”科目。</w:t>
      </w:r>
    </w:p>
    <w:p w:rsidR="006C4721" w:rsidRDefault="00012421" w:rsidP="00B721BD">
      <w:pPr>
        <w:spacing w:line="560" w:lineRule="exact"/>
        <w:rPr>
          <w:rFonts w:ascii="仿宋_GB2312" w:eastAsia="仿宋_GB2312"/>
          <w:sz w:val="32"/>
          <w:szCs w:val="32"/>
        </w:rPr>
      </w:pPr>
      <w:r w:rsidRPr="002D3AA0">
        <w:rPr>
          <w:rFonts w:ascii="仿宋_GB2312" w:eastAsia="仿宋_GB2312" w:hint="eastAsia"/>
          <w:sz w:val="32"/>
          <w:szCs w:val="32"/>
        </w:rPr>
        <w:t>2020年</w:t>
      </w:r>
      <w:r w:rsidR="00465030">
        <w:rPr>
          <w:rFonts w:ascii="仿宋_GB2312" w:eastAsia="仿宋_GB2312" w:hint="eastAsia"/>
          <w:sz w:val="32"/>
          <w:szCs w:val="32"/>
        </w:rPr>
        <w:t>年初预算数为1</w:t>
      </w:r>
      <w:r w:rsidR="00465030">
        <w:rPr>
          <w:rFonts w:ascii="仿宋_GB2312" w:eastAsia="仿宋_GB2312"/>
          <w:sz w:val="32"/>
          <w:szCs w:val="32"/>
        </w:rPr>
        <w:t>3.67</w:t>
      </w:r>
      <w:r w:rsidR="00465030">
        <w:rPr>
          <w:rFonts w:ascii="仿宋_GB2312" w:eastAsia="仿宋_GB2312" w:hint="eastAsia"/>
          <w:sz w:val="32"/>
          <w:szCs w:val="32"/>
        </w:rPr>
        <w:t>万元，调减后实际预算数为1</w:t>
      </w:r>
      <w:r w:rsidR="00465030">
        <w:rPr>
          <w:rFonts w:ascii="仿宋_GB2312" w:eastAsia="仿宋_GB2312"/>
          <w:sz w:val="32"/>
          <w:szCs w:val="32"/>
        </w:rPr>
        <w:t>2.69</w:t>
      </w:r>
      <w:r w:rsidR="00465030">
        <w:rPr>
          <w:rFonts w:ascii="仿宋_GB2312" w:eastAsia="仿宋_GB2312" w:hint="eastAsia"/>
          <w:sz w:val="32"/>
          <w:szCs w:val="32"/>
        </w:rPr>
        <w:t>万元。</w:t>
      </w:r>
      <w:r w:rsidR="006C4721">
        <w:rPr>
          <w:rFonts w:ascii="仿宋_GB2312" w:eastAsia="仿宋_GB2312" w:hint="eastAsia"/>
          <w:sz w:val="32"/>
          <w:szCs w:val="32"/>
        </w:rPr>
        <w:t xml:space="preserve"> </w:t>
      </w:r>
    </w:p>
    <w:p w:rsidR="006C4721" w:rsidRDefault="00012421" w:rsidP="00B721BD">
      <w:pPr>
        <w:spacing w:line="560" w:lineRule="exact"/>
        <w:ind w:firstLineChars="200" w:firstLine="640"/>
        <w:rPr>
          <w:rFonts w:ascii="仿宋_GB2312" w:eastAsia="仿宋_GB2312"/>
          <w:sz w:val="32"/>
          <w:szCs w:val="32"/>
        </w:rPr>
      </w:pPr>
      <w:r w:rsidRPr="006C4721">
        <w:rPr>
          <w:rFonts w:ascii="楷体" w:eastAsia="楷体" w:hAnsi="楷体" w:hint="eastAsia"/>
          <w:sz w:val="32"/>
          <w:szCs w:val="32"/>
        </w:rPr>
        <w:t>（二）资金计划、到位及使用情况</w:t>
      </w:r>
    </w:p>
    <w:p w:rsidR="006C4721"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1</w:t>
      </w:r>
      <w:r w:rsidR="006C4721">
        <w:rPr>
          <w:rFonts w:ascii="仿宋_GB2312" w:eastAsia="仿宋_GB2312" w:hint="eastAsia"/>
          <w:sz w:val="32"/>
          <w:szCs w:val="32"/>
        </w:rPr>
        <w:t>．资金计划及到位</w:t>
      </w:r>
    </w:p>
    <w:p w:rsidR="006C4721"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2020年该资金由财政在统一拨付完成。</w:t>
      </w:r>
    </w:p>
    <w:p w:rsidR="006C4721"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2</w:t>
      </w:r>
      <w:r w:rsidR="006C4721">
        <w:rPr>
          <w:rFonts w:ascii="仿宋_GB2312" w:eastAsia="仿宋_GB2312" w:hint="eastAsia"/>
          <w:sz w:val="32"/>
          <w:szCs w:val="32"/>
        </w:rPr>
        <w:t>．资金使用</w:t>
      </w:r>
    </w:p>
    <w:p w:rsidR="006C4721"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2020年</w:t>
      </w:r>
      <w:r w:rsidR="00465030" w:rsidRPr="002D3AA0">
        <w:rPr>
          <w:rFonts w:ascii="仿宋_GB2312" w:eastAsia="仿宋_GB2312" w:hint="eastAsia"/>
          <w:sz w:val="32"/>
          <w:szCs w:val="32"/>
        </w:rPr>
        <w:t>度“劳动人事争议仲裁案件处理”项目资金</w:t>
      </w:r>
      <w:r w:rsidR="00465030">
        <w:rPr>
          <w:rFonts w:ascii="仿宋_GB2312" w:eastAsia="仿宋_GB2312" w:hint="eastAsia"/>
          <w:sz w:val="32"/>
          <w:szCs w:val="32"/>
        </w:rPr>
        <w:t>年初预算数为1</w:t>
      </w:r>
      <w:r w:rsidR="00465030">
        <w:rPr>
          <w:rFonts w:ascii="仿宋_GB2312" w:eastAsia="仿宋_GB2312"/>
          <w:sz w:val="32"/>
          <w:szCs w:val="32"/>
        </w:rPr>
        <w:t>3.67</w:t>
      </w:r>
      <w:r w:rsidR="00465030">
        <w:rPr>
          <w:rFonts w:ascii="仿宋_GB2312" w:eastAsia="仿宋_GB2312" w:hint="eastAsia"/>
          <w:sz w:val="32"/>
          <w:szCs w:val="32"/>
        </w:rPr>
        <w:t>万元，财政调减后</w:t>
      </w:r>
      <w:r w:rsidRPr="002D3AA0">
        <w:rPr>
          <w:rFonts w:ascii="仿宋_GB2312" w:eastAsia="仿宋_GB2312" w:hint="eastAsia"/>
          <w:sz w:val="32"/>
          <w:szCs w:val="32"/>
        </w:rPr>
        <w:t>财政拨款收、支总计</w:t>
      </w:r>
      <w:r w:rsidR="00465030">
        <w:rPr>
          <w:rFonts w:ascii="仿宋_GB2312" w:eastAsia="仿宋_GB2312" w:hint="eastAsia"/>
          <w:sz w:val="32"/>
          <w:szCs w:val="32"/>
        </w:rPr>
        <w:t>皆为</w:t>
      </w:r>
      <w:r w:rsidRPr="002D3AA0">
        <w:rPr>
          <w:rFonts w:ascii="仿宋_GB2312" w:eastAsia="仿宋_GB2312" w:hint="eastAsia"/>
          <w:sz w:val="32"/>
          <w:szCs w:val="32"/>
        </w:rPr>
        <w:t>12.96万元。</w:t>
      </w:r>
    </w:p>
    <w:p w:rsidR="006C4721" w:rsidRDefault="006C47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（三）项目财务管理情况</w:t>
      </w:r>
    </w:p>
    <w:p w:rsidR="00012421" w:rsidRPr="006C4721"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该项目经费严格按照财务管理制度进行管理，保证专款专用，不存在截留、滞留、挤占、挪用、套取、虚报、冒领的问题，资金发放复查由财务人员按照财务制度进行资金的审核、支付和核</w:t>
      </w:r>
      <w:r w:rsidRPr="002D3AA0">
        <w:rPr>
          <w:rFonts w:ascii="仿宋_GB2312" w:eastAsia="仿宋_GB2312" w:hint="eastAsia"/>
          <w:sz w:val="32"/>
          <w:szCs w:val="32"/>
        </w:rPr>
        <w:lastRenderedPageBreak/>
        <w:t>算，所有支出均以转账方式进行，在具体支付，具备了资金 、合同、验收清单等相关材料，手续是完善的，不存在虚假会计凭证的情况，会计严格执行财务管理制度，财务及时、核算规范。</w:t>
      </w:r>
    </w:p>
    <w:p w:rsidR="006C4721" w:rsidRDefault="00012421" w:rsidP="00B721BD">
      <w:pPr>
        <w:spacing w:line="560" w:lineRule="exact"/>
        <w:ind w:firstLineChars="200" w:firstLine="640"/>
        <w:rPr>
          <w:rFonts w:ascii="黑体" w:eastAsia="黑体" w:hAnsi="黑体"/>
          <w:sz w:val="32"/>
          <w:szCs w:val="32"/>
        </w:rPr>
      </w:pPr>
      <w:r w:rsidRPr="006C4721">
        <w:rPr>
          <w:rFonts w:ascii="黑体" w:eastAsia="黑体" w:hAnsi="黑体" w:hint="eastAsia"/>
          <w:sz w:val="32"/>
          <w:szCs w:val="32"/>
        </w:rPr>
        <w:t>三、项目实施及管理情况</w:t>
      </w:r>
    </w:p>
    <w:p w:rsidR="006C4721" w:rsidRDefault="000124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（一）</w:t>
      </w:r>
      <w:r w:rsidRPr="006C4721">
        <w:rPr>
          <w:rFonts w:ascii="楷体" w:eastAsia="楷体" w:hAnsi="楷体" w:hint="eastAsia"/>
          <w:sz w:val="32"/>
          <w:szCs w:val="32"/>
        </w:rPr>
        <w:tab/>
        <w:t>项目组织架构及实施流程</w:t>
      </w:r>
    </w:p>
    <w:p w:rsidR="006C4721"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仲裁院副院长→①办公室（财务室）、②立案庭、③审理庭</w:t>
      </w:r>
    </w:p>
    <w:p w:rsidR="006C4721" w:rsidRDefault="000124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（二）项目管理情况</w:t>
      </w:r>
    </w:p>
    <w:p w:rsidR="006C4721"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该项目经费严格按照财务管理制度进行管理，保证专款专用，不存在截留、滞留、挤占、挪用、套取、虚报、冒领的问题，资金发放复查由财务人员按照财务制度进行资金的审核、支付和核算，所有支出均以转账方式进行，在具体支付，具备了资金 、合同、验收清单等相关材料，手续是完善的，不存在虚假会计凭证的情况，会计严格执行财务管理制度，财务及时、核算规范。</w:t>
      </w:r>
      <w:r w:rsidR="006C4721">
        <w:rPr>
          <w:rFonts w:ascii="楷体" w:eastAsia="楷体" w:hAnsi="楷体" w:hint="eastAsia"/>
          <w:sz w:val="32"/>
          <w:szCs w:val="32"/>
        </w:rPr>
        <w:t xml:space="preserve">    </w:t>
      </w:r>
    </w:p>
    <w:p w:rsidR="006C4721" w:rsidRDefault="006C47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（三）项目监管情况</w:t>
      </w:r>
    </w:p>
    <w:p w:rsidR="006C4721"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按照财务管理制度实施推进、监督。</w:t>
      </w:r>
    </w:p>
    <w:p w:rsidR="006C4721" w:rsidRDefault="00012421" w:rsidP="00B721BD">
      <w:pPr>
        <w:spacing w:line="560" w:lineRule="exact"/>
        <w:ind w:firstLineChars="200" w:firstLine="640"/>
        <w:rPr>
          <w:rFonts w:ascii="黑体" w:eastAsia="黑体" w:hAnsi="黑体"/>
          <w:sz w:val="32"/>
          <w:szCs w:val="32"/>
        </w:rPr>
      </w:pPr>
      <w:r w:rsidRPr="006C4721">
        <w:rPr>
          <w:rFonts w:ascii="黑体" w:eastAsia="黑体" w:hAnsi="黑体" w:hint="eastAsia"/>
          <w:sz w:val="32"/>
          <w:szCs w:val="32"/>
        </w:rPr>
        <w:t>四、项目绩效情况</w:t>
      </w:r>
    </w:p>
    <w:p w:rsidR="006C4721" w:rsidRDefault="006C47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（一）项目完成情况</w:t>
      </w:r>
    </w:p>
    <w:p w:rsidR="006C4721"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2020年，我院接待来访群众10778人（次），处理劳动争议1256件，涉及劳动者人1256人,涉及标的1873.72万元。其中，案前调解1006件，立案受理250件（调解149件，裁决101件）。结案率100%，调解率96%，裁决后起诉率10%。</w:t>
      </w:r>
    </w:p>
    <w:p w:rsidR="006C4721" w:rsidRPr="006C4721" w:rsidRDefault="006C47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（二）项目效益情况</w:t>
      </w:r>
    </w:p>
    <w:p w:rsidR="00012421" w:rsidRPr="006C4721"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lastRenderedPageBreak/>
        <w:t>1.疫情期间，</w:t>
      </w:r>
      <w:proofErr w:type="gramStart"/>
      <w:r w:rsidRPr="002D3AA0">
        <w:rPr>
          <w:rFonts w:ascii="仿宋_GB2312" w:eastAsia="仿宋_GB2312" w:hint="eastAsia"/>
          <w:sz w:val="32"/>
          <w:szCs w:val="32"/>
        </w:rPr>
        <w:t>畅通维</w:t>
      </w:r>
      <w:proofErr w:type="gramEnd"/>
      <w:r w:rsidRPr="002D3AA0">
        <w:rPr>
          <w:rFonts w:ascii="仿宋_GB2312" w:eastAsia="仿宋_GB2312" w:hint="eastAsia"/>
          <w:sz w:val="32"/>
          <w:szCs w:val="32"/>
        </w:rPr>
        <w:t>权渠道，服务“不打折”。为正确把握和运用特殊时期的政策和规定，积极组织员工开展线上学习相关精神，落实《人力资源社会保障部办公厅关于妥善处理新型冠状病毒感染肺炎疫情防控期间劳动关系问题的通知》（</w:t>
      </w:r>
      <w:proofErr w:type="gramStart"/>
      <w:r w:rsidRPr="002D3AA0">
        <w:rPr>
          <w:rFonts w:ascii="仿宋_GB2312" w:eastAsia="仿宋_GB2312" w:hint="eastAsia"/>
          <w:sz w:val="32"/>
          <w:szCs w:val="32"/>
        </w:rPr>
        <w:t>人社厅</w:t>
      </w:r>
      <w:proofErr w:type="gramEnd"/>
      <w:r w:rsidRPr="002D3AA0">
        <w:rPr>
          <w:rFonts w:ascii="仿宋_GB2312" w:eastAsia="仿宋_GB2312" w:hint="eastAsia"/>
          <w:sz w:val="32"/>
          <w:szCs w:val="32"/>
        </w:rPr>
        <w:t>明电[2020]5号）和《省人力资源和社会保障厅关于妥善处理新型冠状病毒感染肺炎疫情防控期间劳动关系问题的通知》（川</w:t>
      </w:r>
      <w:proofErr w:type="gramStart"/>
      <w:r w:rsidRPr="002D3AA0">
        <w:rPr>
          <w:rFonts w:ascii="仿宋_GB2312" w:eastAsia="仿宋_GB2312" w:hint="eastAsia"/>
          <w:sz w:val="32"/>
          <w:szCs w:val="32"/>
        </w:rPr>
        <w:t>人社函</w:t>
      </w:r>
      <w:proofErr w:type="gramEnd"/>
      <w:r w:rsidRPr="002D3AA0">
        <w:rPr>
          <w:rFonts w:ascii="仿宋_GB2312" w:eastAsia="仿宋_GB2312" w:hint="eastAsia"/>
          <w:sz w:val="32"/>
          <w:szCs w:val="32"/>
        </w:rPr>
        <w:t>[2020]46号）文件规定。疫情期间，我院通过电话、短信等方式办理延期开庭案件10件，现场办理立案案件66件，发放法律文书100余份，接受电话咨询100余人次，现场接待劳动者来访117人次，开庭50场次，开展远程视频调解劳动争议12件，约谈用人单位负责人1人。为企业复工开路，为经济发展护航。</w:t>
      </w:r>
    </w:p>
    <w:p w:rsidR="006C4721"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2.全省首家公共法律服务工作站挂牌成立。4月16日上午，攀枝花市人力资源和社会保障局公共法律服务（法律援助）工作站在市劳动人事争议仲裁院举行挂牌仪式，是全省首家挂牌的公共法律服务工作站。2020年，为100余名劳动者申请法律援助提供帮助。</w:t>
      </w:r>
      <w:r w:rsidR="006C4721">
        <w:rPr>
          <w:rFonts w:ascii="仿宋_GB2312" w:eastAsia="仿宋_GB2312" w:hint="eastAsia"/>
          <w:sz w:val="32"/>
          <w:szCs w:val="32"/>
        </w:rPr>
        <w:t xml:space="preserve"> </w:t>
      </w:r>
    </w:p>
    <w:p w:rsidR="006C4721" w:rsidRDefault="00012421" w:rsidP="00B721BD">
      <w:pPr>
        <w:spacing w:line="560" w:lineRule="exact"/>
        <w:ind w:firstLineChars="200" w:firstLine="640"/>
        <w:rPr>
          <w:rFonts w:ascii="仿宋_GB2312" w:eastAsia="仿宋_GB2312"/>
          <w:sz w:val="32"/>
          <w:szCs w:val="32"/>
        </w:rPr>
      </w:pPr>
      <w:r w:rsidRPr="002D3AA0">
        <w:rPr>
          <w:rFonts w:ascii="仿宋_GB2312" w:eastAsia="仿宋_GB2312" w:hint="eastAsia"/>
          <w:sz w:val="32"/>
          <w:szCs w:val="32"/>
        </w:rPr>
        <w:t>3.抓案件处理质效，实现“内外”有效监督。以裁决文书上网为突破，严把争议处理质量关。一是实施争议处理立、审、监分离，确保争议处理流程规范、证据材料规范、文书制作规范、卷宗管理规范、服务行规范。二是全面贯彻落实仲裁公开原则，我院将裁决书上传门户网站作为提高仲裁文书质量、拓宽仲裁监督渠道、促进仲裁公平正义、提升仲裁社会公信的重要措施着力</w:t>
      </w:r>
      <w:r w:rsidRPr="002D3AA0">
        <w:rPr>
          <w:rFonts w:ascii="仿宋_GB2312" w:eastAsia="仿宋_GB2312" w:hint="eastAsia"/>
          <w:sz w:val="32"/>
          <w:szCs w:val="32"/>
        </w:rPr>
        <w:lastRenderedPageBreak/>
        <w:t>推进。自2014年3月正式上传至今共上传裁决书466份，点击量达35万与次。三是建立了繁简分流机制，对简单案件、涉及农民工、女职工、伤残职工、少数民族职工等特殊群体案件适用简易程序，开辟“绿色通道”，确保案件“快立、快审、快结”。四是发挥“一裁终局”和裁决先予执行的优势，充分体现案件处理快速高效。</w:t>
      </w:r>
    </w:p>
    <w:p w:rsidR="006C4721" w:rsidRDefault="00012421" w:rsidP="00B721BD">
      <w:pPr>
        <w:spacing w:line="560" w:lineRule="exact"/>
        <w:ind w:firstLineChars="200" w:firstLine="640"/>
        <w:rPr>
          <w:rFonts w:ascii="黑体" w:eastAsia="黑体" w:hAnsi="黑体"/>
          <w:sz w:val="32"/>
          <w:szCs w:val="32"/>
        </w:rPr>
      </w:pPr>
      <w:r w:rsidRPr="006C4721">
        <w:rPr>
          <w:rFonts w:ascii="黑体" w:eastAsia="黑体" w:hAnsi="黑体" w:hint="eastAsia"/>
          <w:sz w:val="32"/>
          <w:szCs w:val="32"/>
        </w:rPr>
        <w:t>五、评价结论及建议</w:t>
      </w:r>
    </w:p>
    <w:p w:rsidR="006C4721" w:rsidRDefault="006C47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（一）评价结论</w:t>
      </w:r>
    </w:p>
    <w:p w:rsidR="00B721BD" w:rsidRDefault="00B721BD" w:rsidP="00B721BD">
      <w:pPr>
        <w:spacing w:line="560" w:lineRule="exact"/>
        <w:ind w:firstLineChars="200" w:firstLine="640"/>
        <w:rPr>
          <w:rFonts w:ascii="仿宋_GB2312" w:eastAsia="仿宋_GB2312"/>
          <w:sz w:val="32"/>
          <w:szCs w:val="32"/>
        </w:rPr>
      </w:pPr>
      <w:bookmarkStart w:id="0" w:name="_Hlk68227430"/>
      <w:r w:rsidRPr="00B721BD">
        <w:rPr>
          <w:rFonts w:ascii="仿宋_GB2312" w:eastAsia="仿宋_GB2312" w:hint="eastAsia"/>
          <w:sz w:val="32"/>
          <w:szCs w:val="32"/>
        </w:rPr>
        <w:t>按照财政资金使用用途和目的，</w:t>
      </w:r>
      <w:r>
        <w:rPr>
          <w:rFonts w:ascii="仿宋_GB2312" w:eastAsia="仿宋_GB2312" w:hint="eastAsia"/>
          <w:sz w:val="32"/>
          <w:szCs w:val="32"/>
        </w:rPr>
        <w:t>我单位</w:t>
      </w:r>
      <w:r w:rsidRPr="00B721BD">
        <w:rPr>
          <w:rFonts w:ascii="仿宋_GB2312" w:eastAsia="仿宋_GB2312" w:hint="eastAsia"/>
          <w:sz w:val="32"/>
          <w:szCs w:val="32"/>
        </w:rPr>
        <w:t>款项支付规范，最大限度地发挥了财政资金的使用效率，认真执行年初预算资金计划，帐</w:t>
      </w:r>
      <w:proofErr w:type="gramStart"/>
      <w:r w:rsidRPr="00B721BD">
        <w:rPr>
          <w:rFonts w:ascii="仿宋_GB2312" w:eastAsia="仿宋_GB2312" w:hint="eastAsia"/>
          <w:sz w:val="32"/>
          <w:szCs w:val="32"/>
        </w:rPr>
        <w:t>务</w:t>
      </w:r>
      <w:proofErr w:type="gramEnd"/>
      <w:r w:rsidRPr="00B721BD">
        <w:rPr>
          <w:rFonts w:ascii="仿宋_GB2312" w:eastAsia="仿宋_GB2312" w:hint="eastAsia"/>
          <w:sz w:val="32"/>
          <w:szCs w:val="32"/>
        </w:rPr>
        <w:t>核算及时规范，保障了机关正常运转，促进了项目建设全面完成，较好地完成了年度工作目标任务。</w:t>
      </w:r>
      <w:bookmarkEnd w:id="0"/>
    </w:p>
    <w:p w:rsidR="006C4721" w:rsidRPr="006C4721" w:rsidRDefault="000124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（二）存在的问题</w:t>
      </w:r>
    </w:p>
    <w:p w:rsidR="006C4721"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项目指标设立、绩效监控与评价</w:t>
      </w:r>
      <w:r w:rsidR="00B721BD">
        <w:rPr>
          <w:rFonts w:ascii="仿宋_GB2312" w:eastAsia="仿宋_GB2312" w:hint="eastAsia"/>
          <w:sz w:val="32"/>
          <w:szCs w:val="32"/>
        </w:rPr>
        <w:t>需再加强</w:t>
      </w:r>
      <w:r w:rsidRPr="002D3AA0">
        <w:rPr>
          <w:rFonts w:ascii="仿宋_GB2312" w:eastAsia="仿宋_GB2312" w:hint="eastAsia"/>
          <w:sz w:val="32"/>
          <w:szCs w:val="32"/>
        </w:rPr>
        <w:t>。</w:t>
      </w:r>
    </w:p>
    <w:p w:rsidR="006C4721" w:rsidRDefault="00012421" w:rsidP="00B721BD">
      <w:pPr>
        <w:spacing w:line="560" w:lineRule="exact"/>
        <w:ind w:firstLineChars="200" w:firstLine="640"/>
        <w:rPr>
          <w:rFonts w:ascii="楷体" w:eastAsia="楷体" w:hAnsi="楷体"/>
          <w:sz w:val="32"/>
          <w:szCs w:val="32"/>
        </w:rPr>
      </w:pPr>
      <w:r w:rsidRPr="006C4721">
        <w:rPr>
          <w:rFonts w:ascii="楷体" w:eastAsia="楷体" w:hAnsi="楷体" w:hint="eastAsia"/>
          <w:sz w:val="32"/>
          <w:szCs w:val="32"/>
        </w:rPr>
        <w:t>（三）相关建议</w:t>
      </w:r>
    </w:p>
    <w:p w:rsidR="009D6CFF" w:rsidRPr="006C4721" w:rsidRDefault="00012421" w:rsidP="00B721BD">
      <w:pPr>
        <w:spacing w:line="560" w:lineRule="exact"/>
        <w:ind w:firstLineChars="200" w:firstLine="640"/>
        <w:rPr>
          <w:rFonts w:ascii="楷体" w:eastAsia="楷体" w:hAnsi="楷体"/>
          <w:sz w:val="32"/>
          <w:szCs w:val="32"/>
        </w:rPr>
      </w:pPr>
      <w:r w:rsidRPr="002D3AA0">
        <w:rPr>
          <w:rFonts w:ascii="仿宋_GB2312" w:eastAsia="仿宋_GB2312" w:hint="eastAsia"/>
          <w:sz w:val="32"/>
          <w:szCs w:val="32"/>
        </w:rPr>
        <w:t>要充分认识到开展财政支出绩效评价的重要性和紧迫性，以高度的责任感，进一步健全完善内部工作机制，统筹安排，细化分工，明确职责，把预算绩效管理工作作为部门推进财政资金管理的重要抓手，抓好抓早抓细。</w:t>
      </w:r>
    </w:p>
    <w:p w:rsidR="00012421" w:rsidRPr="002D3AA0" w:rsidRDefault="00012421" w:rsidP="00B721BD">
      <w:pPr>
        <w:spacing w:line="560" w:lineRule="exact"/>
        <w:rPr>
          <w:rFonts w:ascii="仿宋_GB2312" w:eastAsia="仿宋_GB2312"/>
          <w:sz w:val="32"/>
          <w:szCs w:val="32"/>
        </w:rPr>
      </w:pPr>
    </w:p>
    <w:sectPr w:rsidR="00012421" w:rsidRPr="002D3AA0" w:rsidSect="002D3AA0">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036" w:rsidRDefault="00CE6036" w:rsidP="00012421">
      <w:r>
        <w:separator/>
      </w:r>
    </w:p>
  </w:endnote>
  <w:endnote w:type="continuationSeparator" w:id="0">
    <w:p w:rsidR="00CE6036" w:rsidRDefault="00CE6036" w:rsidP="000124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02917"/>
      <w:docPartObj>
        <w:docPartGallery w:val="Page Numbers (Bottom of Page)"/>
        <w:docPartUnique/>
      </w:docPartObj>
    </w:sdtPr>
    <w:sdtContent>
      <w:p w:rsidR="006C4721" w:rsidRDefault="00DD1CF1">
        <w:pPr>
          <w:pStyle w:val="a4"/>
          <w:jc w:val="center"/>
        </w:pPr>
        <w:r w:rsidRPr="00DD1CF1">
          <w:fldChar w:fldCharType="begin"/>
        </w:r>
        <w:r w:rsidR="00C82AF0">
          <w:instrText xml:space="preserve"> PAGE   \* MERGEFORMAT </w:instrText>
        </w:r>
        <w:r w:rsidRPr="00DD1CF1">
          <w:fldChar w:fldCharType="separate"/>
        </w:r>
        <w:r w:rsidR="005E74FE" w:rsidRPr="005E74FE">
          <w:rPr>
            <w:noProof/>
            <w:lang w:val="zh-CN"/>
          </w:rPr>
          <w:t>7</w:t>
        </w:r>
        <w:r>
          <w:rPr>
            <w:noProof/>
            <w:lang w:val="zh-CN"/>
          </w:rPr>
          <w:fldChar w:fldCharType="end"/>
        </w:r>
      </w:p>
    </w:sdtContent>
  </w:sdt>
  <w:p w:rsidR="006C4721" w:rsidRDefault="006C472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036" w:rsidRDefault="00CE6036" w:rsidP="00012421">
      <w:r>
        <w:separator/>
      </w:r>
    </w:p>
  </w:footnote>
  <w:footnote w:type="continuationSeparator" w:id="0">
    <w:p w:rsidR="00CE6036" w:rsidRDefault="00CE6036" w:rsidP="000124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2421"/>
    <w:rsid w:val="00000D33"/>
    <w:rsid w:val="0001007C"/>
    <w:rsid w:val="00012421"/>
    <w:rsid w:val="00014F17"/>
    <w:rsid w:val="00034314"/>
    <w:rsid w:val="0004232B"/>
    <w:rsid w:val="00043038"/>
    <w:rsid w:val="00050869"/>
    <w:rsid w:val="00064A93"/>
    <w:rsid w:val="00067989"/>
    <w:rsid w:val="00096A8F"/>
    <w:rsid w:val="00097ECC"/>
    <w:rsid w:val="000B36E0"/>
    <w:rsid w:val="000C1707"/>
    <w:rsid w:val="000D1D78"/>
    <w:rsid w:val="000D2E9A"/>
    <w:rsid w:val="000D5238"/>
    <w:rsid w:val="000D61A9"/>
    <w:rsid w:val="000E36B3"/>
    <w:rsid w:val="00103849"/>
    <w:rsid w:val="00105BC4"/>
    <w:rsid w:val="00110197"/>
    <w:rsid w:val="00111F4A"/>
    <w:rsid w:val="001206F3"/>
    <w:rsid w:val="00125D73"/>
    <w:rsid w:val="00133BAB"/>
    <w:rsid w:val="00135412"/>
    <w:rsid w:val="00141098"/>
    <w:rsid w:val="0014484A"/>
    <w:rsid w:val="00157189"/>
    <w:rsid w:val="00157877"/>
    <w:rsid w:val="001626D0"/>
    <w:rsid w:val="0018391C"/>
    <w:rsid w:val="00184B93"/>
    <w:rsid w:val="00193B44"/>
    <w:rsid w:val="001A31E0"/>
    <w:rsid w:val="001B2023"/>
    <w:rsid w:val="001B5865"/>
    <w:rsid w:val="001D6202"/>
    <w:rsid w:val="001E3450"/>
    <w:rsid w:val="001E5F48"/>
    <w:rsid w:val="001F503B"/>
    <w:rsid w:val="00202B2A"/>
    <w:rsid w:val="00234ADD"/>
    <w:rsid w:val="0023544F"/>
    <w:rsid w:val="00260320"/>
    <w:rsid w:val="0026187F"/>
    <w:rsid w:val="00282783"/>
    <w:rsid w:val="0029305E"/>
    <w:rsid w:val="00295E5A"/>
    <w:rsid w:val="0029677B"/>
    <w:rsid w:val="002B3244"/>
    <w:rsid w:val="002D3AA0"/>
    <w:rsid w:val="002E179B"/>
    <w:rsid w:val="002F44EB"/>
    <w:rsid w:val="00313E97"/>
    <w:rsid w:val="0033363A"/>
    <w:rsid w:val="003641FD"/>
    <w:rsid w:val="00371569"/>
    <w:rsid w:val="00371FC0"/>
    <w:rsid w:val="0037585C"/>
    <w:rsid w:val="00380513"/>
    <w:rsid w:val="00381F54"/>
    <w:rsid w:val="0038420D"/>
    <w:rsid w:val="00394745"/>
    <w:rsid w:val="003A1A11"/>
    <w:rsid w:val="003D06C7"/>
    <w:rsid w:val="003D461D"/>
    <w:rsid w:val="003E6CEB"/>
    <w:rsid w:val="003F5F72"/>
    <w:rsid w:val="00414C04"/>
    <w:rsid w:val="004216EB"/>
    <w:rsid w:val="004351DC"/>
    <w:rsid w:val="0043690C"/>
    <w:rsid w:val="0044122A"/>
    <w:rsid w:val="00465030"/>
    <w:rsid w:val="004844A9"/>
    <w:rsid w:val="00484F52"/>
    <w:rsid w:val="00487338"/>
    <w:rsid w:val="0049126E"/>
    <w:rsid w:val="00494455"/>
    <w:rsid w:val="004A2E15"/>
    <w:rsid w:val="004B15A4"/>
    <w:rsid w:val="004B1DE8"/>
    <w:rsid w:val="004C0257"/>
    <w:rsid w:val="004C2E8C"/>
    <w:rsid w:val="004C3EF9"/>
    <w:rsid w:val="004E0725"/>
    <w:rsid w:val="00506516"/>
    <w:rsid w:val="00506636"/>
    <w:rsid w:val="00521715"/>
    <w:rsid w:val="00523AE7"/>
    <w:rsid w:val="005313FF"/>
    <w:rsid w:val="00537EF4"/>
    <w:rsid w:val="00552E90"/>
    <w:rsid w:val="005639A0"/>
    <w:rsid w:val="00566199"/>
    <w:rsid w:val="00567BA0"/>
    <w:rsid w:val="00580CF6"/>
    <w:rsid w:val="005847DE"/>
    <w:rsid w:val="00595112"/>
    <w:rsid w:val="005A299B"/>
    <w:rsid w:val="005B3E00"/>
    <w:rsid w:val="005D2D3F"/>
    <w:rsid w:val="005E74FE"/>
    <w:rsid w:val="005F21C3"/>
    <w:rsid w:val="005F5A69"/>
    <w:rsid w:val="005F79DA"/>
    <w:rsid w:val="00602336"/>
    <w:rsid w:val="00627EB9"/>
    <w:rsid w:val="00643F8B"/>
    <w:rsid w:val="00653019"/>
    <w:rsid w:val="00664880"/>
    <w:rsid w:val="006667DD"/>
    <w:rsid w:val="00667C94"/>
    <w:rsid w:val="00672338"/>
    <w:rsid w:val="00676D54"/>
    <w:rsid w:val="00677DD3"/>
    <w:rsid w:val="00684F92"/>
    <w:rsid w:val="006A51D1"/>
    <w:rsid w:val="006A7AC0"/>
    <w:rsid w:val="006B311C"/>
    <w:rsid w:val="006C1E2A"/>
    <w:rsid w:val="006C4721"/>
    <w:rsid w:val="006D2AB9"/>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E4C51"/>
    <w:rsid w:val="007F0153"/>
    <w:rsid w:val="007F0494"/>
    <w:rsid w:val="007F0AFA"/>
    <w:rsid w:val="007F27DF"/>
    <w:rsid w:val="00803FA9"/>
    <w:rsid w:val="00804B45"/>
    <w:rsid w:val="00830229"/>
    <w:rsid w:val="0083545B"/>
    <w:rsid w:val="00835A00"/>
    <w:rsid w:val="00836AD9"/>
    <w:rsid w:val="0084109E"/>
    <w:rsid w:val="0087561D"/>
    <w:rsid w:val="00875C86"/>
    <w:rsid w:val="008A7D25"/>
    <w:rsid w:val="008B73DC"/>
    <w:rsid w:val="008C06A3"/>
    <w:rsid w:val="008D27A7"/>
    <w:rsid w:val="008D410A"/>
    <w:rsid w:val="008E0D95"/>
    <w:rsid w:val="008E3934"/>
    <w:rsid w:val="008E3A9D"/>
    <w:rsid w:val="009136C9"/>
    <w:rsid w:val="00921479"/>
    <w:rsid w:val="00922291"/>
    <w:rsid w:val="009268AC"/>
    <w:rsid w:val="00932D81"/>
    <w:rsid w:val="00944037"/>
    <w:rsid w:val="00944367"/>
    <w:rsid w:val="0095142C"/>
    <w:rsid w:val="00967186"/>
    <w:rsid w:val="009A4EAA"/>
    <w:rsid w:val="009B5411"/>
    <w:rsid w:val="009D2695"/>
    <w:rsid w:val="009E233B"/>
    <w:rsid w:val="009E574A"/>
    <w:rsid w:val="009E798E"/>
    <w:rsid w:val="00A0197B"/>
    <w:rsid w:val="00A25B0D"/>
    <w:rsid w:val="00A32460"/>
    <w:rsid w:val="00A37E00"/>
    <w:rsid w:val="00A83481"/>
    <w:rsid w:val="00AC1B46"/>
    <w:rsid w:val="00AD63B4"/>
    <w:rsid w:val="00AE67A4"/>
    <w:rsid w:val="00AF5AF8"/>
    <w:rsid w:val="00AF67ED"/>
    <w:rsid w:val="00B006B6"/>
    <w:rsid w:val="00B00D38"/>
    <w:rsid w:val="00B01FCD"/>
    <w:rsid w:val="00B122FF"/>
    <w:rsid w:val="00B13B9F"/>
    <w:rsid w:val="00B1480C"/>
    <w:rsid w:val="00B22280"/>
    <w:rsid w:val="00B23916"/>
    <w:rsid w:val="00B26439"/>
    <w:rsid w:val="00B3106D"/>
    <w:rsid w:val="00B51D5A"/>
    <w:rsid w:val="00B55A07"/>
    <w:rsid w:val="00B57026"/>
    <w:rsid w:val="00B57DB5"/>
    <w:rsid w:val="00B721BD"/>
    <w:rsid w:val="00B87D8F"/>
    <w:rsid w:val="00B978CA"/>
    <w:rsid w:val="00BB108E"/>
    <w:rsid w:val="00BC539D"/>
    <w:rsid w:val="00BD3519"/>
    <w:rsid w:val="00BD6382"/>
    <w:rsid w:val="00BE0ABC"/>
    <w:rsid w:val="00BE0C92"/>
    <w:rsid w:val="00BE2D31"/>
    <w:rsid w:val="00BE6AA5"/>
    <w:rsid w:val="00C122EE"/>
    <w:rsid w:val="00C154BC"/>
    <w:rsid w:val="00C25DC8"/>
    <w:rsid w:val="00C37C71"/>
    <w:rsid w:val="00C57903"/>
    <w:rsid w:val="00C64045"/>
    <w:rsid w:val="00C81849"/>
    <w:rsid w:val="00C82AF0"/>
    <w:rsid w:val="00C943B8"/>
    <w:rsid w:val="00C94857"/>
    <w:rsid w:val="00CA58DA"/>
    <w:rsid w:val="00CB1102"/>
    <w:rsid w:val="00CC6D4B"/>
    <w:rsid w:val="00CE1FD2"/>
    <w:rsid w:val="00CE2726"/>
    <w:rsid w:val="00CE6036"/>
    <w:rsid w:val="00CF6AE1"/>
    <w:rsid w:val="00D02644"/>
    <w:rsid w:val="00D03259"/>
    <w:rsid w:val="00D3385A"/>
    <w:rsid w:val="00D341CA"/>
    <w:rsid w:val="00D63E39"/>
    <w:rsid w:val="00D706DC"/>
    <w:rsid w:val="00D743B2"/>
    <w:rsid w:val="00D74C1C"/>
    <w:rsid w:val="00D768FF"/>
    <w:rsid w:val="00D82B04"/>
    <w:rsid w:val="00D94477"/>
    <w:rsid w:val="00D94C5D"/>
    <w:rsid w:val="00DD1CF1"/>
    <w:rsid w:val="00E14D7B"/>
    <w:rsid w:val="00E17DD4"/>
    <w:rsid w:val="00E213F4"/>
    <w:rsid w:val="00E258B0"/>
    <w:rsid w:val="00E31CE3"/>
    <w:rsid w:val="00E37610"/>
    <w:rsid w:val="00E46826"/>
    <w:rsid w:val="00E50400"/>
    <w:rsid w:val="00E603A6"/>
    <w:rsid w:val="00E665F0"/>
    <w:rsid w:val="00E73DA5"/>
    <w:rsid w:val="00EA1601"/>
    <w:rsid w:val="00EA7E72"/>
    <w:rsid w:val="00EC7861"/>
    <w:rsid w:val="00ED3658"/>
    <w:rsid w:val="00ED5147"/>
    <w:rsid w:val="00EF30DA"/>
    <w:rsid w:val="00F16F0F"/>
    <w:rsid w:val="00F24757"/>
    <w:rsid w:val="00F2644B"/>
    <w:rsid w:val="00F37C91"/>
    <w:rsid w:val="00F46A12"/>
    <w:rsid w:val="00F754F0"/>
    <w:rsid w:val="00FA7A45"/>
    <w:rsid w:val="00FB6BC9"/>
    <w:rsid w:val="00FC500F"/>
    <w:rsid w:val="00FD0BAE"/>
    <w:rsid w:val="00FD1922"/>
    <w:rsid w:val="00FE02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3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24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12421"/>
    <w:rPr>
      <w:sz w:val="18"/>
      <w:szCs w:val="18"/>
    </w:rPr>
  </w:style>
  <w:style w:type="paragraph" w:styleId="a4">
    <w:name w:val="footer"/>
    <w:basedOn w:val="a"/>
    <w:link w:val="Char0"/>
    <w:uiPriority w:val="99"/>
    <w:unhideWhenUsed/>
    <w:rsid w:val="00012421"/>
    <w:pPr>
      <w:tabs>
        <w:tab w:val="center" w:pos="4153"/>
        <w:tab w:val="right" w:pos="8306"/>
      </w:tabs>
      <w:snapToGrid w:val="0"/>
      <w:jc w:val="left"/>
    </w:pPr>
    <w:rPr>
      <w:sz w:val="18"/>
      <w:szCs w:val="18"/>
    </w:rPr>
  </w:style>
  <w:style w:type="character" w:customStyle="1" w:styleId="Char0">
    <w:name w:val="页脚 Char"/>
    <w:basedOn w:val="a0"/>
    <w:link w:val="a4"/>
    <w:uiPriority w:val="99"/>
    <w:rsid w:val="0001242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529</Words>
  <Characters>3020</Characters>
  <Application>Microsoft Office Word</Application>
  <DocSecurity>0</DocSecurity>
  <Lines>25</Lines>
  <Paragraphs>7</Paragraphs>
  <ScaleCrop>false</ScaleCrop>
  <Company>Microsoft</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曾应仙</dc:creator>
  <cp:keywords/>
  <dc:description/>
  <cp:lastModifiedBy>曾应仙</cp:lastModifiedBy>
  <cp:revision>13</cp:revision>
  <dcterms:created xsi:type="dcterms:W3CDTF">2021-03-29T09:45:00Z</dcterms:created>
  <dcterms:modified xsi:type="dcterms:W3CDTF">2021-04-02T04:47:00Z</dcterms:modified>
</cp:coreProperties>
</file>