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Times New Roman" w:hAnsi="Times New Roman" w:eastAsia="方正小标宋简体" w:cs="Times New Roman"/>
          <w:sz w:val="72"/>
          <w:szCs w:val="72"/>
        </w:rPr>
      </w:pPr>
      <w:bookmarkStart w:id="0" w:name="_Toc15306267"/>
      <w:bookmarkStart w:id="114" w:name="_GoBack"/>
      <w:bookmarkEnd w:id="114"/>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spacing w:line="600" w:lineRule="exact"/>
        <w:jc w:val="center"/>
        <w:outlineLvl w:val="0"/>
        <w:rPr>
          <w:rFonts w:hint="default" w:ascii="Times New Roman" w:hAnsi="Times New Roman" w:eastAsia="方正小标宋简体" w:cs="Times New Roman"/>
          <w:sz w:val="72"/>
          <w:szCs w:val="72"/>
        </w:rPr>
      </w:pPr>
    </w:p>
    <w:p>
      <w:pPr>
        <w:jc w:val="center"/>
        <w:rPr>
          <w:rFonts w:hint="default" w:ascii="Times New Roman" w:hAnsi="Times New Roman" w:eastAsia="方正小标宋简体" w:cs="Times New Roman"/>
          <w:sz w:val="72"/>
          <w:szCs w:val="72"/>
        </w:rPr>
      </w:pPr>
      <w:bookmarkStart w:id="1" w:name="_Toc15377425"/>
      <w:bookmarkStart w:id="2" w:name="_Toc15396597"/>
      <w:bookmarkStart w:id="3" w:name="_Toc15378441"/>
      <w:bookmarkStart w:id="4" w:name="_Toc15396475"/>
      <w:bookmarkStart w:id="5" w:name="_Toc15377193"/>
      <w:r>
        <w:rPr>
          <w:rFonts w:hint="default" w:ascii="Times New Roman" w:hAnsi="Times New Roman" w:eastAsia="方正小标宋简体" w:cs="Times New Roman"/>
          <w:sz w:val="72"/>
          <w:szCs w:val="72"/>
        </w:rPr>
        <w:t>2021年度</w:t>
      </w:r>
      <w:bookmarkEnd w:id="1"/>
      <w:bookmarkEnd w:id="2"/>
      <w:bookmarkEnd w:id="3"/>
      <w:bookmarkEnd w:id="4"/>
      <w:bookmarkEnd w:id="5"/>
    </w:p>
    <w:p>
      <w:pPr>
        <w:jc w:val="center"/>
        <w:rPr>
          <w:rFonts w:hint="default" w:ascii="Times New Roman" w:hAnsi="Times New Roman" w:eastAsia="方正小标宋简体" w:cs="Times New Roman"/>
          <w:sz w:val="72"/>
          <w:szCs w:val="72"/>
        </w:rPr>
      </w:pPr>
      <w:bookmarkStart w:id="6" w:name="_Toc15377426"/>
      <w:bookmarkStart w:id="7" w:name="_Toc15396476"/>
      <w:bookmarkStart w:id="8" w:name="_Toc15396598"/>
      <w:bookmarkStart w:id="9" w:name="_Toc15378442"/>
      <w:bookmarkStart w:id="10" w:name="_Toc15377194"/>
      <w:r>
        <w:rPr>
          <w:rFonts w:hint="default" w:ascii="Times New Roman" w:hAnsi="Times New Roman" w:eastAsia="方正小标宋简体" w:cs="Times New Roman"/>
          <w:sz w:val="72"/>
          <w:szCs w:val="72"/>
        </w:rPr>
        <w:t>四川省</w:t>
      </w:r>
      <w:bookmarkEnd w:id="0"/>
      <w:bookmarkStart w:id="11" w:name="_Toc15306268"/>
      <w:r>
        <w:rPr>
          <w:rFonts w:hint="default" w:ascii="Times New Roman" w:hAnsi="Times New Roman" w:eastAsia="方正小标宋简体" w:cs="Times New Roman"/>
          <w:sz w:val="72"/>
          <w:szCs w:val="72"/>
        </w:rPr>
        <w:t>攀枝花市就业创业促进中心单位决算</w:t>
      </w:r>
      <w:bookmarkEnd w:id="6"/>
      <w:bookmarkEnd w:id="7"/>
      <w:bookmarkEnd w:id="8"/>
      <w:bookmarkEnd w:id="9"/>
      <w:bookmarkEnd w:id="10"/>
      <w:bookmarkEnd w:id="11"/>
    </w:p>
    <w:p>
      <w:pPr>
        <w:widowControl/>
        <w:jc w:val="center"/>
        <w:rPr>
          <w:rFonts w:hint="default" w:ascii="Times New Roman" w:hAnsi="Times New Roman" w:eastAsia="黑体" w:cs="Times New Roman"/>
          <w:sz w:val="48"/>
          <w:szCs w:val="48"/>
        </w:rPr>
      </w:pPr>
      <w:r>
        <w:rPr>
          <w:rFonts w:hint="default" w:ascii="Times New Roman" w:hAnsi="Times New Roman" w:eastAsia="方正小标宋简体" w:cs="Times New Roman"/>
          <w:sz w:val="36"/>
          <w:szCs w:val="36"/>
        </w:rPr>
        <w:br w:type="page"/>
      </w:r>
      <w:bookmarkStart w:id="12" w:name="_Toc15377226"/>
      <w:r>
        <w:rPr>
          <w:rFonts w:hint="default" w:ascii="Times New Roman" w:hAnsi="Times New Roman" w:eastAsia="黑体" w:cs="Times New Roman"/>
          <w:sz w:val="48"/>
          <w:szCs w:val="48"/>
        </w:rPr>
        <w:t>目录</w:t>
      </w:r>
    </w:p>
    <w:p>
      <w:pPr>
        <w:widowControl/>
        <w:jc w:val="center"/>
        <w:rPr>
          <w:rFonts w:hint="default" w:ascii="Times New Roman" w:hAnsi="Times New Roman" w:eastAsia="黑体" w:cs="Times New Roman"/>
          <w:sz w:val="28"/>
          <w:szCs w:val="28"/>
        </w:rPr>
      </w:pPr>
    </w:p>
    <w:p>
      <w:pPr>
        <w:pStyle w:val="10"/>
        <w:rPr>
          <w:rFonts w:hint="default" w:ascii="Times New Roman" w:hAnsi="Times New Roman" w:cs="Times New Roman"/>
        </w:rPr>
      </w:pPr>
      <w:r>
        <w:rPr>
          <w:rFonts w:hint="default" w:ascii="Times New Roman" w:hAnsi="Times New Roman" w:cs="Times New Roman"/>
        </w:rPr>
        <w:t>公开时间：2022年9月13日</w:t>
      </w:r>
    </w:p>
    <w:p>
      <w:pPr>
        <w:rPr>
          <w:rFonts w:hint="default" w:ascii="Times New Roman" w:hAnsi="Times New Roman" w:cs="Times New Roman"/>
        </w:rPr>
      </w:pPr>
    </w:p>
    <w:sdt>
      <w:sdtPr>
        <w:rPr>
          <w:rFonts w:hint="default" w:ascii="Times New Roman" w:hAnsi="Times New Roman" w:cs="Times New Roman"/>
          <w:b w:val="0"/>
          <w:bCs w:val="0"/>
          <w:kern w:val="2"/>
          <w:sz w:val="21"/>
          <w:szCs w:val="24"/>
          <w:lang w:val="zh-CN"/>
        </w:rPr>
        <w:id w:val="-1716902244"/>
        <w:docPartObj>
          <w:docPartGallery w:val="Table of Contents"/>
          <w:docPartUnique/>
        </w:docPartObj>
      </w:sdtPr>
      <w:sdtEndPr>
        <w:rPr>
          <w:rFonts w:hint="default" w:ascii="Times New Roman" w:hAnsi="Times New Roman" w:cs="Times New Roman"/>
          <w:b w:val="0"/>
          <w:bCs w:val="0"/>
          <w:kern w:val="2"/>
          <w:sz w:val="21"/>
          <w:szCs w:val="24"/>
          <w:lang w:val="en-US"/>
        </w:rPr>
      </w:sdtEndPr>
      <w:sdtContent>
        <w:p>
          <w:pPr>
            <w:pStyle w:val="30"/>
            <w:rPr>
              <w:rFonts w:hint="default" w:ascii="Times New Roman" w:hAnsi="Times New Roman" w:cs="Times New Roman"/>
            </w:rPr>
          </w:pPr>
          <w:bookmarkStart w:id="13" w:name="_Toc15396599"/>
          <w:bookmarkStart w:id="14" w:name="_Toc15377196"/>
        </w:p>
        <w:p>
          <w:pPr>
            <w:pStyle w:val="10"/>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TOC \o "1-3" \h \z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"_Toc113957738" </w:instrText>
          </w:r>
          <w:r>
            <w:rPr>
              <w:rFonts w:hint="default" w:ascii="Times New Roman" w:hAnsi="Times New Roman" w:cs="Times New Roman"/>
            </w:rPr>
            <w:fldChar w:fldCharType="separate"/>
          </w:r>
          <w:r>
            <w:rPr>
              <w:rStyle w:val="15"/>
              <w:rFonts w:hint="default" w:ascii="Times New Roman" w:hAnsi="Times New Roman" w:eastAsia="黑体" w:cs="Times New Roman"/>
            </w:rPr>
            <w:t>第一部分 部门概况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_Toc113957738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"_Toc113957739" </w:instrText>
          </w:r>
          <w:r>
            <w:rPr>
              <w:rFonts w:hint="default" w:ascii="Times New Roman" w:hAnsi="Times New Roman" w:cs="Times New Roman"/>
            </w:rPr>
            <w:fldChar w:fldCharType="separate"/>
          </w:r>
          <w:r>
            <w:rPr>
              <w:rStyle w:val="15"/>
              <w:rFonts w:hint="default" w:ascii="Times New Roman" w:hAnsi="Times New Roman" w:eastAsia="黑体" w:cs="Times New Roman"/>
            </w:rPr>
            <w:t>一、基本职能及主要工作</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_Toc113957739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"_Toc113957740" </w:instrText>
          </w:r>
          <w:r>
            <w:rPr>
              <w:rFonts w:hint="default" w:ascii="Times New Roman" w:hAnsi="Times New Roman" w:cs="Times New Roman"/>
            </w:rPr>
            <w:fldChar w:fldCharType="separate"/>
          </w:r>
          <w:r>
            <w:rPr>
              <w:rStyle w:val="15"/>
              <w:rFonts w:hint="default" w:ascii="Times New Roman" w:hAnsi="Times New Roman" w:eastAsia="仿宋" w:cs="Times New Roman"/>
              <w:b/>
              <w:bCs/>
            </w:rPr>
            <w:t>（一）主要职能</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_Toc113957740 \h </w:instrText>
          </w:r>
          <w:r>
            <w:rPr>
              <w:rFonts w:hint="default" w:ascii="Times New Roman" w:hAnsi="Times New Roman" w:cs="Times New Roman"/>
            </w:rPr>
            <w:fldChar w:fldCharType="separate"/>
          </w:r>
          <w:r>
            <w:rPr>
              <w:rFonts w:hint="default" w:ascii="Times New Roman" w:hAnsi="Times New Roman" w:cs="Times New Roman"/>
            </w:rPr>
            <w:t>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"_Toc113957741" </w:instrText>
          </w:r>
          <w:r>
            <w:rPr>
              <w:rFonts w:hint="default" w:ascii="Times New Roman" w:hAnsi="Times New Roman" w:cs="Times New Roman"/>
            </w:rPr>
            <w:fldChar w:fldCharType="separate"/>
          </w:r>
          <w:r>
            <w:rPr>
              <w:rStyle w:val="15"/>
              <w:rFonts w:hint="default" w:ascii="Times New Roman" w:hAnsi="Times New Roman" w:eastAsia="仿宋" w:cs="Times New Roman"/>
              <w:b/>
              <w:bCs/>
            </w:rPr>
            <w:t>（二）2021年重点工作完成情况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_Toc113957741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"_Toc113957742" </w:instrText>
          </w:r>
          <w:r>
            <w:rPr>
              <w:rFonts w:hint="default" w:ascii="Times New Roman" w:hAnsi="Times New Roman" w:cs="Times New Roman"/>
            </w:rPr>
            <w:fldChar w:fldCharType="separate"/>
          </w:r>
          <w:r>
            <w:rPr>
              <w:rStyle w:val="15"/>
              <w:rFonts w:hint="default" w:ascii="Times New Roman" w:hAnsi="Times New Roman" w:eastAsia="黑体" w:cs="Times New Roman"/>
            </w:rPr>
            <w:t>二、机构设置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_Toc113957742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"_Toc113957743" </w:instrText>
          </w:r>
          <w:r>
            <w:rPr>
              <w:rFonts w:hint="default" w:ascii="Times New Roman" w:hAnsi="Times New Roman" w:cs="Times New Roman"/>
            </w:rPr>
            <w:fldChar w:fldCharType="separate"/>
          </w:r>
          <w:r>
            <w:rPr>
              <w:rStyle w:val="15"/>
              <w:rFonts w:hint="default" w:ascii="Times New Roman" w:hAnsi="Times New Roman" w:eastAsia="黑体" w:cs="Times New Roman"/>
            </w:rPr>
            <w:t>第二部分2021年度部门决算情况说明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_Toc113957743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260"/>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"_Toc113957744" </w:instrText>
          </w:r>
          <w:r>
            <w:rPr>
              <w:rFonts w:hint="default" w:ascii="Times New Roman" w:hAnsi="Times New Roman" w:cs="Times New Roman"/>
            </w:rPr>
            <w:fldChar w:fldCharType="separate"/>
          </w:r>
          <w:r>
            <w:rPr>
              <w:rStyle w:val="15"/>
              <w:rFonts w:hint="default" w:ascii="Times New Roman" w:hAnsi="Times New Roman" w:eastAsia="黑体" w:cs="Times New Roman"/>
              <w:bCs/>
            </w:rPr>
            <w:t>一、</w:t>
          </w:r>
          <w:r>
            <w:rPr>
              <w:rFonts w:hint="default" w:ascii="Times New Roman" w:hAnsi="Times New Roman" w:cs="Times New Roman" w:eastAsiaTheme="minorEastAsia"/>
              <w:szCs w:val="22"/>
            </w:rPr>
            <w:tab/>
          </w:r>
          <w:r>
            <w:rPr>
              <w:rStyle w:val="15"/>
              <w:rFonts w:hint="default" w:ascii="Times New Roman" w:hAnsi="Times New Roman" w:eastAsia="黑体" w:cs="Times New Roman"/>
            </w:rPr>
            <w:t>收</w:t>
          </w:r>
          <w:r>
            <w:rPr>
              <w:rStyle w:val="15"/>
              <w:rFonts w:hint="default" w:ascii="Times New Roman" w:hAnsi="Times New Roman" w:eastAsia="黑体" w:cs="Times New Roman"/>
              <w:bCs/>
            </w:rPr>
            <w:t>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260"/>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"_Toc113957745" </w:instrText>
          </w:r>
          <w:r>
            <w:rPr>
              <w:rFonts w:hint="default" w:ascii="Times New Roman" w:hAnsi="Times New Roman" w:cs="Times New Roman"/>
            </w:rPr>
            <w:fldChar w:fldCharType="separate"/>
          </w:r>
          <w:r>
            <w:rPr>
              <w:rStyle w:val="15"/>
              <w:rFonts w:hint="default" w:ascii="Times New Roman" w:hAnsi="Times New Roman" w:eastAsia="黑体" w:cs="Times New Roman"/>
              <w:bCs/>
            </w:rPr>
            <w:t>二、</w:t>
          </w:r>
          <w:r>
            <w:rPr>
              <w:rFonts w:hint="default" w:ascii="Times New Roman" w:hAnsi="Times New Roman" w:cs="Times New Roman" w:eastAsiaTheme="minorEastAsia"/>
              <w:szCs w:val="22"/>
            </w:rPr>
            <w:tab/>
          </w:r>
          <w:r>
            <w:rPr>
              <w:rStyle w:val="15"/>
              <w:rFonts w:hint="default" w:ascii="Times New Roman" w:hAnsi="Times New Roman" w:eastAsia="黑体" w:cs="Times New Roman"/>
            </w:rPr>
            <w:t>收</w:t>
          </w:r>
          <w:r>
            <w:rPr>
              <w:rStyle w:val="15"/>
              <w:rFonts w:hint="default" w:ascii="Times New Roman" w:hAnsi="Times New Roman" w:eastAsia="黑体" w:cs="Times New Roman"/>
              <w:bCs/>
            </w:rPr>
            <w:t>入决算情况说明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_Toc113957745 \h </w:instrText>
          </w:r>
          <w:r>
            <w:rPr>
              <w:rFonts w:hint="default" w:ascii="Times New Roman" w:hAnsi="Times New Roman" w:cs="Times New Roman"/>
            </w:rPr>
            <w:fldChar w:fldCharType="separate"/>
          </w:r>
          <w:r>
            <w:rPr>
              <w:rFonts w:hint="default" w:ascii="Times New Roman" w:hAnsi="Times New Roman" w:cs="Times New Roman"/>
            </w:rPr>
            <w:t>10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tabs>
              <w:tab w:val="left" w:pos="1260"/>
            </w:tabs>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"_Toc113957746" </w:instrText>
          </w:r>
          <w:r>
            <w:rPr>
              <w:rFonts w:hint="default" w:ascii="Times New Roman" w:hAnsi="Times New Roman" w:cs="Times New Roman"/>
            </w:rPr>
            <w:fldChar w:fldCharType="separate"/>
          </w:r>
          <w:r>
            <w:rPr>
              <w:rStyle w:val="15"/>
              <w:rFonts w:hint="default" w:ascii="Times New Roman" w:hAnsi="Times New Roman" w:eastAsia="黑体" w:cs="Times New Roman"/>
              <w:bCs/>
            </w:rPr>
            <w:t>三、</w:t>
          </w:r>
          <w:r>
            <w:rPr>
              <w:rFonts w:hint="default" w:ascii="Times New Roman" w:hAnsi="Times New Roman" w:cs="Times New Roman" w:eastAsiaTheme="minorEastAsia"/>
              <w:szCs w:val="22"/>
            </w:rPr>
            <w:tab/>
          </w:r>
          <w:r>
            <w:rPr>
              <w:rStyle w:val="15"/>
              <w:rFonts w:hint="default" w:ascii="Times New Roman" w:hAnsi="Times New Roman" w:eastAsia="黑体" w:cs="Times New Roman"/>
            </w:rPr>
            <w:t>支</w:t>
          </w:r>
          <w:r>
            <w:rPr>
              <w:rStyle w:val="15"/>
              <w:rFonts w:hint="default" w:ascii="Times New Roman" w:hAnsi="Times New Roman" w:eastAsia="黑体" w:cs="Times New Roman"/>
              <w:bCs/>
            </w:rPr>
            <w:t>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_Toc113957746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"_Toc113957747" </w:instrText>
          </w:r>
          <w:r>
            <w:rPr>
              <w:rFonts w:hint="default" w:ascii="Times New Roman" w:hAnsi="Times New Roman" w:cs="Times New Roman"/>
            </w:rPr>
            <w:fldChar w:fldCharType="separate"/>
          </w:r>
          <w:r>
            <w:rPr>
              <w:rStyle w:val="15"/>
              <w:rFonts w:hint="default" w:ascii="Times New Roman" w:hAnsi="Times New Roman" w:eastAsia="黑体" w:cs="Times New Roman"/>
            </w:rPr>
            <w:t>四、财</w:t>
          </w:r>
          <w:r>
            <w:rPr>
              <w:rStyle w:val="15"/>
              <w:rFonts w:hint="default" w:ascii="Times New Roman" w:hAnsi="Times New Roman" w:eastAsia="黑体" w:cs="Times New Roman"/>
              <w:bCs/>
            </w:rPr>
            <w:t>政拨款收入支出决算总体情况说明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_Toc113957747 \h </w:instrText>
          </w:r>
          <w:r>
            <w:rPr>
              <w:rFonts w:hint="default" w:ascii="Times New Roman" w:hAnsi="Times New Roman" w:cs="Times New Roman"/>
            </w:rPr>
            <w:fldChar w:fldCharType="separate"/>
          </w:r>
          <w:r>
            <w:rPr>
              <w:rFonts w:hint="default" w:ascii="Times New Roman" w:hAnsi="Times New Roman" w:cs="Times New Roman"/>
            </w:rPr>
            <w:t>12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"_Toc113957748" </w:instrText>
          </w:r>
          <w:r>
            <w:rPr>
              <w:rFonts w:hint="default" w:ascii="Times New Roman" w:hAnsi="Times New Roman" w:cs="Times New Roman"/>
            </w:rPr>
            <w:fldChar w:fldCharType="separate"/>
          </w:r>
          <w:r>
            <w:rPr>
              <w:rStyle w:val="15"/>
              <w:rFonts w:hint="default" w:ascii="Times New Roman" w:hAnsi="Times New Roman" w:eastAsia="黑体" w:cs="Times New Roman"/>
            </w:rPr>
            <w:t>五、</w:t>
          </w:r>
          <w:r>
            <w:rPr>
              <w:rStyle w:val="15"/>
              <w:rFonts w:hint="default" w:ascii="Times New Roman" w:hAnsi="Times New Roman" w:eastAsia="黑体" w:cs="Times New Roman"/>
              <w:b/>
            </w:rPr>
            <w:t>一</w:t>
          </w:r>
          <w:r>
            <w:rPr>
              <w:rStyle w:val="15"/>
              <w:rFonts w:hint="default" w:ascii="Times New Roman" w:hAnsi="Times New Roman" w:eastAsia="黑体" w:cs="Times New Roman"/>
              <w:bCs/>
            </w:rPr>
            <w:t>般公共预算财政拨款支出决算情况说明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"_Toc113957749" </w:instrText>
          </w:r>
          <w:r>
            <w:rPr>
              <w:rFonts w:hint="default" w:ascii="Times New Roman" w:hAnsi="Times New Roman" w:cs="Times New Roman"/>
            </w:rPr>
            <w:fldChar w:fldCharType="separate"/>
          </w:r>
          <w:r>
            <w:rPr>
              <w:rStyle w:val="15"/>
              <w:rFonts w:hint="default" w:ascii="Times New Roman" w:hAnsi="Times New Roman" w:eastAsia="仿宋" w:cs="Times New Roman"/>
              <w:b/>
            </w:rPr>
            <w:t>（一）一般公共预算财政拨款支出决算总体情况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_Toc113957749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"_Toc113957750" </w:instrText>
          </w:r>
          <w:r>
            <w:rPr>
              <w:rFonts w:hint="default" w:ascii="Times New Roman" w:hAnsi="Times New Roman" w:cs="Times New Roman"/>
            </w:rPr>
            <w:fldChar w:fldCharType="separate"/>
          </w:r>
          <w:r>
            <w:rPr>
              <w:rStyle w:val="15"/>
              <w:rFonts w:hint="default" w:ascii="Times New Roman" w:hAnsi="Times New Roman" w:eastAsia="仿宋" w:cs="Times New Roman"/>
              <w:b/>
            </w:rPr>
            <w:t>（二）一般公共预算财政拨款支出决算结构情况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_Toc113957750 \h </w:instrText>
          </w:r>
          <w:r>
            <w:rPr>
              <w:rFonts w:hint="default" w:ascii="Times New Roman" w:hAnsi="Times New Roman" w:cs="Times New Roman"/>
            </w:rPr>
            <w:fldChar w:fldCharType="separate"/>
          </w:r>
          <w:r>
            <w:rPr>
              <w:rFonts w:hint="default" w:ascii="Times New Roman" w:hAnsi="Times New Roman" w:cs="Times New Roman"/>
            </w:rPr>
            <w:t>14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"_Toc113957751" </w:instrText>
          </w:r>
          <w:r>
            <w:rPr>
              <w:rFonts w:hint="default" w:ascii="Times New Roman" w:hAnsi="Times New Roman" w:cs="Times New Roman"/>
            </w:rPr>
            <w:fldChar w:fldCharType="separate"/>
          </w:r>
          <w:r>
            <w:rPr>
              <w:rStyle w:val="15"/>
              <w:rFonts w:hint="default" w:ascii="Times New Roman" w:hAnsi="Times New Roman" w:eastAsia="黑体" w:cs="Times New Roman"/>
            </w:rPr>
            <w:t>六</w:t>
          </w:r>
          <w:r>
            <w:rPr>
              <w:rStyle w:val="15"/>
              <w:rFonts w:hint="default" w:ascii="Times New Roman" w:hAnsi="Times New Roman" w:eastAsia="黑体" w:cs="Times New Roman"/>
              <w:b/>
            </w:rPr>
            <w:t>、一</w:t>
          </w:r>
          <w:r>
            <w:rPr>
              <w:rStyle w:val="15"/>
              <w:rFonts w:hint="default" w:ascii="Times New Roman" w:hAnsi="Times New Roman" w:eastAsia="黑体" w:cs="Times New Roman"/>
              <w:bCs/>
            </w:rPr>
            <w:t>般公共预算财政拨款基本支出决算情况说明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_Toc113957751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"_Toc113957752" </w:instrText>
          </w:r>
          <w:r>
            <w:rPr>
              <w:rFonts w:hint="default" w:ascii="Times New Roman" w:hAnsi="Times New Roman" w:cs="Times New Roman"/>
            </w:rPr>
            <w:fldChar w:fldCharType="separate"/>
          </w:r>
          <w:r>
            <w:rPr>
              <w:rStyle w:val="15"/>
              <w:rFonts w:hint="default" w:ascii="Times New Roman" w:hAnsi="Times New Roman" w:eastAsia="黑体" w:cs="Times New Roman"/>
            </w:rPr>
            <w:t>七、</w:t>
          </w:r>
          <w:r>
            <w:rPr>
              <w:rStyle w:val="15"/>
              <w:rFonts w:hint="default" w:ascii="Times New Roman" w:hAnsi="Times New Roman" w:eastAsia="黑体" w:cs="Times New Roman"/>
              <w:b/>
              <w:bCs/>
            </w:rPr>
            <w:t>“</w:t>
          </w:r>
          <w:r>
            <w:rPr>
              <w:rStyle w:val="15"/>
              <w:rFonts w:hint="default" w:ascii="Times New Roman" w:hAnsi="Times New Roman" w:eastAsia="黑体" w:cs="Times New Roman"/>
              <w:bCs/>
            </w:rPr>
            <w:t>三公”经费财政拨款支出决算情况说明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_Toc113957752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"_Toc113957753" </w:instrText>
          </w:r>
          <w:r>
            <w:rPr>
              <w:rFonts w:hint="default" w:ascii="Times New Roman" w:hAnsi="Times New Roman" w:cs="Times New Roman"/>
            </w:rPr>
            <w:fldChar w:fldCharType="separate"/>
          </w:r>
          <w:r>
            <w:rPr>
              <w:rStyle w:val="15"/>
              <w:rFonts w:hint="default" w:ascii="Times New Roman" w:hAnsi="Times New Roman" w:eastAsia="仿宋" w:cs="Times New Roman"/>
              <w:b/>
            </w:rPr>
            <w:t>（一）“三公”经费财政拨款支出决算总体情况说明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_Toc113957753 \h </w:instrText>
          </w:r>
          <w:r>
            <w:rPr>
              <w:rFonts w:hint="default" w:ascii="Times New Roman" w:hAnsi="Times New Roman" w:cs="Times New Roman"/>
            </w:rPr>
            <w:fldChar w:fldCharType="separate"/>
          </w:r>
          <w:r>
            <w:rPr>
              <w:rFonts w:hint="default" w:ascii="Times New Roman" w:hAnsi="Times New Roman" w:cs="Times New Roman"/>
            </w:rPr>
            <w:t>15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"_Toc113957754" </w:instrText>
          </w:r>
          <w:r>
            <w:rPr>
              <w:rFonts w:hint="default" w:ascii="Times New Roman" w:hAnsi="Times New Roman" w:cs="Times New Roman"/>
            </w:rPr>
            <w:fldChar w:fldCharType="separate"/>
          </w:r>
          <w:r>
            <w:rPr>
              <w:rStyle w:val="15"/>
              <w:rFonts w:hint="default" w:ascii="Times New Roman" w:hAnsi="Times New Roman" w:eastAsia="仿宋" w:cs="Times New Roman"/>
              <w:b/>
            </w:rPr>
            <w:t>（二）“三公”经费财政拨款支出决算具体情况说明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_Toc113957754 \h </w:instrText>
          </w:r>
          <w:r>
            <w:rPr>
              <w:rFonts w:hint="default" w:ascii="Times New Roman" w:hAnsi="Times New Roman" w:cs="Times New Roman"/>
            </w:rPr>
            <w:fldChar w:fldCharType="separate"/>
          </w:r>
          <w:r>
            <w:rPr>
              <w:rFonts w:hint="default" w:ascii="Times New Roman" w:hAnsi="Times New Roman" w:cs="Times New Roman"/>
            </w:rPr>
            <w:t>16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"_Toc113957755" </w:instrText>
          </w:r>
          <w:r>
            <w:rPr>
              <w:rFonts w:hint="default" w:ascii="Times New Roman" w:hAnsi="Times New Roman" w:cs="Times New Roman"/>
            </w:rPr>
            <w:fldChar w:fldCharType="separate"/>
          </w:r>
          <w:r>
            <w:rPr>
              <w:rStyle w:val="15"/>
              <w:rFonts w:hint="default" w:ascii="Times New Roman" w:hAnsi="Times New Roman" w:eastAsia="黑体" w:cs="Times New Roman"/>
            </w:rPr>
            <w:t>八、</w:t>
          </w:r>
          <w:r>
            <w:rPr>
              <w:rStyle w:val="15"/>
              <w:rFonts w:hint="default" w:ascii="Times New Roman" w:hAnsi="Times New Roman" w:eastAsia="黑体" w:cs="Times New Roman"/>
              <w:bCs/>
            </w:rPr>
            <w:t>政府性基金预算支出决算情况说明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_Toc113957755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"_Toc113957756" </w:instrText>
          </w:r>
          <w:r>
            <w:rPr>
              <w:rFonts w:hint="default" w:ascii="Times New Roman" w:hAnsi="Times New Roman" w:cs="Times New Roman"/>
            </w:rPr>
            <w:fldChar w:fldCharType="separate"/>
          </w:r>
          <w:r>
            <w:rPr>
              <w:rStyle w:val="15"/>
              <w:rFonts w:hint="default" w:ascii="Times New Roman" w:hAnsi="Times New Roman" w:eastAsia="黑体" w:cs="Times New Roman"/>
              <w:bCs/>
            </w:rPr>
            <w:t>九、 国有资本经营预算支出决算情况说明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_Toc113957756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"_Toc113957757" </w:instrText>
          </w:r>
          <w:r>
            <w:rPr>
              <w:rFonts w:hint="default" w:ascii="Times New Roman" w:hAnsi="Times New Roman" w:cs="Times New Roman"/>
            </w:rPr>
            <w:fldChar w:fldCharType="separate"/>
          </w:r>
          <w:r>
            <w:rPr>
              <w:rStyle w:val="15"/>
              <w:rFonts w:hint="default" w:ascii="Times New Roman" w:hAnsi="Times New Roman" w:eastAsia="黑体" w:cs="Times New Roman"/>
              <w:bCs/>
            </w:rPr>
            <w:t>十、 其他重要事项的情况说明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_Toc113957757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"_Toc113957758" </w:instrText>
          </w:r>
          <w:r>
            <w:rPr>
              <w:rFonts w:hint="default" w:ascii="Times New Roman" w:hAnsi="Times New Roman" w:cs="Times New Roman"/>
            </w:rPr>
            <w:fldChar w:fldCharType="separate"/>
          </w:r>
          <w:r>
            <w:rPr>
              <w:rStyle w:val="15"/>
              <w:rFonts w:hint="default" w:ascii="Times New Roman" w:hAnsi="Times New Roman" w:eastAsia="仿宋" w:cs="Times New Roman"/>
              <w:b/>
            </w:rPr>
            <w:t>（一）机关运行经费支出情况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_Toc113957758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"_Toc113957759" </w:instrText>
          </w:r>
          <w:r>
            <w:rPr>
              <w:rFonts w:hint="default" w:ascii="Times New Roman" w:hAnsi="Times New Roman" w:cs="Times New Roman"/>
            </w:rPr>
            <w:fldChar w:fldCharType="separate"/>
          </w:r>
          <w:r>
            <w:rPr>
              <w:rStyle w:val="15"/>
              <w:rFonts w:hint="default" w:ascii="Times New Roman" w:hAnsi="Times New Roman" w:eastAsia="仿宋" w:cs="Times New Roman"/>
              <w:b/>
            </w:rPr>
            <w:t>（二）政府采购支出情况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_Toc113957759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"_Toc113957760" </w:instrText>
          </w:r>
          <w:r>
            <w:rPr>
              <w:rFonts w:hint="default" w:ascii="Times New Roman" w:hAnsi="Times New Roman" w:cs="Times New Roman"/>
            </w:rPr>
            <w:fldChar w:fldCharType="separate"/>
          </w:r>
          <w:r>
            <w:rPr>
              <w:rStyle w:val="15"/>
              <w:rFonts w:hint="default" w:ascii="Times New Roman" w:hAnsi="Times New Roman" w:eastAsia="仿宋" w:cs="Times New Roman"/>
              <w:b/>
            </w:rPr>
            <w:t>（三）国有资产占有使用情况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_Toc113957760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cs="Times New Roman"/>
            </w:rPr>
            <w:fldChar w:fldCharType="end"/>
          </w:r>
        </w:p>
        <w:p>
          <w:pPr>
            <w:pStyle w:val="6"/>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"_Toc113957761" </w:instrText>
          </w:r>
          <w:r>
            <w:rPr>
              <w:rFonts w:hint="default" w:ascii="Times New Roman" w:hAnsi="Times New Roman" w:cs="Times New Roman"/>
            </w:rPr>
            <w:fldChar w:fldCharType="separate"/>
          </w:r>
          <w:r>
            <w:rPr>
              <w:rStyle w:val="15"/>
              <w:rFonts w:hint="default" w:ascii="Times New Roman" w:hAnsi="Times New Roman" w:eastAsia="仿宋" w:cs="Times New Roman"/>
              <w:b/>
            </w:rPr>
            <w:t>（四）预算绩效管理情况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_Toc113957761 \h </w:instrText>
          </w:r>
          <w:r>
            <w:rPr>
              <w:rFonts w:hint="default" w:ascii="Times New Roman" w:hAnsi="Times New Roman" w:cs="Times New Roman"/>
            </w:rPr>
            <w:fldChar w:fldCharType="separate"/>
          </w:r>
          <w:r>
            <w:rPr>
              <w:rFonts w:hint="default" w:ascii="Times New Roman" w:hAnsi="Times New Roman" w:cs="Times New Roman"/>
            </w:rPr>
            <w:t>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"_Toc113957762" </w:instrText>
          </w:r>
          <w:r>
            <w:rPr>
              <w:rFonts w:hint="default" w:ascii="Times New Roman" w:hAnsi="Times New Roman" w:cs="Times New Roman"/>
            </w:rPr>
            <w:fldChar w:fldCharType="separate"/>
          </w:r>
          <w:r>
            <w:rPr>
              <w:rStyle w:val="15"/>
              <w:rFonts w:hint="default" w:ascii="Times New Roman" w:hAnsi="Times New Roman" w:eastAsia="黑体" w:cs="Times New Roman"/>
              <w:bCs/>
              <w:kern w:val="44"/>
            </w:rPr>
            <w:t>第三部分</w:t>
          </w:r>
          <w:r>
            <w:rPr>
              <w:rStyle w:val="15"/>
              <w:rFonts w:hint="default" w:ascii="Times New Roman" w:hAnsi="Times New Roman" w:eastAsia="黑体" w:cs="Times New Roman"/>
            </w:rPr>
            <w:t xml:space="preserve"> 名</w:t>
          </w:r>
          <w:r>
            <w:rPr>
              <w:rStyle w:val="15"/>
              <w:rFonts w:hint="default" w:ascii="Times New Roman" w:hAnsi="Times New Roman" w:eastAsia="黑体" w:cs="Times New Roman"/>
              <w:bCs/>
              <w:kern w:val="44"/>
            </w:rPr>
            <w:t>词解释</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_Toc113957762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"_Toc113957763" </w:instrText>
          </w:r>
          <w:r>
            <w:rPr>
              <w:rFonts w:hint="default" w:ascii="Times New Roman" w:hAnsi="Times New Roman" w:cs="Times New Roman"/>
            </w:rPr>
            <w:fldChar w:fldCharType="separate"/>
          </w:r>
          <w:r>
            <w:rPr>
              <w:rStyle w:val="15"/>
              <w:rFonts w:hint="default" w:ascii="Times New Roman" w:hAnsi="Times New Roman" w:cs="Times New Roman"/>
            </w:rPr>
            <w:t>第四部分 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_Toc113957763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"_Toc113957764" </w:instrText>
          </w:r>
          <w:r>
            <w:rPr>
              <w:rFonts w:hint="default" w:ascii="Times New Roman" w:hAnsi="Times New Roman" w:cs="Times New Roman"/>
            </w:rPr>
            <w:fldChar w:fldCharType="separate"/>
          </w:r>
          <w:r>
            <w:rPr>
              <w:rStyle w:val="15"/>
              <w:rFonts w:hint="default" w:ascii="Times New Roman" w:hAnsi="Times New Roman" w:eastAsia="黑体" w:cs="Times New Roman"/>
            </w:rPr>
            <w:t>附件</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_Toc113957764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0"/>
            <w:rPr>
              <w:rFonts w:hint="default" w:ascii="Times New Roman" w:hAnsi="Times New Roman" w:cs="Times New Roman" w:eastAsiaTheme="minorEastAsia"/>
              <w:sz w:val="21"/>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"_Toc113957765" </w:instrText>
          </w:r>
          <w:r>
            <w:rPr>
              <w:rFonts w:hint="default" w:ascii="Times New Roman" w:hAnsi="Times New Roman" w:cs="Times New Roman"/>
            </w:rPr>
            <w:fldChar w:fldCharType="separate"/>
          </w:r>
          <w:r>
            <w:rPr>
              <w:rStyle w:val="15"/>
              <w:rFonts w:hint="default" w:ascii="Times New Roman" w:hAnsi="Times New Roman" w:eastAsia="黑体" w:cs="Times New Roman"/>
            </w:rPr>
            <w:t>第</w:t>
          </w:r>
          <w:r>
            <w:rPr>
              <w:rStyle w:val="15"/>
              <w:rFonts w:hint="default" w:ascii="Times New Roman" w:hAnsi="Times New Roman" w:eastAsia="黑体" w:cs="Times New Roman"/>
              <w:bCs/>
              <w:kern w:val="44"/>
            </w:rPr>
            <w:t>五部分 附表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_Toc113957765 \h </w:instrText>
          </w:r>
          <w:r>
            <w:rPr>
              <w:rFonts w:hint="default" w:ascii="Times New Roman" w:hAnsi="Times New Roman" w:cs="Times New Roman"/>
            </w:rPr>
            <w:fldChar w:fldCharType="separate"/>
          </w:r>
          <w:r>
            <w:rPr>
              <w:rFonts w:hint="default" w:ascii="Times New Roman" w:hAnsi="Times New Roman" w:cs="Times New Roman"/>
            </w:rPr>
            <w:t>25</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"_Toc113957766" </w:instrText>
          </w:r>
          <w:r>
            <w:rPr>
              <w:rFonts w:hint="default" w:ascii="Times New Roman" w:hAnsi="Times New Roman" w:cs="Times New Roman"/>
            </w:rPr>
            <w:fldChar w:fldCharType="separate"/>
          </w:r>
          <w:r>
            <w:rPr>
              <w:rStyle w:val="15"/>
              <w:rFonts w:hint="default" w:ascii="Times New Roman" w:hAnsi="Times New Roman" w:eastAsia="仿宋" w:cs="Times New Roman"/>
            </w:rPr>
            <w:t>一、收入支出决算总表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_Toc113957766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"_Toc113957767" </w:instrText>
          </w:r>
          <w:r>
            <w:rPr>
              <w:rFonts w:hint="default" w:ascii="Times New Roman" w:hAnsi="Times New Roman" w:cs="Times New Roman"/>
            </w:rPr>
            <w:fldChar w:fldCharType="separate"/>
          </w:r>
          <w:r>
            <w:rPr>
              <w:rStyle w:val="15"/>
              <w:rFonts w:hint="default" w:ascii="Times New Roman" w:hAnsi="Times New Roman" w:eastAsia="仿宋" w:cs="Times New Roman"/>
            </w:rPr>
            <w:t>二、收入决算表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_Toc113957767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"_Toc113957768" </w:instrText>
          </w:r>
          <w:r>
            <w:rPr>
              <w:rFonts w:hint="default" w:ascii="Times New Roman" w:hAnsi="Times New Roman" w:cs="Times New Roman"/>
            </w:rPr>
            <w:fldChar w:fldCharType="separate"/>
          </w:r>
          <w:r>
            <w:rPr>
              <w:rStyle w:val="15"/>
              <w:rFonts w:hint="default" w:ascii="Times New Roman" w:hAnsi="Times New Roman" w:eastAsia="仿宋" w:cs="Times New Roman"/>
            </w:rPr>
            <w:t>三、支出决算表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"_Toc113957769" </w:instrText>
          </w:r>
          <w:r>
            <w:rPr>
              <w:rFonts w:hint="default" w:ascii="Times New Roman" w:hAnsi="Times New Roman" w:cs="Times New Roman"/>
            </w:rPr>
            <w:fldChar w:fldCharType="separate"/>
          </w:r>
          <w:r>
            <w:rPr>
              <w:rStyle w:val="15"/>
              <w:rFonts w:hint="default" w:ascii="Times New Roman" w:hAnsi="Times New Roman" w:eastAsia="仿宋" w:cs="Times New Roman"/>
            </w:rPr>
            <w:t>四、财政拨款收入支出决算总表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_Toc113957769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"_Toc113957770" </w:instrText>
          </w:r>
          <w:r>
            <w:rPr>
              <w:rFonts w:hint="default" w:ascii="Times New Roman" w:hAnsi="Times New Roman" w:cs="Times New Roman"/>
            </w:rPr>
            <w:fldChar w:fldCharType="separate"/>
          </w:r>
          <w:r>
            <w:rPr>
              <w:rStyle w:val="15"/>
              <w:rFonts w:hint="default" w:ascii="Times New Roman" w:hAnsi="Times New Roman" w:eastAsia="仿宋" w:cs="Times New Roman"/>
            </w:rPr>
            <w:t>五、财政拨款支出决算明细表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_Toc113957770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"_Toc113957771" </w:instrText>
          </w:r>
          <w:r>
            <w:rPr>
              <w:rFonts w:hint="default" w:ascii="Times New Roman" w:hAnsi="Times New Roman" w:cs="Times New Roman"/>
            </w:rPr>
            <w:fldChar w:fldCharType="separate"/>
          </w:r>
          <w:r>
            <w:rPr>
              <w:rStyle w:val="15"/>
              <w:rFonts w:hint="default" w:ascii="Times New Roman" w:hAnsi="Times New Roman" w:eastAsia="仿宋" w:cs="Times New Roman"/>
            </w:rPr>
            <w:t>六、一般公共预算财政拨款支出决算表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_Toc113957771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"_Toc113957772" </w:instrText>
          </w:r>
          <w:r>
            <w:rPr>
              <w:rFonts w:hint="default" w:ascii="Times New Roman" w:hAnsi="Times New Roman" w:cs="Times New Roman"/>
            </w:rPr>
            <w:fldChar w:fldCharType="separate"/>
          </w:r>
          <w:r>
            <w:rPr>
              <w:rStyle w:val="15"/>
              <w:rFonts w:hint="default" w:ascii="Times New Roman" w:hAnsi="Times New Roman" w:eastAsia="仿宋" w:cs="Times New Roman"/>
            </w:rPr>
            <w:t>七、一般公共预算财政拨款支出决算明细表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_Toc113957772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"_Toc113957773" </w:instrText>
          </w:r>
          <w:r>
            <w:rPr>
              <w:rFonts w:hint="default" w:ascii="Times New Roman" w:hAnsi="Times New Roman" w:cs="Times New Roman"/>
            </w:rPr>
            <w:fldChar w:fldCharType="separate"/>
          </w:r>
          <w:r>
            <w:rPr>
              <w:rStyle w:val="15"/>
              <w:rFonts w:hint="default" w:ascii="Times New Roman" w:hAnsi="Times New Roman" w:eastAsia="仿宋" w:cs="Times New Roman"/>
            </w:rPr>
            <w:t>八、一般公共预算财政拨款基本支出决算表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_Toc113957773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"_Toc113957774" </w:instrText>
          </w:r>
          <w:r>
            <w:rPr>
              <w:rFonts w:hint="default" w:ascii="Times New Roman" w:hAnsi="Times New Roman" w:cs="Times New Roman"/>
            </w:rPr>
            <w:fldChar w:fldCharType="separate"/>
          </w:r>
          <w:r>
            <w:rPr>
              <w:rStyle w:val="15"/>
              <w:rFonts w:hint="default" w:ascii="Times New Roman" w:hAnsi="Times New Roman" w:eastAsia="仿宋" w:cs="Times New Roman"/>
            </w:rPr>
            <w:t>九、一般公共预算财政拨款项目支出决算表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_Toc113957774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"_Toc113957775" </w:instrText>
          </w:r>
          <w:r>
            <w:rPr>
              <w:rFonts w:hint="default" w:ascii="Times New Roman" w:hAnsi="Times New Roman" w:cs="Times New Roman"/>
            </w:rPr>
            <w:fldChar w:fldCharType="separate"/>
          </w:r>
          <w:r>
            <w:rPr>
              <w:rStyle w:val="15"/>
              <w:rFonts w:hint="default" w:ascii="Times New Roman" w:hAnsi="Times New Roman" w:eastAsia="仿宋" w:cs="Times New Roman"/>
            </w:rPr>
            <w:t>十、一般公共预算财政拨款“三公”经费支出决算表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_Toc113957775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"_Toc113957776" </w:instrText>
          </w:r>
          <w:r>
            <w:rPr>
              <w:rFonts w:hint="default" w:ascii="Times New Roman" w:hAnsi="Times New Roman" w:cs="Times New Roman"/>
            </w:rPr>
            <w:fldChar w:fldCharType="separate"/>
          </w:r>
          <w:r>
            <w:rPr>
              <w:rStyle w:val="15"/>
              <w:rFonts w:hint="default" w:ascii="Times New Roman" w:hAnsi="Times New Roman" w:eastAsia="仿宋" w:cs="Times New Roman"/>
            </w:rPr>
            <w:t>十一、政府性基金预算财政拨款收入支出决算表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_Toc113957776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"_Toc113957777" </w:instrText>
          </w:r>
          <w:r>
            <w:rPr>
              <w:rFonts w:hint="default" w:ascii="Times New Roman" w:hAnsi="Times New Roman" w:cs="Times New Roman"/>
            </w:rPr>
            <w:fldChar w:fldCharType="separate"/>
          </w:r>
          <w:r>
            <w:rPr>
              <w:rStyle w:val="15"/>
              <w:rFonts w:hint="default" w:ascii="Times New Roman" w:hAnsi="Times New Roman" w:eastAsia="仿宋" w:cs="Times New Roman"/>
            </w:rPr>
            <w:t>十二、政府性基金预算财政拨款“三公”经费支出决算表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_Toc113957777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"_Toc113957778" </w:instrText>
          </w:r>
          <w:r>
            <w:rPr>
              <w:rFonts w:hint="default" w:ascii="Times New Roman" w:hAnsi="Times New Roman" w:cs="Times New Roman"/>
            </w:rPr>
            <w:fldChar w:fldCharType="separate"/>
          </w:r>
          <w:r>
            <w:rPr>
              <w:rStyle w:val="15"/>
              <w:rFonts w:hint="default" w:ascii="Times New Roman" w:hAnsi="Times New Roman" w:eastAsia="仿宋" w:cs="Times New Roman"/>
            </w:rPr>
            <w:t>十三、国有资本经营预算财政拨款收入支出决算表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_Toc113957778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1"/>
            <w:rPr>
              <w:rFonts w:hint="default" w:ascii="Times New Roman" w:hAnsi="Times New Roman" w:cs="Times New Roman" w:eastAsiaTheme="minorEastAsia"/>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"_Toc113957779" </w:instrText>
          </w:r>
          <w:r>
            <w:rPr>
              <w:rFonts w:hint="default" w:ascii="Times New Roman" w:hAnsi="Times New Roman" w:cs="Times New Roman"/>
            </w:rPr>
            <w:fldChar w:fldCharType="separate"/>
          </w:r>
          <w:r>
            <w:rPr>
              <w:rStyle w:val="15"/>
              <w:rFonts w:hint="default" w:ascii="Times New Roman" w:hAnsi="Times New Roman" w:eastAsia="仿宋" w:cs="Times New Roman"/>
            </w:rPr>
            <w:t>十四、国有资本经营预算财政拨款支出决算表</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_Toc113957779 \h </w:instrText>
          </w:r>
          <w:r>
            <w:rPr>
              <w:rFonts w:hint="default" w:ascii="Times New Roman" w:hAnsi="Times New Roman" w:cs="Times New Roman"/>
            </w:rPr>
            <w:fldChar w:fldCharType="separate"/>
          </w:r>
          <w:r>
            <w:rPr>
              <w:rFonts w:hint="default" w:ascii="Times New Roman" w:hAnsi="Times New Roman" w:cs="Times New Roman"/>
            </w:rPr>
            <w:t>26</w:t>
          </w:r>
          <w:r>
            <w:rPr>
              <w:rFonts w:hint="default" w:ascii="Times New Roman" w:hAnsi="Times New Roman" w:cs="Times New Roman"/>
            </w:rPr>
            <w:fldChar w:fldCharType="end"/>
          </w:r>
          <w:r>
            <w:rPr>
              <w:rFonts w:hint="default" w:ascii="Times New Roman" w:hAnsi="Times New Roman" w:cs="Times New Roman"/>
            </w:rPr>
            <w:fldChar w:fldCharType="end"/>
          </w:r>
        </w:p>
        <w:p>
          <w:pPr>
            <w:rPr>
              <w:rFonts w:hint="default" w:ascii="Times New Roman" w:hAnsi="Times New Roman" w:cs="Times New Roman"/>
            </w:rPr>
          </w:pPr>
          <w:r>
            <w:rPr>
              <w:rFonts w:hint="default" w:ascii="Times New Roman" w:hAnsi="Times New Roman" w:cs="Times New Roman"/>
            </w:rPr>
            <w:fldChar w:fldCharType="end"/>
          </w:r>
        </w:p>
      </w:sdtContent>
    </w:sdt>
    <w:p>
      <w:pPr>
        <w:widowControl/>
        <w:spacing w:line="440" w:lineRule="exact"/>
        <w:jc w:val="left"/>
        <w:rPr>
          <w:rFonts w:hint="default" w:ascii="Times New Roman" w:hAnsi="Times New Roman" w:eastAsia="仿宋" w:cs="Times New Roman"/>
          <w:bCs/>
          <w:kern w:val="44"/>
          <w:sz w:val="24"/>
        </w:rPr>
      </w:pPr>
      <w:r>
        <w:rPr>
          <w:rFonts w:hint="default" w:ascii="Times New Roman" w:hAnsi="Times New Roman" w:eastAsia="仿宋" w:cs="Times New Roman"/>
          <w:b/>
          <w:sz w:val="24"/>
        </w:rPr>
        <w:br w:type="page"/>
      </w:r>
    </w:p>
    <w:p>
      <w:pPr>
        <w:pStyle w:val="3"/>
        <w:jc w:val="center"/>
        <w:rPr>
          <w:rStyle w:val="24"/>
          <w:rFonts w:hint="default" w:ascii="Times New Roman" w:hAnsi="Times New Roman" w:eastAsia="黑体" w:cs="Times New Roman"/>
          <w:b/>
          <w:bCs w:val="0"/>
        </w:rPr>
      </w:pPr>
      <w:bookmarkStart w:id="15" w:name="_Toc113957738"/>
      <w:r>
        <w:rPr>
          <w:rFonts w:hint="default" w:ascii="Times New Roman" w:hAnsi="Times New Roman" w:eastAsia="黑体" w:cs="Times New Roman"/>
          <w:b w:val="0"/>
        </w:rPr>
        <w:t xml:space="preserve">第一部分 </w:t>
      </w:r>
      <w:r>
        <w:rPr>
          <w:rStyle w:val="24"/>
          <w:rFonts w:hint="default" w:ascii="Times New Roman" w:hAnsi="Times New Roman" w:eastAsia="黑体" w:cs="Times New Roman"/>
          <w:b w:val="0"/>
          <w:bCs w:val="0"/>
        </w:rPr>
        <w:t>部门概况</w:t>
      </w:r>
      <w:bookmarkEnd w:id="13"/>
      <w:bookmarkEnd w:id="14"/>
      <w:bookmarkEnd w:id="15"/>
    </w:p>
    <w:p>
      <w:pPr>
        <w:widowControl/>
        <w:jc w:val="left"/>
        <w:rPr>
          <w:rFonts w:hint="default" w:ascii="Times New Roman" w:hAnsi="Times New Roman" w:eastAsia="黑体" w:cs="Times New Roman"/>
          <w:sz w:val="32"/>
          <w:szCs w:val="32"/>
        </w:rPr>
      </w:pPr>
    </w:p>
    <w:p>
      <w:pPr>
        <w:pStyle w:val="4"/>
        <w:rPr>
          <w:rStyle w:val="25"/>
          <w:rFonts w:hint="default" w:ascii="Times New Roman" w:hAnsi="Times New Roman" w:eastAsia="仿宋" w:cs="Times New Roman"/>
          <w:b w:val="0"/>
          <w:bCs w:val="0"/>
        </w:rPr>
      </w:pPr>
      <w:bookmarkStart w:id="16" w:name="_Toc113957739"/>
      <w:bookmarkStart w:id="17" w:name="_Toc15377197"/>
      <w:bookmarkStart w:id="18" w:name="_Toc15396600"/>
      <w:r>
        <w:rPr>
          <w:rFonts w:hint="default" w:ascii="Times New Roman" w:hAnsi="Times New Roman" w:eastAsia="黑体" w:cs="Times New Roman"/>
          <w:b w:val="0"/>
        </w:rPr>
        <w:t>一、基</w:t>
      </w:r>
      <w:r>
        <w:rPr>
          <w:rStyle w:val="25"/>
          <w:rFonts w:hint="default" w:ascii="Times New Roman" w:hAnsi="Times New Roman" w:eastAsia="黑体" w:cs="Times New Roman"/>
          <w:b w:val="0"/>
          <w:bCs w:val="0"/>
        </w:rPr>
        <w:t>本职能及主要工作</w:t>
      </w:r>
      <w:bookmarkEnd w:id="16"/>
      <w:bookmarkEnd w:id="17"/>
      <w:bookmarkEnd w:id="18"/>
    </w:p>
    <w:p>
      <w:pPr>
        <w:pStyle w:val="2"/>
        <w:adjustRightInd w:val="0"/>
        <w:snapToGrid w:val="0"/>
        <w:spacing w:before="93" w:line="600" w:lineRule="exact"/>
        <w:outlineLvl w:val="2"/>
        <w:rPr>
          <w:rFonts w:hint="default" w:ascii="Times New Roman" w:hAnsi="Times New Roman" w:eastAsia="仿宋" w:cs="Times New Roman"/>
          <w:b/>
          <w:bCs/>
          <w:sz w:val="32"/>
          <w:szCs w:val="32"/>
        </w:rPr>
      </w:pPr>
      <w:bookmarkStart w:id="19" w:name="_Toc15378445"/>
      <w:bookmarkStart w:id="20" w:name="_Toc15377198"/>
      <w:bookmarkStart w:id="21" w:name="_Toc113957740"/>
      <w:r>
        <w:rPr>
          <w:rFonts w:hint="default" w:ascii="Times New Roman" w:hAnsi="Times New Roman" w:eastAsia="仿宋" w:cs="Times New Roman"/>
          <w:b/>
          <w:bCs/>
          <w:sz w:val="32"/>
          <w:szCs w:val="32"/>
        </w:rPr>
        <w:t>（一）主要职能</w:t>
      </w:r>
      <w:bookmarkEnd w:id="19"/>
      <w:bookmarkEnd w:id="20"/>
      <w:bookmarkEnd w:id="21"/>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攀枝花市就业创业促进中心是履行政府公共就业创业服务与管理、负责失业保险经办服务与管理、承担全市农民工综合服务具体事务性工作的职能部门。主要职责是：</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1.贯彻执行国家、省、市有关就业创业的法律法规、方针政策，协助拟定全市就业创业促进工作规划和年度发展计划及工作措施，组织落实积极的就业、创业政策。</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2.承担市就业工作领导小组交办工作，制定和完善全市城乡统筹就业工作方案和实施办法，并组织实施。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3.组织开展全市就业服务与管理工作，制定并实施全市公共就业创业服务计划。</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4.负责全市公共就业创业服务体系建设。</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5.负责全市就业援助工作，制定全市对就业困难人员的认定、援助方案和实施办法，并组织实施。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6.负责高校毕业生、农民工、下岗失业人员、返乡下乡人员等重点群体就业创业服务。</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7.指导“攀枝花市创业服务中心”“攀枝花市创业担保贷款”工作，负责全市创业带动就业工作的组织、服务和实施。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8.负责全市就业创业培训工作，拟定培训规划并组织实施。</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9.贯彻落实国家、省、市有关失业保险法律法规和方针政策，负责失业保险各项待遇的申领发放，为领取失业保险金期间失业人员代缴基本医疗保险费。 </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10.负责实施失业保险针对参保人员、参保企业的阶段性普惠政策。</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11.负责全市公共就业信息化建设。</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12.负责对全市就业创业补助资金、失业保险基金、创业担保贷款的使用管理进行监督检查，做好风险防控工作。</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13.承担全市农民工综合服务具体事务性工作。</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14.行使市人力资源和社会保障局赋予的其他职权。</w:t>
      </w:r>
    </w:p>
    <w:p>
      <w:pPr>
        <w:pStyle w:val="2"/>
        <w:adjustRightInd w:val="0"/>
        <w:snapToGrid w:val="0"/>
        <w:spacing w:before="93" w:line="600" w:lineRule="exact"/>
        <w:ind w:firstLine="675" w:firstLineChars="210"/>
        <w:outlineLvl w:val="2"/>
        <w:rPr>
          <w:rFonts w:hint="default" w:ascii="Times New Roman" w:hAnsi="Times New Roman" w:eastAsia="仿宋" w:cs="Times New Roman"/>
          <w:b/>
          <w:bCs/>
          <w:sz w:val="32"/>
          <w:szCs w:val="32"/>
        </w:rPr>
      </w:pPr>
      <w:bookmarkStart w:id="22" w:name="_Toc15377199"/>
      <w:bookmarkStart w:id="23" w:name="_Toc15378446"/>
      <w:bookmarkStart w:id="24" w:name="_Toc113957741"/>
      <w:r>
        <w:rPr>
          <w:rFonts w:hint="default" w:ascii="Times New Roman" w:hAnsi="Times New Roman" w:eastAsia="仿宋" w:cs="Times New Roman"/>
          <w:b/>
          <w:bCs/>
          <w:sz w:val="32"/>
          <w:szCs w:val="32"/>
        </w:rPr>
        <w:t>（二）2021年重点工作完成情况</w:t>
      </w:r>
      <w:bookmarkEnd w:id="22"/>
      <w:bookmarkEnd w:id="23"/>
      <w:bookmarkEnd w:id="24"/>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全市就业创业工作以“稳就业”“保就业”为主线，突出重点、分类施策，推进就业民生工程落地落实，确保了就业创业目标任务全面完成，就业形势保持总体稳定。全市城镇新增就业20648人，失业人员再就业6513人，就业困难人员就业1362人，城镇登记失业率3.74%（目标任务控制在4.2%以内）。全市筹集就业创业补助资金9588.51万元，支付各项补贴共计8751.80万元，惠及2.82万人次。失业保险基金收入12584.2万元，兑现各类失业保险政策9982.44万元，惠及群众13.84万人次。</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——落实“四项举措”，聚力“中圈”稳人增人。</w:t>
      </w:r>
      <w:r>
        <w:rPr>
          <w:rFonts w:hint="default" w:ascii="Times New Roman" w:hAnsi="Times New Roman" w:eastAsia="仿宋_GB2312" w:cs="Times New Roman"/>
          <w:b/>
          <w:sz w:val="32"/>
          <w:szCs w:val="32"/>
        </w:rPr>
        <w:t>一是落实“促进人力资源聚集16条”。</w:t>
      </w:r>
      <w:r>
        <w:rPr>
          <w:rFonts w:hint="default" w:ascii="Times New Roman" w:hAnsi="Times New Roman" w:eastAsia="仿宋_GB2312" w:cs="Times New Roman"/>
          <w:sz w:val="32"/>
          <w:szCs w:val="32"/>
        </w:rPr>
        <w:t>发挥就业奖补、就业吸纳、创业带动政策措施重要作用，助力全市稳人增人。2021年新增外地来攀务工人员10806人，同比增长10.05%；本地高校、职业院校学生留攀就业2767人，同比增长1.02%。其中，攀枝花学院和四川机电职业技术学院两所高校留攀就业1466人，同比增长15.62%。</w:t>
      </w:r>
      <w:r>
        <w:rPr>
          <w:rFonts w:hint="default" w:ascii="Times New Roman" w:hAnsi="Times New Roman" w:eastAsia="仿宋_GB2312" w:cs="Times New Roman"/>
          <w:b/>
          <w:sz w:val="32"/>
          <w:szCs w:val="32"/>
        </w:rPr>
        <w:t>二是摸清全市农村劳动力底数。</w:t>
      </w:r>
      <w:r>
        <w:rPr>
          <w:rFonts w:hint="default" w:ascii="Times New Roman" w:hAnsi="Times New Roman" w:eastAsia="仿宋_GB2312" w:cs="Times New Roman"/>
          <w:sz w:val="32"/>
          <w:szCs w:val="32"/>
        </w:rPr>
        <w:t>发动县（区）、乡村广泛参与，以“公益性岗位调查+政府购买服务”为手段，以行政村为统计单元，摸清全市农村劳动力底数，并实现数据动态更新，为“稳人增人”和“精准服务”打下基础。目前，就业系统录入更新数据25万条，超总量的75%。</w:t>
      </w:r>
      <w:r>
        <w:rPr>
          <w:rFonts w:hint="default" w:ascii="Times New Roman" w:hAnsi="Times New Roman" w:eastAsia="仿宋_GB2312" w:cs="Times New Roman"/>
          <w:b/>
          <w:sz w:val="32"/>
          <w:szCs w:val="32"/>
        </w:rPr>
        <w:t>三是建好外来务工人员服务平台。</w:t>
      </w:r>
      <w:r>
        <w:rPr>
          <w:rFonts w:hint="default" w:ascii="Times New Roman" w:hAnsi="Times New Roman" w:eastAsia="仿宋_GB2312" w:cs="Times New Roman"/>
          <w:sz w:val="32"/>
          <w:szCs w:val="32"/>
        </w:rPr>
        <w:t>立足劳务输入型城市定位，筹建完成攀枝花市外来务工人员（农民工）综合服务专窗。整合10余个部门服务事项，为外来务工人员（农民工）提供集约化、优质化一站式服务21项。积极筹建会理市、会东县驻攀劳务协作工作站，推进“一窗+N站”建设，努力打造“外来务工人员（农民工）之家”。</w:t>
      </w:r>
      <w:r>
        <w:rPr>
          <w:rFonts w:hint="default" w:ascii="Times New Roman" w:hAnsi="Times New Roman" w:eastAsia="仿宋_GB2312" w:cs="Times New Roman"/>
          <w:b/>
          <w:sz w:val="32"/>
          <w:szCs w:val="32"/>
        </w:rPr>
        <w:t>四是打造本土求职招聘品牌。</w:t>
      </w:r>
      <w:r>
        <w:rPr>
          <w:rFonts w:hint="default" w:ascii="Times New Roman" w:hAnsi="Times New Roman" w:eastAsia="仿宋_GB2312" w:cs="Times New Roman"/>
          <w:sz w:val="32"/>
          <w:szCs w:val="32"/>
        </w:rPr>
        <w:t>全力打造“职等你来 就在花城”公共招聘品牌。整合线上线下招聘资源，统一使用品牌形象，不断丰富品牌内涵，搭建全市统一的求职用工平台。今年共开展“职等你来 就在花城” 现场招聘会16场，提供岗位数8948个，达成意向人数2307人，品牌打造初见成效。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——紧盯“三大群体”，多措并举促就业。</w:t>
      </w:r>
      <w:r>
        <w:rPr>
          <w:rFonts w:hint="default" w:ascii="Times New Roman" w:hAnsi="Times New Roman" w:eastAsia="仿宋_GB2312" w:cs="Times New Roman"/>
          <w:b/>
          <w:sz w:val="32"/>
          <w:szCs w:val="32"/>
        </w:rPr>
        <w:t>一是帮扶就业困难人员就业。</w:t>
      </w:r>
      <w:r>
        <w:rPr>
          <w:rFonts w:hint="default" w:ascii="Times New Roman" w:hAnsi="Times New Roman" w:eastAsia="仿宋_GB2312" w:cs="Times New Roman"/>
          <w:sz w:val="32"/>
          <w:szCs w:val="32"/>
        </w:rPr>
        <w:t>依托市、县（区）、乡镇（街道）、村（社区）四级服务平台，推广“困难人员帮扶四步工作法”（摸清需求、定向推荐、落实政策、兜底安置），全力保障就业困难人员就业。今年入户调查652户，开展就业援助3100人次，兑现灵活就业困难人员社保补贴1512.7万元，公益性岗位安置1790人次。</w:t>
      </w:r>
      <w:r>
        <w:rPr>
          <w:rFonts w:hint="default" w:ascii="Times New Roman" w:hAnsi="Times New Roman" w:eastAsia="仿宋_GB2312" w:cs="Times New Roman"/>
          <w:b/>
          <w:sz w:val="32"/>
          <w:szCs w:val="32"/>
        </w:rPr>
        <w:t>二是促进大学生多渠道就业。</w:t>
      </w:r>
      <w:r>
        <w:rPr>
          <w:rFonts w:hint="default" w:ascii="Times New Roman" w:hAnsi="Times New Roman" w:eastAsia="仿宋_GB2312" w:cs="Times New Roman"/>
          <w:sz w:val="32"/>
          <w:szCs w:val="32"/>
        </w:rPr>
        <w:t>联合我市2所高校开展毕业生双选会3场，达成就业意向1100余人。推进青年就业见习，共认定就业见习基地117家，服务青年见习566人，发放见习补贴307.47万元。发放2498名困难大学生（中职学生）求职创业补贴409.95万元。扶持大学生创业73人，发放创业补贴73万元。</w:t>
      </w:r>
      <w:r>
        <w:rPr>
          <w:rFonts w:hint="default" w:ascii="Times New Roman" w:hAnsi="Times New Roman" w:eastAsia="仿宋_GB2312" w:cs="Times New Roman"/>
          <w:b/>
          <w:sz w:val="32"/>
          <w:szCs w:val="32"/>
        </w:rPr>
        <w:t>三是服务农村劳动力转移就业。</w:t>
      </w:r>
      <w:r>
        <w:rPr>
          <w:rFonts w:hint="default" w:ascii="Times New Roman" w:hAnsi="Times New Roman" w:eastAsia="仿宋_GB2312" w:cs="Times New Roman"/>
          <w:sz w:val="32"/>
          <w:szCs w:val="32"/>
        </w:rPr>
        <w:t>按照宜工则工、宜农则农的原则，推动农村劳动力就近就业。目前，全市农村劳动力转移就业规模保持在7万人以上。建立“政府+企业+合作社+金融机构”多元返乡创业服务模式，大力扶持返乡农民工创业。今年共促进农民工返乡创业2309人，带动就业7000余人次。</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——优化“三项服务”，促进创业带动就业。</w:t>
      </w:r>
      <w:r>
        <w:rPr>
          <w:rFonts w:hint="default" w:ascii="Times New Roman" w:hAnsi="Times New Roman" w:eastAsia="仿宋_GB2312" w:cs="Times New Roman"/>
          <w:b/>
          <w:sz w:val="32"/>
          <w:szCs w:val="32"/>
        </w:rPr>
        <w:t>一是推动创业担保贷款总量再上新台阶。</w:t>
      </w:r>
      <w:r>
        <w:rPr>
          <w:rFonts w:hint="default" w:ascii="Times New Roman" w:hAnsi="Times New Roman" w:eastAsia="仿宋_GB2312" w:cs="Times New Roman"/>
          <w:sz w:val="32"/>
          <w:szCs w:val="32"/>
        </w:rPr>
        <w:t>加大创业担保贷款社银合作力度，将就业信息系统延伸到经办银行，开通个人创业担保贷款申贷人资格查验权限，创业者申请贷款只跑一次，“不进就业门”也能享受到贴息政策。今年全市共发放创业担保贷款2.4亿元，直接扶持自主创业人数1613人，带动吸纳就业3524人。</w:t>
      </w:r>
      <w:r>
        <w:rPr>
          <w:rFonts w:hint="default" w:ascii="Times New Roman" w:hAnsi="Times New Roman" w:eastAsia="仿宋_GB2312" w:cs="Times New Roman"/>
          <w:b/>
          <w:sz w:val="32"/>
          <w:szCs w:val="32"/>
        </w:rPr>
        <w:t>二是补齐线上创业服务平台短板。</w:t>
      </w:r>
      <w:r>
        <w:rPr>
          <w:rFonts w:hint="default" w:ascii="Times New Roman" w:hAnsi="Times New Roman" w:eastAsia="仿宋_GB2312" w:cs="Times New Roman"/>
          <w:sz w:val="32"/>
          <w:szCs w:val="32"/>
        </w:rPr>
        <w:t>为弥补线下创业服务局限性，探索打造线上线下深度融合的创业服务模式。依托攀西人才网搭建网络创业服务平台，通过电脑网页、手机微信等多渠道为创业者提供项目展示、创业指导、专家问诊等服务，根据需求精准匹配创业服务。目前线上平台测试版已经完成。</w:t>
      </w:r>
      <w:r>
        <w:rPr>
          <w:rFonts w:hint="default" w:ascii="Times New Roman" w:hAnsi="Times New Roman" w:eastAsia="仿宋_GB2312" w:cs="Times New Roman"/>
          <w:b/>
          <w:sz w:val="32"/>
          <w:szCs w:val="32"/>
        </w:rPr>
        <w:t>三是优化举措支持重点群体创业。</w:t>
      </w:r>
      <w:r>
        <w:rPr>
          <w:rFonts w:hint="default" w:ascii="Times New Roman" w:hAnsi="Times New Roman" w:eastAsia="仿宋_GB2312" w:cs="Times New Roman"/>
          <w:sz w:val="32"/>
          <w:szCs w:val="32"/>
        </w:rPr>
        <w:t>通过定点联系、定期回访、定员帮扶“三定”服务，为返乡农民工、大学生、登记失业人员等创业群体提供针对性服务。同时，积极组织参与创业活动。我市作为全省三个推荐城市之一参加了人社部第三届全国创业就业服务展示交流活动。今年在四川省第三届 “天府杯”创业大赛中，我市 “陌上花开幸福两岸”干热河谷生态修复项目荣获全省乡村振兴初创组第二名好成绩。</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——实施“技能+创业”培训，提升劳动者就业创业能力。</w:t>
      </w:r>
      <w:r>
        <w:rPr>
          <w:rFonts w:hint="default" w:ascii="Times New Roman" w:hAnsi="Times New Roman" w:eastAsia="仿宋_GB2312" w:cs="Times New Roman"/>
          <w:b/>
          <w:sz w:val="32"/>
          <w:szCs w:val="32"/>
        </w:rPr>
        <w:t>一是健全培训政策配套体系。</w:t>
      </w:r>
      <w:r>
        <w:rPr>
          <w:rFonts w:hint="default" w:ascii="Times New Roman" w:hAnsi="Times New Roman" w:eastAsia="仿宋_GB2312" w:cs="Times New Roman"/>
          <w:sz w:val="32"/>
          <w:szCs w:val="32"/>
        </w:rPr>
        <w:t>按照《攀枝花市职业技能培训管理办法》，针对不同培训对象设置了就业技能培训、技能等级提升培训、短期岗位技能培训等11个项目，补贴性培训工种数量达到580个，职业培训体系政策进一步健全。</w:t>
      </w:r>
      <w:r>
        <w:rPr>
          <w:rFonts w:hint="default" w:ascii="Times New Roman" w:hAnsi="Times New Roman" w:eastAsia="仿宋_GB2312" w:cs="Times New Roman"/>
          <w:b/>
          <w:sz w:val="32"/>
          <w:szCs w:val="32"/>
        </w:rPr>
        <w:t>二是推进重点群体职业培训。</w:t>
      </w:r>
      <w:r>
        <w:rPr>
          <w:rFonts w:hint="default" w:ascii="Times New Roman" w:hAnsi="Times New Roman" w:eastAsia="仿宋_GB2312" w:cs="Times New Roman"/>
          <w:sz w:val="32"/>
          <w:szCs w:val="32"/>
        </w:rPr>
        <w:t>结合产业发展需求，今年组织开展失业人员技能培训5511人次。针对脱贫人口和退捕渔民培训意愿，采取集中式培训和灵活式培训方式，共开展劳务品牌培训4950人，退捕渔民培训102人。</w:t>
      </w:r>
      <w:r>
        <w:rPr>
          <w:rFonts w:hint="default" w:ascii="Times New Roman" w:hAnsi="Times New Roman" w:eastAsia="仿宋_GB2312" w:cs="Times New Roman"/>
          <w:b/>
          <w:sz w:val="32"/>
          <w:szCs w:val="32"/>
        </w:rPr>
        <w:t>三是大力推动创业培训。</w:t>
      </w:r>
      <w:r>
        <w:rPr>
          <w:rFonts w:hint="default" w:ascii="Times New Roman" w:hAnsi="Times New Roman" w:eastAsia="仿宋_GB2312" w:cs="Times New Roman"/>
          <w:sz w:val="32"/>
          <w:szCs w:val="32"/>
        </w:rPr>
        <w:t>以大学生、返乡创业者、失业人员为重点开展创业意识、创业能力、创业模拟和网络创业等各类创业培训。今年共开展各类创业培训9100人次，其中创业意识培训5657人次，创业能力培训1678人次，创业模拟实训 420人次，网络创业培训1345人次。</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——筑牢“保障底线”，助力企业、群众渡难关。</w:t>
      </w:r>
      <w:r>
        <w:rPr>
          <w:rFonts w:hint="default" w:ascii="Times New Roman" w:hAnsi="Times New Roman" w:eastAsia="仿宋_GB2312" w:cs="Times New Roman"/>
          <w:b/>
          <w:sz w:val="32"/>
          <w:szCs w:val="32"/>
        </w:rPr>
        <w:t>一是按时足额兑现失业人员基本待遇。</w:t>
      </w:r>
      <w:r>
        <w:rPr>
          <w:rFonts w:hint="default" w:ascii="Times New Roman" w:hAnsi="Times New Roman" w:eastAsia="仿宋_GB2312" w:cs="Times New Roman"/>
          <w:sz w:val="32"/>
          <w:szCs w:val="32"/>
        </w:rPr>
        <w:t>通过省V2.0就业系统实现失业保险线上通办，群众不需到现场即可申报。</w:t>
      </w:r>
      <w:r>
        <w:rPr>
          <w:rFonts w:hint="eastAsia" w:eastAsia="仿宋_GB2312" w:cs="Times New Roman"/>
          <w:sz w:val="32"/>
          <w:szCs w:val="32"/>
          <w:lang w:eastAsia="zh-CN"/>
        </w:rPr>
        <w:t>截至目前</w:t>
      </w:r>
      <w:r>
        <w:rPr>
          <w:rFonts w:hint="default" w:ascii="Times New Roman" w:hAnsi="Times New Roman" w:eastAsia="仿宋_GB2312" w:cs="Times New Roman"/>
          <w:sz w:val="32"/>
          <w:szCs w:val="32"/>
        </w:rPr>
        <w:t>，发放失业人员失业保险金5209.54万元，惠及群众6410人；代缴失业人员基本医疗保险费2212.15万元，惠及群众6357人。</w:t>
      </w:r>
      <w:r>
        <w:rPr>
          <w:rFonts w:hint="default" w:ascii="Times New Roman" w:hAnsi="Times New Roman" w:eastAsia="仿宋_GB2312" w:cs="Times New Roman"/>
          <w:b/>
          <w:sz w:val="32"/>
          <w:szCs w:val="32"/>
        </w:rPr>
        <w:t>二是全力落实惠企惠民政策。</w:t>
      </w:r>
      <w:r>
        <w:rPr>
          <w:rFonts w:hint="default" w:ascii="Times New Roman" w:hAnsi="Times New Roman" w:eastAsia="仿宋_GB2312" w:cs="Times New Roman"/>
          <w:sz w:val="32"/>
          <w:szCs w:val="32"/>
        </w:rPr>
        <w:t>持续做好上一年度企业稳岗返还政策落实收尾工作，开通绿色通道，采取容缺办理方式，先行支付补贴资金，再来补充企业资料，确保稳岗资金及时兑现。今年共兑现普惠性稳岗补贴356万元，惠及企业525家，惠及职工0.71万人，临时价格补贴866.71万元，惠及9.85万人次。</w:t>
      </w:r>
      <w:r>
        <w:rPr>
          <w:rFonts w:hint="default" w:ascii="Times New Roman" w:hAnsi="Times New Roman" w:eastAsia="仿宋_GB2312" w:cs="Times New Roman"/>
          <w:b/>
          <w:sz w:val="32"/>
          <w:szCs w:val="32"/>
        </w:rPr>
        <w:t>三是织密资金监管安全网。</w:t>
      </w:r>
      <w:r>
        <w:rPr>
          <w:rFonts w:hint="default" w:ascii="Times New Roman" w:hAnsi="Times New Roman" w:eastAsia="仿宋_GB2312" w:cs="Times New Roman"/>
          <w:sz w:val="32"/>
          <w:szCs w:val="32"/>
        </w:rPr>
        <w:t>推行“三个统一”，实现失业保险市级统收统支管理，增强风险抵御能力。推行一套统一的业务经办流程，设立一个统一的基金账户，实行一套统一的基金运转方式。建立市本级统一建账的基金财务管理制度，全市失业保险各项待遇支出统一由市就业中心基金财务完成数据核对后再行支付，做到账实相符、账账相符、账表相符。</w:t>
      </w:r>
    </w:p>
    <w:p>
      <w:pPr>
        <w:pStyle w:val="4"/>
        <w:ind w:firstLine="960" w:firstLineChars="300"/>
        <w:rPr>
          <w:rStyle w:val="25"/>
          <w:rFonts w:hint="default" w:ascii="Times New Roman" w:hAnsi="Times New Roman" w:cs="Times New Roman"/>
          <w:b w:val="0"/>
          <w:bCs w:val="0"/>
        </w:rPr>
      </w:pPr>
      <w:bookmarkStart w:id="25" w:name="_Toc113957742"/>
      <w:bookmarkStart w:id="26" w:name="_Toc15377200"/>
      <w:bookmarkStart w:id="27" w:name="_Toc15396601"/>
      <w:r>
        <w:rPr>
          <w:rFonts w:hint="default" w:ascii="Times New Roman" w:hAnsi="Times New Roman" w:eastAsia="黑体" w:cs="Times New Roman"/>
          <w:b w:val="0"/>
        </w:rPr>
        <w:t>二、机</w:t>
      </w:r>
      <w:r>
        <w:rPr>
          <w:rStyle w:val="25"/>
          <w:rFonts w:hint="default" w:ascii="Times New Roman" w:hAnsi="Times New Roman" w:eastAsia="黑体" w:cs="Times New Roman"/>
          <w:b w:val="0"/>
          <w:bCs w:val="0"/>
        </w:rPr>
        <w:t>构设置</w:t>
      </w:r>
      <w:bookmarkEnd w:id="25"/>
      <w:bookmarkEnd w:id="26"/>
      <w:bookmarkEnd w:id="27"/>
    </w:p>
    <w:p>
      <w:pPr>
        <w:ind w:firstLine="800" w:firstLineChars="25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攀枝花市就业创业促进中心下属二级单位0个，其中行政单位0个，参照公务员法管理的事业单位</w:t>
      </w:r>
      <w:r>
        <w:rPr>
          <w:rFonts w:hint="default" w:ascii="Times New Roman" w:hAnsi="Times New Roman" w:eastAsia="仿宋" w:cs="Times New Roman"/>
          <w:bCs/>
          <w:sz w:val="32"/>
          <w:szCs w:val="32"/>
        </w:rPr>
        <w:t>0</w:t>
      </w:r>
      <w:r>
        <w:rPr>
          <w:rFonts w:hint="default" w:ascii="Times New Roman" w:hAnsi="Times New Roman" w:eastAsia="仿宋" w:cs="Times New Roman"/>
          <w:sz w:val="32"/>
          <w:szCs w:val="32"/>
        </w:rPr>
        <w:t>个，其他事业单位0个。</w:t>
      </w:r>
      <w:bookmarkStart w:id="28" w:name="_Toc15396602"/>
      <w:bookmarkStart w:id="29" w:name="_Toc15377204"/>
    </w:p>
    <w:p>
      <w:pPr>
        <w:pStyle w:val="3"/>
        <w:ind w:right="440"/>
        <w:jc w:val="center"/>
        <w:rPr>
          <w:rStyle w:val="24"/>
          <w:rFonts w:hint="default" w:ascii="Times New Roman" w:hAnsi="Times New Roman" w:eastAsia="黑体" w:cs="Times New Roman"/>
          <w:b w:val="0"/>
          <w:bCs/>
        </w:rPr>
      </w:pPr>
      <w:bookmarkStart w:id="30" w:name="_Toc113957743"/>
      <w:r>
        <w:rPr>
          <w:rFonts w:hint="default" w:ascii="Times New Roman" w:hAnsi="Times New Roman" w:eastAsia="黑体" w:cs="Times New Roman"/>
          <w:b w:val="0"/>
        </w:rPr>
        <w:t>第二部分2021年度</w:t>
      </w:r>
      <w:r>
        <w:rPr>
          <w:rStyle w:val="24"/>
          <w:rFonts w:hint="default" w:ascii="Times New Roman" w:hAnsi="Times New Roman" w:eastAsia="黑体" w:cs="Times New Roman"/>
          <w:b w:val="0"/>
          <w:bCs/>
        </w:rPr>
        <w:t>部门决算情况说明</w:t>
      </w:r>
      <w:bookmarkEnd w:id="28"/>
      <w:bookmarkEnd w:id="29"/>
      <w:bookmarkEnd w:id="30"/>
    </w:p>
    <w:p>
      <w:pPr>
        <w:rPr>
          <w:rFonts w:hint="default" w:ascii="Times New Roman" w:hAnsi="Times New Roman" w:cs="Times New Roman"/>
        </w:rPr>
      </w:pPr>
    </w:p>
    <w:p>
      <w:pPr>
        <w:pStyle w:val="23"/>
        <w:numPr>
          <w:ilvl w:val="0"/>
          <w:numId w:val="1"/>
        </w:numPr>
        <w:spacing w:line="600" w:lineRule="exact"/>
        <w:ind w:firstLineChars="0"/>
        <w:outlineLvl w:val="1"/>
        <w:rPr>
          <w:rStyle w:val="25"/>
          <w:rFonts w:hint="default" w:ascii="Times New Roman" w:hAnsi="Times New Roman" w:eastAsia="黑体" w:cs="Times New Roman"/>
          <w:b w:val="0"/>
        </w:rPr>
      </w:pPr>
      <w:bookmarkStart w:id="31" w:name="_Toc15396603"/>
      <w:bookmarkStart w:id="32" w:name="_Toc15377205"/>
      <w:bookmarkStart w:id="33" w:name="_Toc113957744"/>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入支出决算总体情况说明</w:t>
      </w:r>
      <w:bookmarkEnd w:id="31"/>
      <w:bookmarkEnd w:id="32"/>
      <w:bookmarkEnd w:id="33"/>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2021年度收、支总计3306.59万元。与2020年相比，收、支总计各增加611.46万元，增长23%。主要变动原因是</w:t>
      </w:r>
      <w:r>
        <w:rPr>
          <w:rFonts w:hint="default" w:ascii="Times New Roman" w:hAnsi="Times New Roman" w:eastAsia="仿宋" w:cs="Times New Roman"/>
          <w:color w:val="000000"/>
          <w:sz w:val="32"/>
          <w:szCs w:val="32"/>
        </w:rPr>
        <w:t>是自2019年以来，财政部门取消就业创业补助资金专户，就业创业补助资金通过“一体化预算管理系统”预算指标下达的方式，拨付至中心经费基本户后再转就业创业补助资金专户支出，导致收支金额增加。</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（图1：收、支决算总计变动情况图）（柱状图）</w:t>
      </w: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2"/>
        <w:spacing w:before="93"/>
        <w:rPr>
          <w:rFonts w:hint="default" w:ascii="Times New Roman" w:hAnsi="Times New Roman" w:cs="Times New Roman"/>
        </w:rPr>
      </w:pPr>
    </w:p>
    <w:p>
      <w:pPr>
        <w:pStyle w:val="23"/>
        <w:numPr>
          <w:ilvl w:val="0"/>
          <w:numId w:val="1"/>
        </w:numPr>
        <w:spacing w:line="600" w:lineRule="exact"/>
        <w:ind w:firstLineChars="0"/>
        <w:outlineLvl w:val="1"/>
        <w:rPr>
          <w:rStyle w:val="25"/>
          <w:rFonts w:hint="default" w:ascii="Times New Roman" w:hAnsi="Times New Roman" w:eastAsia="黑体" w:cs="Times New Roman"/>
          <w:b w:val="0"/>
        </w:rPr>
      </w:pPr>
      <w:bookmarkStart w:id="34" w:name="_Toc15377206"/>
      <w:bookmarkStart w:id="35" w:name="_Toc113957745"/>
      <w:bookmarkStart w:id="36" w:name="_Toc15396604"/>
      <w:r>
        <w:rPr>
          <w:rFonts w:hint="default" w:ascii="Times New Roman" w:hAnsi="Times New Roman" w:eastAsia="黑体" w:cs="Times New Roman"/>
          <w:sz w:val="32"/>
          <w:szCs w:val="32"/>
        </w:rPr>
        <w:t>收</w:t>
      </w:r>
      <w:r>
        <w:rPr>
          <w:rStyle w:val="25"/>
          <w:rFonts w:hint="default" w:ascii="Times New Roman" w:hAnsi="Times New Roman" w:eastAsia="黑体" w:cs="Times New Roman"/>
          <w:b w:val="0"/>
        </w:rPr>
        <w:t>入决算情况说明</w:t>
      </w:r>
      <w:bookmarkEnd w:id="34"/>
      <w:bookmarkEnd w:id="35"/>
      <w:bookmarkEnd w:id="36"/>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本年收入合计3306.59万元，其中：一般公共预算财政拨款收入3306.59万元，占100%；政府性基金预算财政拨款收入0万元，占0%；国有资本经营预算财政拨款收入0万元，占0%；上级补助收入0万元，占0%；事业收入0万元，占0%；经营收入0万元，占0%；附属单位上缴收入0万元，占0%；其他收入0万元，占0%。</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（图2：收入决算结构图）（饼状图）</w:t>
      </w: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3"/>
        <w:numPr>
          <w:ilvl w:val="0"/>
          <w:numId w:val="1"/>
        </w:numPr>
        <w:spacing w:line="600" w:lineRule="exact"/>
        <w:ind w:firstLineChars="0"/>
        <w:outlineLvl w:val="1"/>
        <w:rPr>
          <w:rStyle w:val="25"/>
          <w:rFonts w:hint="default" w:ascii="Times New Roman" w:hAnsi="Times New Roman" w:eastAsia="黑体" w:cs="Times New Roman"/>
          <w:b w:val="0"/>
        </w:rPr>
      </w:pPr>
      <w:bookmarkStart w:id="37" w:name="_Toc15396605"/>
      <w:bookmarkStart w:id="38" w:name="_Toc113957746"/>
      <w:bookmarkStart w:id="39" w:name="_Toc15377207"/>
      <w:r>
        <w:rPr>
          <w:rFonts w:hint="default" w:ascii="Times New Roman" w:hAnsi="Times New Roman" w:eastAsia="黑体" w:cs="Times New Roman"/>
          <w:sz w:val="32"/>
          <w:szCs w:val="32"/>
        </w:rPr>
        <w:t>支</w:t>
      </w:r>
      <w:r>
        <w:rPr>
          <w:rStyle w:val="25"/>
          <w:rFonts w:hint="default" w:ascii="Times New Roman" w:hAnsi="Times New Roman" w:eastAsia="黑体" w:cs="Times New Roman"/>
          <w:b w:val="0"/>
        </w:rPr>
        <w:t>出决算情况说明</w:t>
      </w:r>
      <w:bookmarkEnd w:id="37"/>
      <w:bookmarkEnd w:id="38"/>
      <w:bookmarkEnd w:id="39"/>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2021年本年支出合计3306.59万元，其中：基本支出757.56万元，占22.91%；项目支出2549.03万元，占77.09%；上缴上级支出0万元，占0%；经营支出0万元，占0%；对附属单位补助支出0万元，占0%。</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（图3：支出决算结构图）（饼状图）</w:t>
      </w:r>
    </w:p>
    <w:p>
      <w:pPr>
        <w:spacing w:line="600" w:lineRule="exact"/>
        <w:ind w:firstLine="640" w:firstLineChars="200"/>
        <w:outlineLvl w:val="1"/>
        <w:rPr>
          <w:rStyle w:val="25"/>
          <w:rFonts w:hint="default" w:ascii="Times New Roman" w:hAnsi="Times New Roman" w:eastAsia="黑体" w:cs="Times New Roman"/>
          <w:b w:val="0"/>
        </w:rPr>
      </w:pPr>
      <w:bookmarkStart w:id="40" w:name="_Toc15396606"/>
      <w:bookmarkStart w:id="41" w:name="_Toc113957747"/>
      <w:bookmarkStart w:id="42" w:name="_Toc15377208"/>
      <w:r>
        <w:rPr>
          <w:rFonts w:hint="default" w:ascii="Times New Roman" w:hAnsi="Times New Roman" w:eastAsia="黑体" w:cs="Times New Roman"/>
          <w:sz w:val="32"/>
          <w:szCs w:val="32"/>
        </w:rPr>
        <w:t>四、财</w:t>
      </w:r>
      <w:r>
        <w:rPr>
          <w:rStyle w:val="25"/>
          <w:rFonts w:hint="default" w:ascii="Times New Roman" w:hAnsi="Times New Roman" w:eastAsia="黑体" w:cs="Times New Roman"/>
          <w:b w:val="0"/>
        </w:rPr>
        <w:t>政拨款收入支出决算总体情况说明</w:t>
      </w:r>
      <w:bookmarkEnd w:id="40"/>
      <w:bookmarkEnd w:id="41"/>
      <w:bookmarkEnd w:id="42"/>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财政拨款收、支总计3306.59万元。与2020年相比，收、支总计各增加611.46万元，增长23%。主要变动原因是自2019年以来，财政部门取消就业创业补助资金专户，就业创业补助资金通过“一体化预算管理系统”预算指标下达的方式，拨付至中心经费基本户后再转就业创业补助资金专户支出，导致收支金额增加。</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（图4：财政拨款收、支决算总计变动情况）（柱状图）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5"/>
          <w:rFonts w:hint="default" w:ascii="Times New Roman" w:hAnsi="Times New Roman" w:eastAsia="黑体" w:cs="Times New Roman"/>
          <w:b w:val="0"/>
        </w:rPr>
      </w:pPr>
      <w:bookmarkStart w:id="43" w:name="_Toc15377209"/>
      <w:bookmarkStart w:id="44" w:name="_Toc113957748"/>
      <w:bookmarkStart w:id="45" w:name="_Toc15396607"/>
      <w:r>
        <w:rPr>
          <w:rFonts w:hint="default" w:ascii="Times New Roman" w:hAnsi="Times New Roman" w:eastAsia="黑体" w:cs="Times New Roman"/>
          <w:sz w:val="32"/>
          <w:szCs w:val="32"/>
        </w:rPr>
        <w:t>五、</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般公共预算财政拨款支出决算情况说明</w:t>
      </w:r>
      <w:bookmarkEnd w:id="43"/>
      <w:bookmarkEnd w:id="44"/>
      <w:bookmarkEnd w:id="45"/>
    </w:p>
    <w:p>
      <w:pPr>
        <w:spacing w:line="600" w:lineRule="exact"/>
        <w:ind w:firstLine="643" w:firstLineChars="200"/>
        <w:outlineLvl w:val="2"/>
        <w:rPr>
          <w:rFonts w:hint="default" w:ascii="Times New Roman" w:hAnsi="Times New Roman" w:eastAsia="仿宋" w:cs="Times New Roman"/>
          <w:b/>
          <w:sz w:val="32"/>
          <w:szCs w:val="32"/>
        </w:rPr>
      </w:pPr>
      <w:bookmarkStart w:id="46" w:name="_Toc113957749"/>
      <w:bookmarkStart w:id="47" w:name="_Toc15377210"/>
      <w:r>
        <w:rPr>
          <w:rFonts w:hint="default" w:ascii="Times New Roman" w:hAnsi="Times New Roman" w:eastAsia="仿宋" w:cs="Times New Roman"/>
          <w:b/>
          <w:sz w:val="32"/>
          <w:szCs w:val="32"/>
        </w:rPr>
        <w:t>（一）一般公共预算财政拨款支出决算总体情况</w:t>
      </w:r>
      <w:bookmarkEnd w:id="46"/>
      <w:bookmarkEnd w:id="47"/>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2021年一般公共预算财政拨款支出3306.95万元，占本年支出合计的100%。与2020年相比，一般公共预算财政拨款支出增加611.46万元，增长23%。主要变动原因是</w:t>
      </w:r>
      <w:r>
        <w:rPr>
          <w:rFonts w:hint="default" w:ascii="Times New Roman" w:hAnsi="Times New Roman" w:eastAsia="仿宋" w:cs="Times New Roman"/>
          <w:color w:val="000000"/>
          <w:sz w:val="32"/>
          <w:szCs w:val="32"/>
        </w:rPr>
        <w:t>自2019年以来，财政部门取消就业创业补助资金专户，就业创业补助资金通过“一体化预算管理系统”预算指标下达的方式，拨付至中心经费基本户后再转就业创业补助资金专户支出，导致支出金额增加。</w:t>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（图5：一般公共预算财政拨款支出决算变动情况）（柱状图）</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3" w:firstLineChars="200"/>
        <w:outlineLvl w:val="2"/>
        <w:rPr>
          <w:rFonts w:hint="default" w:ascii="Times New Roman" w:hAnsi="Times New Roman" w:eastAsia="仿宋" w:cs="Times New Roman"/>
          <w:b/>
          <w:sz w:val="32"/>
          <w:szCs w:val="32"/>
        </w:rPr>
      </w:pPr>
      <w:bookmarkStart w:id="48" w:name="_Toc113957750"/>
      <w:bookmarkStart w:id="49" w:name="_Toc15377211"/>
      <w:r>
        <w:rPr>
          <w:rFonts w:hint="default" w:ascii="Times New Roman" w:hAnsi="Times New Roman" w:eastAsia="仿宋" w:cs="Times New Roman"/>
          <w:b/>
          <w:sz w:val="32"/>
          <w:szCs w:val="32"/>
        </w:rPr>
        <w:t>（二）一般公共预算财政拨款支出决算结构情况</w:t>
      </w:r>
      <w:bookmarkEnd w:id="48"/>
      <w:bookmarkEnd w:id="49"/>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2021年一般公共预算财政拨款支出3298.82万元，主要用于以下方面:</w:t>
      </w:r>
      <w:r>
        <w:rPr>
          <w:rFonts w:hint="default" w:ascii="Times New Roman" w:hAnsi="Times New Roman" w:eastAsia="仿宋" w:cs="Times New Roman"/>
          <w:b/>
          <w:sz w:val="32"/>
          <w:szCs w:val="32"/>
        </w:rPr>
        <w:t>一般公共服务（类）</w:t>
      </w:r>
      <w:r>
        <w:rPr>
          <w:rFonts w:hint="default" w:ascii="Times New Roman" w:hAnsi="Times New Roman" w:eastAsia="仿宋" w:cs="Times New Roman"/>
          <w:sz w:val="32"/>
          <w:szCs w:val="32"/>
        </w:rPr>
        <w:t>支出3.76万元，占0.11%；</w:t>
      </w:r>
      <w:r>
        <w:rPr>
          <w:rFonts w:hint="default" w:ascii="Times New Roman" w:hAnsi="Times New Roman" w:eastAsia="仿宋" w:cs="Times New Roman"/>
          <w:b/>
          <w:sz w:val="32"/>
          <w:szCs w:val="32"/>
        </w:rPr>
        <w:t>社会保障和就业（类）</w:t>
      </w:r>
      <w:r>
        <w:rPr>
          <w:rFonts w:hint="default" w:ascii="Times New Roman" w:hAnsi="Times New Roman" w:eastAsia="仿宋" w:cs="Times New Roman"/>
          <w:sz w:val="32"/>
          <w:szCs w:val="32"/>
        </w:rPr>
        <w:t>支出2930.63万元，占88.84%；</w:t>
      </w:r>
      <w:r>
        <w:rPr>
          <w:rFonts w:hint="default" w:ascii="Times New Roman" w:hAnsi="Times New Roman" w:eastAsia="仿宋" w:cs="Times New Roman"/>
          <w:b/>
          <w:sz w:val="32"/>
          <w:szCs w:val="32"/>
        </w:rPr>
        <w:t>节能环保（类）</w:t>
      </w:r>
      <w:r>
        <w:rPr>
          <w:rFonts w:hint="default" w:ascii="Times New Roman" w:hAnsi="Times New Roman" w:eastAsia="仿宋" w:cs="Times New Roman"/>
          <w:sz w:val="32"/>
          <w:szCs w:val="32"/>
        </w:rPr>
        <w:t>支出318万元，占9.64%；</w:t>
      </w:r>
      <w:r>
        <w:rPr>
          <w:rFonts w:hint="default" w:ascii="Times New Roman" w:hAnsi="Times New Roman" w:eastAsia="仿宋" w:cs="Times New Roman"/>
          <w:b/>
          <w:sz w:val="32"/>
          <w:szCs w:val="32"/>
        </w:rPr>
        <w:t>住房保障支出</w:t>
      </w:r>
      <w:r>
        <w:rPr>
          <w:rFonts w:hint="default" w:ascii="Times New Roman" w:hAnsi="Times New Roman" w:eastAsia="仿宋" w:cs="Times New Roman"/>
          <w:sz w:val="32"/>
          <w:szCs w:val="32"/>
        </w:rPr>
        <w:t>46.43万元，占1.41%。</w:t>
      </w: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（图6：一般公共预算财政拨款支出决算结构）（饼状图）</w:t>
      </w:r>
    </w:p>
    <w:p>
      <w:pPr>
        <w:ind w:firstLine="643" w:firstLineChars="200"/>
        <w:rPr>
          <w:rFonts w:hint="default" w:ascii="Times New Roman" w:hAnsi="Times New Roman" w:eastAsia="仿宋" w:cs="Times New Roman"/>
          <w:b/>
          <w:sz w:val="32"/>
          <w:szCs w:val="32"/>
        </w:rPr>
      </w:pPr>
      <w:bookmarkStart w:id="50" w:name="_Toc15377213"/>
      <w:bookmarkStart w:id="51" w:name="_Toc15378460"/>
      <w:bookmarkStart w:id="52" w:name="_Toc15377444"/>
      <w:r>
        <w:rPr>
          <w:rFonts w:hint="default" w:ascii="Times New Roman" w:hAnsi="Times New Roman" w:eastAsia="仿宋" w:cs="Times New Roman"/>
          <w:b/>
          <w:sz w:val="32"/>
          <w:szCs w:val="32"/>
        </w:rPr>
        <w:t>（三）一般公共预算财政拨款支出决算具体情况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2021年一般公共预算支出决算数为3306.59万元</w:t>
      </w:r>
      <w:bookmarkEnd w:id="50"/>
      <w:bookmarkEnd w:id="51"/>
      <w:bookmarkEnd w:id="52"/>
      <w:r>
        <w:rPr>
          <w:rFonts w:hint="default" w:ascii="Times New Roman" w:hAnsi="Times New Roman" w:eastAsia="仿宋" w:cs="Times New Roman"/>
          <w:sz w:val="32"/>
          <w:szCs w:val="32"/>
        </w:rPr>
        <w:t>，完成预算100%。其中：</w:t>
      </w:r>
    </w:p>
    <w:p>
      <w:pPr>
        <w:spacing w:line="600" w:lineRule="exact"/>
        <w:ind w:firstLine="643" w:firstLineChars="200"/>
        <w:rPr>
          <w:rFonts w:hint="default" w:ascii="Times New Roman" w:hAnsi="Times New Roman" w:eastAsia="仿宋" w:cs="Times New Roman"/>
          <w:b/>
          <w:sz w:val="32"/>
          <w:szCs w:val="32"/>
        </w:rPr>
      </w:pPr>
      <w:r>
        <w:rPr>
          <w:rStyle w:val="14"/>
          <w:rFonts w:hint="default" w:ascii="Times New Roman" w:hAnsi="Times New Roman" w:eastAsia="仿宋" w:cs="Times New Roman"/>
          <w:bCs/>
          <w:sz w:val="32"/>
          <w:szCs w:val="32"/>
        </w:rPr>
        <w:t>1.一般公共服务:</w:t>
      </w:r>
      <w:r>
        <w:rPr>
          <w:rStyle w:val="14"/>
          <w:rFonts w:hint="default" w:ascii="Times New Roman" w:hAnsi="Times New Roman" w:eastAsia="仿宋" w:cs="Times New Roman"/>
          <w:b w:val="0"/>
          <w:bCs/>
          <w:sz w:val="32"/>
          <w:szCs w:val="32"/>
        </w:rPr>
        <w:t>支出决算为3.76万元，完成预算100%。</w:t>
      </w:r>
    </w:p>
    <w:p>
      <w:pPr>
        <w:spacing w:line="600" w:lineRule="exact"/>
        <w:ind w:firstLine="643" w:firstLineChars="200"/>
        <w:rPr>
          <w:rFonts w:hint="default" w:ascii="Times New Roman" w:hAnsi="Times New Roman" w:eastAsia="仿宋" w:cs="Times New Roman"/>
          <w:bCs/>
          <w:sz w:val="32"/>
          <w:szCs w:val="32"/>
        </w:rPr>
      </w:pPr>
      <w:r>
        <w:rPr>
          <w:rStyle w:val="14"/>
          <w:rFonts w:hint="default" w:ascii="Times New Roman" w:hAnsi="Times New Roman" w:eastAsia="仿宋" w:cs="Times New Roman"/>
          <w:bCs/>
          <w:sz w:val="32"/>
          <w:szCs w:val="32"/>
        </w:rPr>
        <w:t>2.社会保障和就业:</w:t>
      </w:r>
      <w:r>
        <w:rPr>
          <w:rStyle w:val="14"/>
          <w:rFonts w:hint="default" w:ascii="Times New Roman" w:hAnsi="Times New Roman" w:eastAsia="仿宋" w:cs="Times New Roman"/>
          <w:b w:val="0"/>
          <w:bCs/>
          <w:sz w:val="32"/>
          <w:szCs w:val="32"/>
        </w:rPr>
        <w:t>支出决算为2938.4万元，完成预算100%。</w:t>
      </w:r>
    </w:p>
    <w:p>
      <w:pPr>
        <w:spacing w:line="600" w:lineRule="exact"/>
        <w:ind w:firstLine="643" w:firstLineChars="200"/>
        <w:rPr>
          <w:rFonts w:hint="default" w:ascii="Times New Roman" w:hAnsi="Times New Roman" w:eastAsia="仿宋" w:cs="Times New Roman"/>
          <w:b/>
          <w:sz w:val="32"/>
          <w:szCs w:val="32"/>
        </w:rPr>
      </w:pPr>
      <w:r>
        <w:rPr>
          <w:rStyle w:val="14"/>
          <w:rFonts w:hint="default" w:ascii="Times New Roman" w:hAnsi="Times New Roman" w:eastAsia="仿宋" w:cs="Times New Roman"/>
          <w:bCs/>
          <w:sz w:val="32"/>
          <w:szCs w:val="32"/>
        </w:rPr>
        <w:t>3.</w:t>
      </w:r>
      <w:r>
        <w:rPr>
          <w:rFonts w:hint="default" w:ascii="Times New Roman" w:hAnsi="Times New Roman" w:eastAsia="仿宋" w:cs="Times New Roman"/>
          <w:b/>
          <w:bCs/>
          <w:sz w:val="32"/>
          <w:szCs w:val="32"/>
        </w:rPr>
        <w:t>节能环保支出</w:t>
      </w:r>
      <w:r>
        <w:rPr>
          <w:rStyle w:val="14"/>
          <w:rFonts w:hint="default" w:ascii="Times New Roman" w:hAnsi="Times New Roman" w:eastAsia="仿宋" w:cs="Times New Roman"/>
          <w:bCs/>
          <w:sz w:val="32"/>
          <w:szCs w:val="32"/>
        </w:rPr>
        <w:t>:</w:t>
      </w:r>
      <w:r>
        <w:rPr>
          <w:rStyle w:val="14"/>
          <w:rFonts w:hint="default" w:ascii="Times New Roman" w:hAnsi="Times New Roman" w:eastAsia="仿宋" w:cs="Times New Roman"/>
          <w:b w:val="0"/>
          <w:bCs/>
          <w:sz w:val="32"/>
          <w:szCs w:val="32"/>
        </w:rPr>
        <w:t>支出决算为318万元，完成预算100%。</w:t>
      </w:r>
    </w:p>
    <w:p>
      <w:pPr>
        <w:spacing w:line="600" w:lineRule="exact"/>
        <w:ind w:firstLine="643" w:firstLineChars="200"/>
        <w:rPr>
          <w:rFonts w:hint="default" w:ascii="Times New Roman" w:hAnsi="Times New Roman" w:eastAsia="仿宋" w:cs="Times New Roman"/>
          <w:sz w:val="32"/>
          <w:szCs w:val="32"/>
        </w:rPr>
      </w:pPr>
      <w:r>
        <w:rPr>
          <w:rFonts w:hint="default" w:ascii="Times New Roman" w:hAnsi="Times New Roman" w:eastAsia="仿宋" w:cs="Times New Roman"/>
          <w:b/>
          <w:sz w:val="32"/>
          <w:szCs w:val="32"/>
        </w:rPr>
        <w:t>4.住房保障支出</w:t>
      </w:r>
      <w:r>
        <w:rPr>
          <w:rFonts w:hint="default" w:ascii="Times New Roman" w:hAnsi="Times New Roman" w:eastAsia="仿宋" w:cs="Times New Roman"/>
          <w:sz w:val="32"/>
          <w:szCs w:val="32"/>
        </w:rPr>
        <w:t>：支出决算46.43万元，</w:t>
      </w:r>
      <w:r>
        <w:rPr>
          <w:rStyle w:val="14"/>
          <w:rFonts w:hint="default" w:ascii="Times New Roman" w:hAnsi="Times New Roman" w:eastAsia="仿宋" w:cs="Times New Roman"/>
          <w:b w:val="0"/>
          <w:bCs/>
          <w:sz w:val="32"/>
          <w:szCs w:val="32"/>
        </w:rPr>
        <w:t>完成预算100%。</w:t>
      </w:r>
    </w:p>
    <w:p>
      <w:pPr>
        <w:tabs>
          <w:tab w:val="right" w:pos="8306"/>
        </w:tabs>
        <w:spacing w:line="600" w:lineRule="exact"/>
        <w:ind w:firstLine="640"/>
        <w:outlineLvl w:val="1"/>
        <w:rPr>
          <w:rStyle w:val="25"/>
          <w:rFonts w:hint="default" w:ascii="Times New Roman" w:hAnsi="Times New Roman" w:cs="Times New Roman"/>
        </w:rPr>
      </w:pPr>
      <w:bookmarkStart w:id="53" w:name="_Toc15396608"/>
      <w:bookmarkStart w:id="54" w:name="_Toc113957751"/>
      <w:bookmarkStart w:id="55" w:name="_Toc15377214"/>
      <w:r>
        <w:rPr>
          <w:rFonts w:hint="default" w:ascii="Times New Roman" w:hAnsi="Times New Roman" w:eastAsia="黑体" w:cs="Times New Roman"/>
          <w:sz w:val="32"/>
          <w:szCs w:val="32"/>
        </w:rPr>
        <w:t>六</w:t>
      </w:r>
      <w:r>
        <w:rPr>
          <w:rFonts w:hint="default" w:ascii="Times New Roman" w:hAnsi="Times New Roman" w:eastAsia="黑体" w:cs="Times New Roman"/>
          <w:b/>
          <w:sz w:val="32"/>
          <w:szCs w:val="32"/>
        </w:rPr>
        <w:t>、一</w:t>
      </w:r>
      <w:r>
        <w:rPr>
          <w:rStyle w:val="25"/>
          <w:rFonts w:hint="default" w:ascii="Times New Roman" w:hAnsi="Times New Roman" w:eastAsia="黑体" w:cs="Times New Roman"/>
          <w:b w:val="0"/>
        </w:rPr>
        <w:t>般公共预算财政拨款基本支出决算情况说明</w:t>
      </w:r>
      <w:bookmarkEnd w:id="53"/>
      <w:bookmarkEnd w:id="54"/>
      <w:bookmarkEnd w:id="55"/>
      <w:r>
        <w:rPr>
          <w:rStyle w:val="25"/>
          <w:rFonts w:hint="default" w:ascii="Times New Roman" w:hAnsi="Times New Roman" w:eastAsia="黑体" w:cs="Times New Roman"/>
          <w:b w:val="0"/>
        </w:rPr>
        <w:tab/>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2021年一般公共预算财政拨款基本支出757.56万元，其中：</w:t>
      </w:r>
    </w:p>
    <w:p>
      <w:pPr>
        <w:spacing w:line="600" w:lineRule="exact"/>
        <w:ind w:firstLine="645"/>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人员经费658.57万元，主要包括：基本工资、津贴补贴、奖金、机关事业单位基本养老保险缴费、职业年金缴费、其他社会保障缴费、其他工资福利支出、生活补助、住房公积金等。</w:t>
      </w:r>
      <w:r>
        <w:rPr>
          <w:rFonts w:hint="default" w:ascii="Times New Roman" w:hAnsi="Times New Roman" w:eastAsia="仿宋" w:cs="Times New Roman"/>
          <w:sz w:val="32"/>
          <w:szCs w:val="32"/>
        </w:rPr>
        <w:br w:type="textWrapping"/>
      </w:r>
      <w:r>
        <w:rPr>
          <w:rFonts w:hint="default" w:ascii="Times New Roman" w:hAnsi="Times New Roman" w:eastAsia="仿宋" w:cs="Times New Roman"/>
          <w:sz w:val="32"/>
          <w:szCs w:val="32"/>
        </w:rPr>
        <w:t>　　公用经费98.99万元，主要包括：办公费、水费、电费、邮电费、取暖费、差旅费、维修（护）费、公务接待费、劳务费、委托业务费、工会经费、福利费、其他商品和服务支出等。</w:t>
      </w:r>
    </w:p>
    <w:p>
      <w:pPr>
        <w:spacing w:line="600" w:lineRule="exact"/>
        <w:ind w:firstLine="640"/>
        <w:outlineLvl w:val="1"/>
        <w:rPr>
          <w:rStyle w:val="25"/>
          <w:rFonts w:hint="default" w:ascii="Times New Roman" w:hAnsi="Times New Roman" w:eastAsia="黑体" w:cs="Times New Roman"/>
          <w:b w:val="0"/>
        </w:rPr>
      </w:pPr>
      <w:bookmarkStart w:id="56" w:name="_Toc15377215"/>
      <w:bookmarkStart w:id="57" w:name="_Toc113957752"/>
      <w:bookmarkStart w:id="58" w:name="_Toc15396609"/>
      <w:r>
        <w:rPr>
          <w:rFonts w:hint="default" w:ascii="Times New Roman" w:hAnsi="Times New Roman" w:eastAsia="黑体" w:cs="Times New Roman"/>
          <w:sz w:val="32"/>
          <w:szCs w:val="32"/>
        </w:rPr>
        <w:t>七、</w:t>
      </w:r>
      <w:r>
        <w:rPr>
          <w:rStyle w:val="25"/>
          <w:rFonts w:hint="default" w:ascii="Times New Roman" w:hAnsi="Times New Roman" w:eastAsia="黑体" w:cs="Times New Roman"/>
        </w:rPr>
        <w:t>“</w:t>
      </w:r>
      <w:r>
        <w:rPr>
          <w:rStyle w:val="25"/>
          <w:rFonts w:hint="default" w:ascii="Times New Roman" w:hAnsi="Times New Roman" w:eastAsia="黑体" w:cs="Times New Roman"/>
          <w:b w:val="0"/>
        </w:rPr>
        <w:t>三公”经费财政拨款支出决算情况说明</w:t>
      </w:r>
      <w:bookmarkEnd w:id="56"/>
      <w:bookmarkEnd w:id="57"/>
      <w:bookmarkEnd w:id="58"/>
    </w:p>
    <w:p>
      <w:pPr>
        <w:spacing w:line="600" w:lineRule="exact"/>
        <w:ind w:firstLine="640"/>
        <w:outlineLvl w:val="2"/>
        <w:rPr>
          <w:rFonts w:hint="default" w:ascii="Times New Roman" w:hAnsi="Times New Roman" w:eastAsia="仿宋" w:cs="Times New Roman"/>
          <w:b/>
          <w:sz w:val="32"/>
          <w:szCs w:val="32"/>
        </w:rPr>
      </w:pPr>
      <w:bookmarkStart w:id="59" w:name="_Toc113957753"/>
      <w:bookmarkStart w:id="60" w:name="_Toc15377216"/>
      <w:r>
        <w:rPr>
          <w:rFonts w:hint="default" w:ascii="Times New Roman" w:hAnsi="Times New Roman" w:eastAsia="仿宋" w:cs="Times New Roman"/>
          <w:b/>
          <w:sz w:val="32"/>
          <w:szCs w:val="32"/>
        </w:rPr>
        <w:t>（一）“三公”经费财政拨款支出决算总体情况说明</w:t>
      </w:r>
      <w:bookmarkEnd w:id="59"/>
      <w:bookmarkEnd w:id="60"/>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2021年“三公”经费财政拨款支出决算为1.07万元，完成预算100%。</w:t>
      </w:r>
    </w:p>
    <w:p>
      <w:pPr>
        <w:spacing w:line="600" w:lineRule="exact"/>
        <w:ind w:firstLine="640"/>
        <w:outlineLvl w:val="2"/>
        <w:rPr>
          <w:rFonts w:hint="default" w:ascii="Times New Roman" w:hAnsi="Times New Roman" w:eastAsia="仿宋" w:cs="Times New Roman"/>
          <w:b/>
          <w:sz w:val="32"/>
          <w:szCs w:val="32"/>
        </w:rPr>
      </w:pPr>
      <w:bookmarkStart w:id="61" w:name="_Toc15377217"/>
      <w:bookmarkStart w:id="62" w:name="_Toc113957754"/>
      <w:r>
        <w:rPr>
          <w:rFonts w:hint="default" w:ascii="Times New Roman" w:hAnsi="Times New Roman" w:eastAsia="仿宋" w:cs="Times New Roman"/>
          <w:b/>
          <w:sz w:val="32"/>
          <w:szCs w:val="32"/>
        </w:rPr>
        <w:t>（二）“三公”经费财政拨款支出决算具体情况说明</w:t>
      </w:r>
      <w:bookmarkEnd w:id="61"/>
      <w:bookmarkEnd w:id="62"/>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2021年“三公”经费财政拨款支出决算中，因公出国（境）费支出决算0万元，占0%；公务用车购置及运行维护费支出决算0万元，占0%；公务接待费支出决算1.07万元，占100%。具体情况如下：</w:t>
      </w:r>
    </w:p>
    <w:p>
      <w:pPr>
        <w:spacing w:line="600" w:lineRule="exact"/>
        <w:ind w:firstLine="64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（图7：“三公”经费财政拨款支出结构）（饼状图）</w:t>
      </w:r>
    </w:p>
    <w:p>
      <w:pPr>
        <w:pStyle w:val="2"/>
        <w:spacing w:before="93"/>
        <w:rPr>
          <w:rFonts w:hint="default" w:ascii="Times New Roman" w:hAnsi="Times New Roman" w:cs="Times New Roman"/>
        </w:rPr>
      </w:pPr>
    </w:p>
    <w:p>
      <w:pPr>
        <w:pStyle w:val="2"/>
        <w:spacing w:before="93"/>
        <w:rPr>
          <w:rFonts w:hint="default" w:ascii="Times New Roman" w:hAnsi="Times New Roman" w:cs="Times New Roman"/>
        </w:rPr>
      </w:pPr>
      <w:r>
        <w:rPr>
          <w:rFonts w:hint="default" w:ascii="Times New Roman" w:hAnsi="Times New Roman" w:cs="Times New Roman"/>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1.因公出国（境）经费支出</w:t>
      </w:r>
      <w:r>
        <w:rPr>
          <w:rFonts w:hint="default" w:ascii="Times New Roman" w:hAnsi="Times New Roman" w:eastAsia="仿宋_GB2312" w:cs="Times New Roman"/>
          <w:sz w:val="32"/>
          <w:szCs w:val="32"/>
        </w:rPr>
        <w:t>0万元，</w:t>
      </w:r>
      <w:r>
        <w:rPr>
          <w:rStyle w:val="14"/>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全年安排因公出国（境）团组0次，出国（境）0人。因公出国（境）支出决算与2020年持平。</w:t>
      </w:r>
    </w:p>
    <w:p>
      <w:pPr>
        <w:spacing w:line="600" w:lineRule="exact"/>
        <w:ind w:firstLine="64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2.公务用车购置及运行维护费支出</w:t>
      </w:r>
      <w:r>
        <w:rPr>
          <w:rFonts w:hint="default" w:ascii="Times New Roman" w:hAnsi="Times New Roman" w:eastAsia="仿宋_GB2312" w:cs="Times New Roman"/>
          <w:sz w:val="32"/>
          <w:szCs w:val="32"/>
        </w:rPr>
        <w:t>0万元,</w:t>
      </w:r>
      <w:r>
        <w:rPr>
          <w:rStyle w:val="14"/>
          <w:rFonts w:hint="default" w:ascii="Times New Roman" w:hAnsi="Times New Roman" w:eastAsia="仿宋" w:cs="Times New Roman"/>
          <w:b w:val="0"/>
          <w:bCs/>
          <w:sz w:val="32"/>
          <w:szCs w:val="32"/>
        </w:rPr>
        <w:t>完成预算0%。</w:t>
      </w:r>
      <w:r>
        <w:rPr>
          <w:rFonts w:hint="default" w:ascii="Times New Roman" w:hAnsi="Times New Roman" w:eastAsia="仿宋_GB2312" w:cs="Times New Roman"/>
          <w:sz w:val="32"/>
          <w:szCs w:val="32"/>
        </w:rPr>
        <w:t>公务用车购置及运行维护费支出决算与2020年持平。</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其中：</w:t>
      </w:r>
      <w:r>
        <w:rPr>
          <w:rFonts w:hint="default" w:ascii="Times New Roman" w:hAnsi="Times New Roman" w:eastAsia="仿宋_GB2312" w:cs="Times New Roman"/>
          <w:b/>
          <w:sz w:val="32"/>
          <w:szCs w:val="32"/>
        </w:rPr>
        <w:t>公务用车购置支出</w:t>
      </w:r>
      <w:r>
        <w:rPr>
          <w:rFonts w:hint="default" w:ascii="Times New Roman" w:hAnsi="Times New Roman" w:eastAsia="仿宋_GB2312" w:cs="Times New Roman"/>
          <w:sz w:val="32"/>
          <w:szCs w:val="32"/>
        </w:rPr>
        <w:t>0万元。全年按规定更新购置公务用车0辆，其中：轿车0辆、金额0万元，越野车0辆、金额0万元，载客汽车0辆、金额0万元。截至2021年12月底，单位共有公务用车0辆，其中：轿车0辆、越野车0辆、载客汽车0辆。</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公务用车运行维护费支出</w:t>
      </w:r>
      <w:r>
        <w:rPr>
          <w:rFonts w:hint="default" w:ascii="Times New Roman" w:hAnsi="Times New Roman" w:eastAsia="仿宋_GB2312" w:cs="Times New Roman"/>
          <w:sz w:val="32"/>
          <w:szCs w:val="32"/>
        </w:rPr>
        <w:t>0万元。</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3.公务接待费支出</w:t>
      </w:r>
      <w:r>
        <w:rPr>
          <w:rFonts w:hint="default" w:ascii="Times New Roman" w:hAnsi="Times New Roman" w:eastAsia="仿宋_GB2312" w:cs="Times New Roman"/>
          <w:sz w:val="32"/>
          <w:szCs w:val="32"/>
        </w:rPr>
        <w:t>1.07万元，</w:t>
      </w:r>
      <w:r>
        <w:rPr>
          <w:rStyle w:val="14"/>
          <w:rFonts w:hint="default" w:ascii="Times New Roman" w:hAnsi="Times New Roman" w:eastAsia="仿宋" w:cs="Times New Roman"/>
          <w:b w:val="0"/>
          <w:bCs/>
          <w:sz w:val="32"/>
          <w:szCs w:val="32"/>
        </w:rPr>
        <w:t>完成预算100%。</w:t>
      </w:r>
      <w:r>
        <w:rPr>
          <w:rFonts w:hint="default" w:ascii="Times New Roman" w:hAnsi="Times New Roman" w:eastAsia="仿宋_GB2312" w:cs="Times New Roman"/>
          <w:sz w:val="32"/>
          <w:szCs w:val="32"/>
        </w:rPr>
        <w:t>公务接待费支出决算比2020年持平。其中：</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国内公务接待支出</w:t>
      </w:r>
      <w:r>
        <w:rPr>
          <w:rFonts w:hint="default" w:ascii="Times New Roman" w:hAnsi="Times New Roman" w:eastAsia="仿宋" w:cs="Times New Roman"/>
          <w:sz w:val="32"/>
          <w:szCs w:val="32"/>
        </w:rPr>
        <w:t>1.07</w:t>
      </w:r>
      <w:r>
        <w:rPr>
          <w:rFonts w:hint="default" w:ascii="Times New Roman" w:hAnsi="Times New Roman" w:eastAsia="仿宋_GB2312" w:cs="Times New Roman"/>
          <w:sz w:val="32"/>
          <w:szCs w:val="32"/>
        </w:rPr>
        <w:t>万元，主要用于开展业务活动开支的交通费、住宿费、用餐费等。国内公务接待8批次，40人次（不包括陪同人员），共计支出1.07万元，具体内容包括：</w:t>
      </w:r>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（1）省人社厅人事处2人来攀考察调动人员。</w:t>
      </w:r>
    </w:p>
    <w:p>
      <w:pPr>
        <w:pStyle w:val="2"/>
        <w:spacing w:before="93"/>
        <w:ind w:firstLine="600"/>
        <w:rPr>
          <w:rFonts w:hint="default" w:ascii="Times New Roman" w:hAnsi="Times New Roman" w:cs="Times New Roman"/>
        </w:rPr>
      </w:pPr>
      <w:r>
        <w:rPr>
          <w:rFonts w:hint="default" w:ascii="Times New Roman" w:hAnsi="Times New Roman" w:cs="Times New Roman"/>
        </w:rPr>
        <w:t>（2）省人社厅第四督导组3人来攀督导培训领域突出问题系统治理工作。</w:t>
      </w:r>
    </w:p>
    <w:p>
      <w:pPr>
        <w:pStyle w:val="2"/>
        <w:spacing w:before="93"/>
        <w:ind w:firstLine="600"/>
        <w:rPr>
          <w:rFonts w:hint="default" w:ascii="Times New Roman" w:hAnsi="Times New Roman" w:cs="Times New Roman"/>
        </w:rPr>
      </w:pPr>
      <w:r>
        <w:rPr>
          <w:rFonts w:hint="default" w:ascii="Times New Roman" w:hAnsi="Times New Roman" w:cs="Times New Roman"/>
        </w:rPr>
        <w:t>（3）广安市人社局4人来攀学习考察。</w:t>
      </w:r>
    </w:p>
    <w:p>
      <w:pPr>
        <w:pStyle w:val="2"/>
        <w:spacing w:before="93"/>
        <w:ind w:firstLine="600"/>
        <w:rPr>
          <w:rFonts w:hint="default" w:ascii="Times New Roman" w:hAnsi="Times New Roman" w:cs="Times New Roman"/>
        </w:rPr>
      </w:pPr>
      <w:r>
        <w:rPr>
          <w:rFonts w:hint="default" w:ascii="Times New Roman" w:hAnsi="Times New Roman" w:cs="Times New Roman"/>
        </w:rPr>
        <w:t>（4）会理县人社局8人来攀调研交流农民工劳务输出、就业稳岗、人力资源产业等就业创业工作。</w:t>
      </w:r>
    </w:p>
    <w:p>
      <w:pPr>
        <w:pStyle w:val="2"/>
        <w:spacing w:before="93"/>
        <w:ind w:firstLine="600"/>
        <w:rPr>
          <w:rFonts w:hint="default" w:ascii="Times New Roman" w:hAnsi="Times New Roman" w:cs="Times New Roman"/>
        </w:rPr>
      </w:pPr>
      <w:r>
        <w:rPr>
          <w:rFonts w:hint="default" w:ascii="Times New Roman" w:hAnsi="Times New Roman" w:cs="Times New Roman"/>
        </w:rPr>
        <w:t>（5）省人社厅农民工作处4人来攀现场考察2021年省级创业孵化基地。</w:t>
      </w:r>
    </w:p>
    <w:p>
      <w:pPr>
        <w:pStyle w:val="2"/>
        <w:spacing w:before="93"/>
        <w:ind w:firstLine="600"/>
        <w:rPr>
          <w:rFonts w:hint="default" w:ascii="Times New Roman" w:hAnsi="Times New Roman" w:cs="Times New Roman"/>
        </w:rPr>
      </w:pPr>
      <w:r>
        <w:rPr>
          <w:rFonts w:hint="default" w:ascii="Times New Roman" w:hAnsi="Times New Roman" w:cs="Times New Roman"/>
        </w:rPr>
        <w:t>（6）省就业局8人来攀开展就业培训领域突出问题系统治理交叉检查暨重点问题核查。</w:t>
      </w:r>
    </w:p>
    <w:p>
      <w:pPr>
        <w:pStyle w:val="2"/>
        <w:spacing w:before="93"/>
        <w:ind w:firstLine="600"/>
        <w:rPr>
          <w:rFonts w:hint="default" w:ascii="Times New Roman" w:hAnsi="Times New Roman" w:cs="Times New Roman"/>
        </w:rPr>
      </w:pPr>
      <w:r>
        <w:rPr>
          <w:rFonts w:hint="default" w:ascii="Times New Roman" w:hAnsi="Times New Roman" w:cs="Times New Roman"/>
        </w:rPr>
        <w:t>（7）会东县人社局4人来攀交流学习就业创业工作。</w:t>
      </w:r>
    </w:p>
    <w:p>
      <w:pPr>
        <w:pStyle w:val="2"/>
        <w:spacing w:before="93"/>
        <w:ind w:firstLine="600"/>
        <w:rPr>
          <w:rFonts w:hint="default" w:ascii="Times New Roman" w:hAnsi="Times New Roman" w:cs="Times New Roman"/>
        </w:rPr>
      </w:pPr>
      <w:r>
        <w:rPr>
          <w:rFonts w:hint="default" w:ascii="Times New Roman" w:hAnsi="Times New Roman" w:cs="Times New Roman"/>
        </w:rPr>
        <w:t>（8）眉山市人社局7人来攀开展招聘活动。</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 w:cs="Times New Roman"/>
          <w:b/>
          <w:sz w:val="32"/>
          <w:szCs w:val="32"/>
        </w:rPr>
        <w:t>外事接待支出</w:t>
      </w:r>
      <w:r>
        <w:rPr>
          <w:rFonts w:hint="default" w:ascii="Times New Roman" w:hAnsi="Times New Roman" w:eastAsia="仿宋" w:cs="Times New Roman"/>
          <w:sz w:val="32"/>
          <w:szCs w:val="32"/>
        </w:rPr>
        <w:t>0</w:t>
      </w:r>
      <w:r>
        <w:rPr>
          <w:rFonts w:hint="default" w:ascii="Times New Roman" w:hAnsi="Times New Roman" w:eastAsia="仿宋_GB2312" w:cs="Times New Roman"/>
          <w:sz w:val="32"/>
          <w:szCs w:val="32"/>
        </w:rPr>
        <w:t>万元，外事接待0批次，0人，共计支出0万元。</w:t>
      </w:r>
    </w:p>
    <w:p>
      <w:pPr>
        <w:spacing w:line="600" w:lineRule="exact"/>
        <w:ind w:firstLine="640"/>
        <w:outlineLvl w:val="1"/>
        <w:rPr>
          <w:rFonts w:hint="default" w:ascii="Times New Roman" w:hAnsi="Times New Roman" w:eastAsia="黑体" w:cs="Times New Roman"/>
          <w:sz w:val="32"/>
          <w:szCs w:val="32"/>
        </w:rPr>
      </w:pPr>
      <w:bookmarkStart w:id="63" w:name="_Toc15377218"/>
      <w:bookmarkStart w:id="64" w:name="_Toc15396610"/>
    </w:p>
    <w:p>
      <w:pPr>
        <w:spacing w:line="600" w:lineRule="exact"/>
        <w:ind w:firstLine="640"/>
        <w:outlineLvl w:val="1"/>
        <w:rPr>
          <w:rStyle w:val="25"/>
          <w:rFonts w:hint="default" w:ascii="Times New Roman" w:hAnsi="Times New Roman" w:eastAsia="黑体" w:cs="Times New Roman"/>
        </w:rPr>
      </w:pPr>
      <w:bookmarkStart w:id="65" w:name="_Toc113957755"/>
      <w:r>
        <w:rPr>
          <w:rFonts w:hint="default" w:ascii="Times New Roman" w:hAnsi="Times New Roman" w:eastAsia="黑体" w:cs="Times New Roman"/>
          <w:sz w:val="32"/>
          <w:szCs w:val="32"/>
        </w:rPr>
        <w:t>八、</w:t>
      </w:r>
      <w:r>
        <w:rPr>
          <w:rStyle w:val="25"/>
          <w:rFonts w:hint="default" w:ascii="Times New Roman" w:hAnsi="Times New Roman" w:eastAsia="黑体" w:cs="Times New Roman"/>
          <w:b w:val="0"/>
        </w:rPr>
        <w:t>政府性基金预算支出决算情况说明</w:t>
      </w:r>
      <w:bookmarkEnd w:id="63"/>
      <w:bookmarkEnd w:id="64"/>
      <w:bookmarkEnd w:id="65"/>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2021年政府性基金预算财政拨款支出0万元。</w:t>
      </w:r>
    </w:p>
    <w:p>
      <w:pPr>
        <w:spacing w:line="600" w:lineRule="exact"/>
        <w:ind w:firstLine="640"/>
        <w:rPr>
          <w:rFonts w:hint="default" w:ascii="Times New Roman" w:hAnsi="Times New Roman" w:eastAsia="仿宋_GB2312" w:cs="Times New Roman"/>
          <w:sz w:val="32"/>
          <w:szCs w:val="32"/>
        </w:rPr>
      </w:pPr>
    </w:p>
    <w:p>
      <w:pPr>
        <w:numPr>
          <w:ilvl w:val="0"/>
          <w:numId w:val="2"/>
        </w:numPr>
        <w:spacing w:line="600" w:lineRule="exact"/>
        <w:ind w:firstLine="640"/>
        <w:outlineLvl w:val="1"/>
        <w:rPr>
          <w:rStyle w:val="25"/>
          <w:rFonts w:hint="default" w:ascii="Times New Roman" w:hAnsi="Times New Roman" w:eastAsia="黑体" w:cs="Times New Roman"/>
          <w:b w:val="0"/>
        </w:rPr>
      </w:pPr>
      <w:bookmarkStart w:id="66" w:name="_Toc113957756"/>
      <w:bookmarkStart w:id="67" w:name="_Toc15377219"/>
      <w:bookmarkStart w:id="68" w:name="_Toc15396611"/>
      <w:r>
        <w:rPr>
          <w:rStyle w:val="25"/>
          <w:rFonts w:hint="default" w:ascii="Times New Roman" w:hAnsi="Times New Roman" w:eastAsia="黑体" w:cs="Times New Roman"/>
          <w:b w:val="0"/>
        </w:rPr>
        <w:t>国有资本经营预算支出决算情况说明</w:t>
      </w:r>
      <w:bookmarkEnd w:id="66"/>
      <w:bookmarkEnd w:id="67"/>
      <w:bookmarkEnd w:id="68"/>
    </w:p>
    <w:p>
      <w:pPr>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2021年国有资本经营预算财政拨款支出0万元。</w:t>
      </w:r>
    </w:p>
    <w:p>
      <w:pPr>
        <w:spacing w:line="580" w:lineRule="exact"/>
        <w:jc w:val="center"/>
        <w:rPr>
          <w:rFonts w:hint="default" w:ascii="Times New Roman" w:hAnsi="Times New Roman" w:eastAsia="方正小标宋简体" w:cs="Times New Roman"/>
          <w:sz w:val="44"/>
          <w:szCs w:val="44"/>
        </w:rPr>
      </w:pPr>
    </w:p>
    <w:p>
      <w:pPr>
        <w:numPr>
          <w:ilvl w:val="0"/>
          <w:numId w:val="2"/>
        </w:numPr>
        <w:spacing w:line="600" w:lineRule="exact"/>
        <w:ind w:firstLine="640"/>
        <w:outlineLvl w:val="1"/>
        <w:rPr>
          <w:rStyle w:val="25"/>
          <w:rFonts w:hint="default" w:ascii="Times New Roman" w:hAnsi="Times New Roman" w:eastAsia="黑体" w:cs="Times New Roman"/>
          <w:b w:val="0"/>
        </w:rPr>
      </w:pPr>
      <w:bookmarkStart w:id="69" w:name="_Toc15377221"/>
      <w:bookmarkStart w:id="70" w:name="_Toc113957757"/>
      <w:bookmarkStart w:id="71" w:name="_Toc15396612"/>
      <w:r>
        <w:rPr>
          <w:rStyle w:val="25"/>
          <w:rFonts w:hint="default" w:ascii="Times New Roman" w:hAnsi="Times New Roman" w:eastAsia="黑体" w:cs="Times New Roman"/>
          <w:b w:val="0"/>
        </w:rPr>
        <w:t>其他重要事项的情况说明</w:t>
      </w:r>
      <w:bookmarkEnd w:id="69"/>
      <w:bookmarkEnd w:id="70"/>
      <w:bookmarkEnd w:id="71"/>
    </w:p>
    <w:p>
      <w:pPr>
        <w:spacing w:line="600" w:lineRule="exact"/>
        <w:ind w:firstLine="643" w:firstLineChars="200"/>
        <w:outlineLvl w:val="2"/>
        <w:rPr>
          <w:rFonts w:hint="default" w:ascii="Times New Roman" w:hAnsi="Times New Roman" w:eastAsia="仿宋" w:cs="Times New Roman"/>
          <w:sz w:val="32"/>
          <w:szCs w:val="32"/>
        </w:rPr>
      </w:pPr>
      <w:bookmarkStart w:id="72" w:name="_Toc15377222"/>
      <w:bookmarkStart w:id="73" w:name="_Toc113957758"/>
      <w:r>
        <w:rPr>
          <w:rFonts w:hint="default" w:ascii="Times New Roman" w:hAnsi="Times New Roman" w:eastAsia="仿宋" w:cs="Times New Roman"/>
          <w:b/>
          <w:sz w:val="32"/>
          <w:szCs w:val="32"/>
        </w:rPr>
        <w:t>（一）机关运行经费支出情况</w:t>
      </w:r>
      <w:bookmarkEnd w:id="72"/>
      <w:bookmarkEnd w:id="73"/>
    </w:p>
    <w:p>
      <w:pPr>
        <w:spacing w:line="600" w:lineRule="exact"/>
        <w:ind w:firstLine="640" w:firstLineChars="200"/>
        <w:rPr>
          <w:rFonts w:hint="default" w:ascii="Times New Roman" w:hAnsi="Times New Roman" w:eastAsia="仿宋" w:cs="Times New Roman"/>
          <w:b/>
          <w:sz w:val="32"/>
          <w:szCs w:val="32"/>
        </w:rPr>
      </w:pPr>
      <w:r>
        <w:rPr>
          <w:rFonts w:hint="default" w:ascii="Times New Roman" w:hAnsi="Times New Roman" w:eastAsia="仿宋_GB2312" w:cs="Times New Roman"/>
          <w:sz w:val="32"/>
          <w:szCs w:val="32"/>
        </w:rPr>
        <w:t>2021年，攀枝花市就业创业促进中心机关运行经费支出98.99万元，比2020年增加22.38万元，增长22.61%。主要原因是本年度招考录用新增4人，职务职级晋升19人，晋级晋档工资、车补等致公用经费标准上涨。</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4" w:name="_Toc113957759"/>
      <w:bookmarkStart w:id="75" w:name="_Toc15377223"/>
      <w:r>
        <w:rPr>
          <w:rFonts w:hint="default" w:ascii="Times New Roman" w:hAnsi="Times New Roman" w:eastAsia="仿宋" w:cs="Times New Roman"/>
          <w:b/>
          <w:sz w:val="32"/>
          <w:szCs w:val="32"/>
        </w:rPr>
        <w:t>（二）政府采购支出情况</w:t>
      </w:r>
      <w:bookmarkEnd w:id="74"/>
      <w:bookmarkEnd w:id="75"/>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2021年，攀枝花市就业创业促进中心政府采购支出总额0万元，其中：政府采购货物支出0万元、政府采购工程支出0万元、政府采购服务支出0万元。</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6" w:name="_Toc113957760"/>
      <w:bookmarkStart w:id="77" w:name="_Toc15377224"/>
      <w:r>
        <w:rPr>
          <w:rFonts w:hint="default" w:ascii="Times New Roman" w:hAnsi="Times New Roman" w:eastAsia="仿宋" w:cs="Times New Roman"/>
          <w:b/>
          <w:sz w:val="32"/>
          <w:szCs w:val="32"/>
        </w:rPr>
        <w:t>（三）国有资产占有使用情况</w:t>
      </w:r>
      <w:bookmarkEnd w:id="76"/>
      <w:bookmarkEnd w:id="77"/>
    </w:p>
    <w:p>
      <w:pPr>
        <w:autoSpaceDE w:val="0"/>
        <w:autoSpaceDN w:val="0"/>
        <w:adjustRightInd w:val="0"/>
        <w:spacing w:line="60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截至2021年12月31日，攀枝花市就业创业促进中心共有车辆0辆，其中：主要领导干部用车0辆、机要通信用车0辆、应急保障用车0辆、其他用车0辆，单价50万元以上通用设,0台（套），单价100万元以上专用设备0台（套）。</w:t>
      </w:r>
    </w:p>
    <w:p>
      <w:pPr>
        <w:autoSpaceDE w:val="0"/>
        <w:autoSpaceDN w:val="0"/>
        <w:adjustRightInd w:val="0"/>
        <w:spacing w:line="600" w:lineRule="exact"/>
        <w:ind w:firstLine="643" w:firstLineChars="200"/>
        <w:jc w:val="left"/>
        <w:outlineLvl w:val="2"/>
        <w:rPr>
          <w:rFonts w:hint="default" w:ascii="Times New Roman" w:hAnsi="Times New Roman" w:eastAsia="仿宋" w:cs="Times New Roman"/>
          <w:b/>
          <w:sz w:val="32"/>
          <w:szCs w:val="32"/>
        </w:rPr>
      </w:pPr>
      <w:bookmarkStart w:id="78" w:name="_Toc113957761"/>
      <w:r>
        <w:rPr>
          <w:rFonts w:hint="default" w:ascii="Times New Roman" w:hAnsi="Times New Roman" w:eastAsia="仿宋" w:cs="Times New Roman"/>
          <w:b/>
          <w:sz w:val="32"/>
          <w:szCs w:val="32"/>
        </w:rPr>
        <w:t>（四）预算绩效管理情况</w:t>
      </w:r>
      <w:bookmarkEnd w:id="78"/>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预算绩效管理要求，本部门在2021年度预算编制阶段，组织对年初部门预算项目及中途追加预算项目等4个项目开展了预算事前绩效评估，对4个项目编制了绩效目标，预算执行过程中，选取4个项目开展绩效监控，年终执行完毕后，对4个项目开展了绩效自评。同时，本部门对2021年部门整体开展绩效自评，《2021年攀枝花市就业创业促进中心部门整体绩效评价报告》见附件（第四部分）。</w:t>
      </w:r>
    </w:p>
    <w:p>
      <w:pPr>
        <w:widowControl/>
        <w:jc w:val="left"/>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br w:type="page"/>
      </w:r>
    </w:p>
    <w:p>
      <w:pPr>
        <w:numPr>
          <w:ilvl w:val="0"/>
          <w:numId w:val="3"/>
        </w:numPr>
        <w:spacing w:line="600" w:lineRule="exact"/>
        <w:ind w:firstLine="660" w:firstLineChars="150"/>
        <w:jc w:val="center"/>
        <w:outlineLvl w:val="0"/>
        <w:rPr>
          <w:rStyle w:val="24"/>
          <w:rFonts w:hint="default" w:ascii="Times New Roman" w:hAnsi="Times New Roman" w:eastAsia="黑体" w:cs="Times New Roman"/>
          <w:b w:val="0"/>
        </w:rPr>
      </w:pPr>
      <w:bookmarkStart w:id="79" w:name="_Toc15396613"/>
      <w:bookmarkStart w:id="80" w:name="_Toc113957762"/>
      <w:bookmarkStart w:id="81" w:name="_Toc15377225"/>
      <w:r>
        <w:rPr>
          <w:rFonts w:hint="default" w:ascii="Times New Roman" w:hAnsi="Times New Roman" w:eastAsia="黑体" w:cs="Times New Roman"/>
          <w:sz w:val="44"/>
          <w:szCs w:val="44"/>
        </w:rPr>
        <w:t>名</w:t>
      </w:r>
      <w:r>
        <w:rPr>
          <w:rStyle w:val="24"/>
          <w:rFonts w:hint="default" w:ascii="Times New Roman" w:hAnsi="Times New Roman" w:eastAsia="黑体" w:cs="Times New Roman"/>
          <w:b w:val="0"/>
        </w:rPr>
        <w:t>词解释</w:t>
      </w:r>
      <w:bookmarkEnd w:id="79"/>
      <w:bookmarkEnd w:id="80"/>
      <w:bookmarkEnd w:id="81"/>
    </w:p>
    <w:p>
      <w:pPr>
        <w:spacing w:line="600" w:lineRule="exact"/>
        <w:jc w:val="left"/>
        <w:rPr>
          <w:rFonts w:hint="default" w:ascii="Times New Roman" w:hAnsi="Times New Roman" w:cs="Times New Roman"/>
          <w:b/>
          <w:sz w:val="44"/>
          <w:szCs w:val="44"/>
        </w:rPr>
      </w:pP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1.财政拨款收入：指单位从同级财政部门取得的财政预算资金。</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2.事业收入：指事业单位开展专业业务活动及辅助活动取得的收入。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3.经营收入：指事业单位在专业业务活动及其辅助活动之外开展非独立核算经营活动取得的收入。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4.其他收入：指单位取得的除上述收入以外的各项收入。</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5.使用非财政拨款结余：指事业单位使用以前年度积累的非财政拨款结余弥补当年收支差额的金额。</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6.年初结转和结余：指以前年度尚未完成、结转到本年按有关规定继续使用的资金。</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7.结余分配：指事业单位按照会计制度规定缴纳的所得税、提取的专用结余以及转入非财政拨款结余的金额等。</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8.年末结转和结余：指单位按有关规定结转到下年或以后年度继续使用的资金。</w:t>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9.一般公共服务：指反映政府提供一般公务服务的支出。</w:t>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10.社会保障和就业：指反映政府在社会保障和就业方面的支出。</w:t>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11.节能环保支出：指反映政府节能环保支出。</w:t>
      </w:r>
    </w:p>
    <w:p>
      <w:pP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12.住房保障支出：指集中反映政府用于住房方面的支出。</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13.基本支出：指为保障机构正常运转、完成日常工作任务而发生的人员支出和公用支出。</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14.项目支出：指在基本支出之外为完成特定行政任务和事业发展目标所发生的支出。</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15.经营支出：指事业单位在专业业务活动及其辅助活动之外开展非独立核算经营活动发生的支出。</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jc w:val="center"/>
        <w:rPr>
          <w:rStyle w:val="24"/>
          <w:rFonts w:hint="default" w:ascii="Times New Roman" w:hAnsi="Times New Roman" w:eastAsia="黑体" w:cs="Times New Roman"/>
          <w:b/>
          <w:bCs w:val="0"/>
        </w:rPr>
      </w:pPr>
      <w:r>
        <w:rPr>
          <w:rFonts w:hint="default" w:ascii="Times New Roman" w:hAnsi="Times New Roman" w:cs="Times New Roman"/>
        </w:rPr>
        <w:br w:type="page"/>
      </w:r>
      <w:bookmarkStart w:id="82" w:name="_Toc113957763"/>
      <w:bookmarkStart w:id="83" w:name="_Toc15396614"/>
      <w:r>
        <w:rPr>
          <w:rFonts w:hint="default" w:ascii="Times New Roman" w:hAnsi="Times New Roman" w:cs="Times New Roman"/>
        </w:rPr>
        <w:t>第四部分 附件</w:t>
      </w:r>
      <w:bookmarkEnd w:id="82"/>
      <w:bookmarkEnd w:id="83"/>
    </w:p>
    <w:p>
      <w:pPr>
        <w:spacing w:line="572" w:lineRule="exact"/>
        <w:jc w:val="left"/>
        <w:outlineLvl w:val="0"/>
        <w:rPr>
          <w:rFonts w:hint="default" w:ascii="Times New Roman" w:hAnsi="Times New Roman" w:eastAsia="仿宋_GB2312" w:cs="Times New Roman"/>
          <w:sz w:val="32"/>
          <w:szCs w:val="32"/>
        </w:rPr>
      </w:pPr>
      <w:bookmarkStart w:id="84" w:name="_Toc113957764"/>
      <w:r>
        <w:rPr>
          <w:rFonts w:hint="default" w:ascii="Times New Roman" w:hAnsi="Times New Roman" w:eastAsia="黑体" w:cs="Times New Roman"/>
          <w:sz w:val="32"/>
          <w:szCs w:val="32"/>
        </w:rPr>
        <w:t>附件</w:t>
      </w:r>
      <w:bookmarkEnd w:id="84"/>
    </w:p>
    <w:tbl>
      <w:tblPr>
        <w:tblStyle w:val="12"/>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976"/>
        <w:gridCol w:w="1142"/>
        <w:gridCol w:w="1635"/>
        <w:gridCol w:w="1189"/>
        <w:gridCol w:w="1224"/>
        <w:gridCol w:w="2409"/>
        <w:gridCol w:w="236"/>
      </w:tblGrid>
      <w:tr>
        <w:tblPrEx>
          <w:tblCellMar>
            <w:top w:w="0" w:type="dxa"/>
            <w:left w:w="108" w:type="dxa"/>
            <w:bottom w:w="0" w:type="dxa"/>
            <w:right w:w="108" w:type="dxa"/>
          </w:tblCellMar>
        </w:tblPrEx>
        <w:trPr>
          <w:trHeight w:val="675" w:hRule="atLeast"/>
        </w:trPr>
        <w:tc>
          <w:tcPr>
            <w:tcW w:w="9575" w:type="dxa"/>
            <w:gridSpan w:val="6"/>
            <w:tcBorders>
              <w:top w:val="nil"/>
              <w:left w:val="nil"/>
              <w:bottom w:val="nil"/>
              <w:right w:val="nil"/>
            </w:tcBorders>
            <w:shd w:val="clear" w:color="auto" w:fill="auto"/>
            <w:vAlign w:val="center"/>
          </w:tcPr>
          <w:p>
            <w:pPr>
              <w:widowControl/>
              <w:textAlignment w:val="center"/>
              <w:rPr>
                <w:rFonts w:hint="default" w:ascii="Times New Roman" w:hAnsi="Times New Roman" w:cs="Times New Roman"/>
                <w:b/>
                <w:sz w:val="32"/>
                <w:szCs w:val="32"/>
              </w:rPr>
            </w:pPr>
            <w:bookmarkStart w:id="85" w:name="_Toc15396618"/>
            <w:r>
              <w:rPr>
                <w:rFonts w:hint="default" w:ascii="Times New Roman" w:hAnsi="Times New Roman" w:cs="Times New Roman"/>
                <w:b/>
                <w:sz w:val="32"/>
                <w:szCs w:val="32"/>
              </w:rPr>
              <w:t>2021年50万元以上（含）特定目标类部门预算项目绩效目标自评</w:t>
            </w:r>
          </w:p>
        </w:tc>
        <w:tc>
          <w:tcPr>
            <w:tcW w:w="236" w:type="dxa"/>
            <w:tcBorders>
              <w:top w:val="nil"/>
              <w:left w:val="nil"/>
              <w:bottom w:val="nil"/>
              <w:right w:val="nil"/>
            </w:tcBorders>
            <w:shd w:val="clear" w:color="auto" w:fill="auto"/>
            <w:vAlign w:val="center"/>
          </w:tcPr>
          <w:p>
            <w:pPr>
              <w:widowControl/>
              <w:jc w:val="center"/>
              <w:textAlignment w:val="center"/>
              <w:rPr>
                <w:rFonts w:hint="default" w:ascii="Times New Roman" w:hAnsi="Times New Roman" w:cs="Times New Roman"/>
                <w:b/>
                <w:kern w:val="0"/>
                <w:sz w:val="32"/>
                <w:szCs w:val="32"/>
              </w:rPr>
            </w:pPr>
          </w:p>
        </w:tc>
      </w:tr>
      <w:tr>
        <w:tblPrEx>
          <w:tblCellMar>
            <w:top w:w="0" w:type="dxa"/>
            <w:left w:w="108" w:type="dxa"/>
            <w:bottom w:w="0" w:type="dxa"/>
            <w:right w:w="108" w:type="dxa"/>
          </w:tblCellMar>
        </w:tblPrEx>
        <w:trPr>
          <w:gridAfter w:val="1"/>
          <w:wAfter w:w="236" w:type="dxa"/>
          <w:trHeight w:val="254" w:hRule="atLeast"/>
        </w:trPr>
        <w:tc>
          <w:tcPr>
            <w:tcW w:w="31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504001</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实施单位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攀枝花市就业创业促进中心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项目预算</w:t>
            </w:r>
            <w:r>
              <w:rPr>
                <w:rFonts w:hint="default" w:ascii="Times New Roman" w:hAnsi="Times New Roman" w:cs="Times New Roman"/>
                <w:kern w:val="0"/>
                <w:sz w:val="24"/>
              </w:rPr>
              <w:br w:type="textWrapping"/>
            </w:r>
            <w:r>
              <w:rPr>
                <w:rFonts w:hint="default" w:ascii="Times New Roman" w:hAnsi="Times New Roman" w:cs="Times New Roman"/>
                <w:kern w:val="0"/>
                <w:sz w:val="24"/>
              </w:rPr>
              <w:t>执行情况</w:t>
            </w:r>
            <w:r>
              <w:rPr>
                <w:rFonts w:hint="default" w:ascii="Times New Roman" w:hAnsi="Times New Roman" w:cs="Times New Roman"/>
                <w:kern w:val="0"/>
                <w:sz w:val="24"/>
              </w:rPr>
              <w:br w:type="textWrapping"/>
            </w:r>
            <w:r>
              <w:rPr>
                <w:rFonts w:hint="default" w:ascii="Times New Roman" w:hAnsi="Times New Roman" w:cs="Times New Roman"/>
                <w:kern w:val="0"/>
                <w:sz w:val="24"/>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60万元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 xml:space="preserve"> 执行数：</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right"/>
              <w:textAlignment w:val="center"/>
              <w:rPr>
                <w:rFonts w:hint="default" w:ascii="Times New Roman" w:hAnsi="Times New Roman" w:cs="Times New Roman"/>
                <w:sz w:val="24"/>
              </w:rPr>
            </w:pPr>
            <w:r>
              <w:rPr>
                <w:rFonts w:hint="default" w:ascii="Times New Roman" w:hAnsi="Times New Roman" w:cs="Times New Roman"/>
                <w:sz w:val="24"/>
              </w:rPr>
              <w:t>60万元</w:t>
            </w:r>
          </w:p>
        </w:tc>
      </w:tr>
      <w:tr>
        <w:tblPrEx>
          <w:tblCellMar>
            <w:top w:w="0" w:type="dxa"/>
            <w:left w:w="108" w:type="dxa"/>
            <w:bottom w:w="0" w:type="dxa"/>
            <w:right w:w="108" w:type="dxa"/>
          </w:tblCellMar>
        </w:tblPrEx>
        <w:trPr>
          <w:gridAfter w:val="1"/>
          <w:wAfter w:w="236" w:type="dxa"/>
          <w:trHeight w:val="555"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60万元</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kern w:val="0"/>
                <w:sz w:val="24"/>
              </w:rPr>
            </w:pPr>
            <w:r>
              <w:rPr>
                <w:rFonts w:hint="default" w:ascii="Times New Roman" w:hAnsi="Times New Roman" w:cs="Times New Roman"/>
                <w:kern w:val="0"/>
                <w:sz w:val="24"/>
              </w:rPr>
              <w:t>其中：</w:t>
            </w:r>
          </w:p>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财政拨款</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textAlignment w:val="center"/>
              <w:rPr>
                <w:rFonts w:hint="default" w:ascii="Times New Roman" w:hAnsi="Times New Roman" w:cs="Times New Roman"/>
                <w:sz w:val="24"/>
              </w:rPr>
            </w:pPr>
            <w:r>
              <w:rPr>
                <w:rFonts w:hint="default" w:ascii="Times New Roman" w:hAnsi="Times New Roman" w:cs="Times New Roman"/>
                <w:sz w:val="24"/>
              </w:rPr>
              <w:t>60万元</w:t>
            </w:r>
          </w:p>
        </w:tc>
      </w:tr>
      <w:tr>
        <w:tblPrEx>
          <w:tblCellMar>
            <w:top w:w="0" w:type="dxa"/>
            <w:left w:w="108" w:type="dxa"/>
            <w:bottom w:w="0" w:type="dxa"/>
            <w:right w:w="108" w:type="dxa"/>
          </w:tblCellMar>
        </w:tblPrEx>
        <w:trPr>
          <w:gridAfter w:val="1"/>
          <w:wAfter w:w="236" w:type="dxa"/>
          <w:trHeight w:val="341" w:hRule="atLeast"/>
        </w:trPr>
        <w:tc>
          <w:tcPr>
            <w:tcW w:w="31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sz w:val="24"/>
              </w:rPr>
              <w:t>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center"/>
              <w:rPr>
                <w:rFonts w:hint="default" w:ascii="Times New Roman" w:hAnsi="Times New Roman" w:cs="Times New Roman"/>
                <w:sz w:val="24"/>
              </w:rPr>
            </w:pPr>
            <w:r>
              <w:rPr>
                <w:rFonts w:hint="default" w:ascii="Times New Roman" w:hAnsi="Times New Roman" w:cs="Times New Roman"/>
                <w:kern w:val="0"/>
                <w:sz w:val="24"/>
              </w:rPr>
              <w:t>其他资金</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sz w:val="24"/>
              </w:rPr>
              <w:t>0</w:t>
            </w:r>
          </w:p>
        </w:tc>
      </w:tr>
      <w:tr>
        <w:tblPrEx>
          <w:tblCellMar>
            <w:top w:w="0" w:type="dxa"/>
            <w:left w:w="108" w:type="dxa"/>
            <w:bottom w:w="0" w:type="dxa"/>
            <w:right w:w="108" w:type="dxa"/>
          </w:tblCellMar>
        </w:tblPrEx>
        <w:trPr>
          <w:gridAfter w:val="1"/>
          <w:wAfter w:w="236" w:type="dxa"/>
          <w:trHeight w:val="217" w:hRule="atLeast"/>
        </w:trPr>
        <w:tc>
          <w:tcPr>
            <w:tcW w:w="19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kern w:val="0"/>
                <w:sz w:val="24"/>
              </w:rPr>
            </w:pPr>
            <w:r>
              <w:rPr>
                <w:rFonts w:hint="default" w:ascii="Times New Roman" w:hAnsi="Times New Roman" w:cs="Times New Roman"/>
                <w:kern w:val="0"/>
                <w:sz w:val="24"/>
              </w:rPr>
              <w:t>年度总体目标</w:t>
            </w:r>
          </w:p>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预期目标</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sz w:val="24"/>
              </w:rPr>
            </w:pPr>
            <w:r>
              <w:rPr>
                <w:rFonts w:hint="default" w:ascii="Times New Roman" w:hAnsi="Times New Roman" w:cs="Times New Roman"/>
                <w:kern w:val="0"/>
                <w:sz w:val="24"/>
              </w:rPr>
              <w:t>目标实际完成情况</w:t>
            </w:r>
          </w:p>
        </w:tc>
      </w:tr>
      <w:tr>
        <w:tblPrEx>
          <w:tblCellMar>
            <w:top w:w="0" w:type="dxa"/>
            <w:left w:w="108" w:type="dxa"/>
            <w:bottom w:w="0" w:type="dxa"/>
            <w:right w:w="108" w:type="dxa"/>
          </w:tblCellMar>
        </w:tblPrEx>
        <w:trPr>
          <w:gridAfter w:val="1"/>
          <w:wAfter w:w="236" w:type="dxa"/>
          <w:trHeight w:val="797" w:hRule="atLeast"/>
        </w:trPr>
        <w:tc>
          <w:tcPr>
            <w:tcW w:w="19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sz w:val="24"/>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每季度由失业预警调查员针对辖区内的用人单位和个人开展调查。每季度末月25日前报送至县区经办人员。每季度末月30日前县区经办人员审核、汇总后报市级经办人员。每季度末月30日前市级经办人员审核、汇总后开展失业预警分析，形成失业预警报告。支付聘用人员（编制数12人）人均工资2630/月、公积金520元/月、社保费1880/月，按照12人12个月3项共计：(2630+520+1880)x12x12=603600元</w:t>
            </w:r>
          </w:p>
        </w:tc>
        <w:tc>
          <w:tcPr>
            <w:tcW w:w="3633"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left"/>
              <w:textAlignment w:val="top"/>
              <w:rPr>
                <w:rFonts w:hint="default" w:ascii="Times New Roman" w:hAnsi="Times New Roman" w:cs="Times New Roman"/>
                <w:sz w:val="24"/>
              </w:rPr>
            </w:pPr>
            <w:r>
              <w:rPr>
                <w:rFonts w:hint="default" w:ascii="Times New Roman" w:hAnsi="Times New Roman" w:cs="Times New Roman"/>
                <w:sz w:val="24"/>
              </w:rPr>
              <w:t>按季收集51个指标数据。完成率100%。；社区监测点按季完成辖区内用人单位用工情况和个人就业失业情况进行调查，获取全市调查失业率。完成率100%；根据获取的登记失业率、调查失业率和岗位流失率以及51个分析指标数据，在下一季度次月10前完成失业预警分析报告。按月拨付了12位聘用人员工资及社保，保障了失业预警工作正常开展，完成率100%。</w:t>
            </w:r>
          </w:p>
        </w:tc>
      </w:tr>
      <w:tr>
        <w:tblPrEx>
          <w:tblCellMar>
            <w:top w:w="0" w:type="dxa"/>
            <w:left w:w="108" w:type="dxa"/>
            <w:bottom w:w="0" w:type="dxa"/>
            <w:right w:w="108" w:type="dxa"/>
          </w:tblCellMar>
        </w:tblPrEx>
        <w:trPr>
          <w:gridAfter w:val="1"/>
          <w:wAfter w:w="236" w:type="dxa"/>
          <w:trHeight w:val="693" w:hRule="atLeast"/>
        </w:trPr>
        <w:tc>
          <w:tcPr>
            <w:tcW w:w="1976"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三级</w:t>
            </w:r>
          </w:p>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预期指标值</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rPr>
              <w:t>实际完成指标值</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w:t>
            </w:r>
          </w:p>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按季收集指标数据个数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51个</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51个</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调查失业率同时修正完善失业预警系统</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对23个监测点范围内用人单位用工情况和个人就业失业情况进行调查，获取全市调查失业率。</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按季完成</w:t>
            </w:r>
          </w:p>
        </w:tc>
      </w:tr>
      <w:tr>
        <w:tblPrEx>
          <w:tblCellMar>
            <w:top w:w="0" w:type="dxa"/>
            <w:left w:w="108" w:type="dxa"/>
            <w:bottom w:w="0" w:type="dxa"/>
            <w:right w:w="108" w:type="dxa"/>
          </w:tblCellMar>
        </w:tblPrEx>
        <w:trPr>
          <w:gridAfter w:val="1"/>
          <w:wAfter w:w="236" w:type="dxa"/>
          <w:trHeight w:val="415"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 分析报告上报时间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2021年每季度结束后，下一季度次月10日前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按季度向人社部报送失业预警报告</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完成时间</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2021年12月31日前</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2021年12月31日前</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聘用调查员经费</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支付聘用人员（编制数12人）工资（包干经费及社保公积金）共计60.36万元。</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支付聘用人员（编制数12人）工资（包干经费及社保公积金）共计60万元。</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经济效益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调查失业人员再就业率、社会保障水平和失业救济水平</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对每期的调查失业人群具体分析，运用社会保障和失业救济的工作方法，降低调查失业率，提高调查失业人员再就业的工资水平、技能等级水平和失业救济水平等。</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对每期的调查失业人群具体分析，运用社会保障和失业救济的工作方法，降低调查失业率，提高调查失业人员再就业的工资水平、技能等级水平和失业救济水平等。</w:t>
            </w:r>
          </w:p>
        </w:tc>
      </w:tr>
      <w:tr>
        <w:tblPrEx>
          <w:tblCellMar>
            <w:top w:w="0" w:type="dxa"/>
            <w:left w:w="108" w:type="dxa"/>
            <w:bottom w:w="0" w:type="dxa"/>
            <w:right w:w="108" w:type="dxa"/>
          </w:tblCellMar>
        </w:tblPrEx>
        <w:trPr>
          <w:gridAfter w:val="1"/>
          <w:wAfter w:w="236" w:type="dxa"/>
          <w:trHeight w:val="577"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社会效益</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对全市失业警情进行分析和预测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对当期的失业警情进行判定，对未来一段时间的失业警情进行预测，提前防范失业风险。</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完成了失业预警分析4期，就业形势分析4期，为政策制定提供参考。失业预警报告对当期的失业警情进行判定，对未来一段时间的失业警情进行预测，提前防范了失业风险。</w:t>
            </w:r>
          </w:p>
        </w:tc>
      </w:tr>
      <w:tr>
        <w:tblPrEx>
          <w:tblCellMar>
            <w:top w:w="0" w:type="dxa"/>
            <w:left w:w="108" w:type="dxa"/>
            <w:bottom w:w="0" w:type="dxa"/>
            <w:right w:w="108" w:type="dxa"/>
          </w:tblCellMar>
        </w:tblPrEx>
        <w:trPr>
          <w:gridAfter w:val="1"/>
          <w:wAfter w:w="236" w:type="dxa"/>
          <w:trHeight w:val="480" w:hRule="atLeast"/>
        </w:trPr>
        <w:tc>
          <w:tcPr>
            <w:tcW w:w="1976"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生态效益</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分析报告</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通过当期数据分析和失业预测等手段，为决策部门提供数据支撑，以协调好化解产能过剩与当地失业风险之间的平衡关系。</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失业预警报告对当期的失业警情进行判定，对未来一段时间的失业警情进行预测，提前防范了失业风险。</w:t>
            </w:r>
          </w:p>
        </w:tc>
      </w:tr>
      <w:tr>
        <w:tblPrEx>
          <w:tblCellMar>
            <w:top w:w="0" w:type="dxa"/>
            <w:left w:w="108" w:type="dxa"/>
            <w:bottom w:w="0" w:type="dxa"/>
            <w:right w:w="108" w:type="dxa"/>
          </w:tblCellMar>
        </w:tblPrEx>
        <w:trPr>
          <w:gridAfter w:val="1"/>
          <w:wAfter w:w="236" w:type="dxa"/>
          <w:trHeight w:val="530" w:hRule="atLeast"/>
        </w:trPr>
        <w:tc>
          <w:tcPr>
            <w:tcW w:w="197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kern w:val="0"/>
                <w:sz w:val="28"/>
                <w:szCs w:val="28"/>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w:t>
            </w:r>
            <w:r>
              <w:rPr>
                <w:rFonts w:hint="default" w:ascii="Times New Roman" w:hAnsi="Times New Roman" w:eastAsia="仿宋_GB2312" w:cs="Times New Roman"/>
                <w:kern w:val="0"/>
                <w:sz w:val="28"/>
                <w:szCs w:val="28"/>
              </w:rPr>
              <w:br w:type="textWrapping"/>
            </w:r>
            <w:r>
              <w:rPr>
                <w:rFonts w:hint="default" w:ascii="Times New Roman" w:hAnsi="Times New Roman" w:eastAsia="仿宋_GB2312" w:cs="Times New Roman"/>
                <w:kern w:val="0"/>
                <w:sz w:val="28"/>
                <w:szCs w:val="28"/>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满意度</w:t>
            </w:r>
          </w:p>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主管部门满意度</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240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r>
    </w:tbl>
    <w:p>
      <w:pPr>
        <w:widowControl/>
        <w:spacing w:line="320" w:lineRule="exact"/>
        <w:jc w:val="center"/>
        <w:textAlignment w:val="bottom"/>
        <w:rPr>
          <w:rFonts w:hint="default" w:ascii="Times New Roman" w:hAnsi="Times New Roman" w:eastAsia="仿宋_GB2312" w:cs="Times New Roman"/>
          <w:kern w:val="0"/>
          <w:sz w:val="28"/>
          <w:szCs w:val="28"/>
        </w:rPr>
      </w:pPr>
    </w:p>
    <w:p>
      <w:pPr>
        <w:spacing w:line="600" w:lineRule="exact"/>
        <w:jc w:val="center"/>
        <w:outlineLvl w:val="0"/>
        <w:rPr>
          <w:rFonts w:hint="default" w:ascii="Times New Roman" w:hAnsi="Times New Roman" w:eastAsia="仿宋_GB2312" w:cs="Times New Roman"/>
          <w:color w:val="000000"/>
          <w:kern w:val="0"/>
          <w:sz w:val="32"/>
          <w:szCs w:val="32"/>
          <w:shd w:val="clear" w:color="auto" w:fill="FFFFFF"/>
        </w:rPr>
      </w:pPr>
    </w:p>
    <w:p>
      <w:pPr>
        <w:pStyle w:val="2"/>
        <w:spacing w:before="93"/>
        <w:rPr>
          <w:rFonts w:hint="default" w:ascii="Times New Roman" w:hAnsi="Times New Roman" w:cs="Times New Roman"/>
        </w:rPr>
      </w:pPr>
    </w:p>
    <w:p>
      <w:pPr>
        <w:spacing w:line="600" w:lineRule="exact"/>
        <w:jc w:val="center"/>
        <w:outlineLvl w:val="0"/>
        <w:rPr>
          <w:rFonts w:hint="default" w:ascii="Times New Roman" w:hAnsi="Times New Roman" w:eastAsia="黑体" w:cs="Times New Roman"/>
          <w:sz w:val="44"/>
          <w:szCs w:val="44"/>
        </w:rPr>
      </w:pPr>
    </w:p>
    <w:p>
      <w:pPr>
        <w:spacing w:line="600" w:lineRule="exact"/>
        <w:jc w:val="center"/>
        <w:outlineLvl w:val="0"/>
        <w:rPr>
          <w:rFonts w:hint="default" w:ascii="Times New Roman" w:hAnsi="Times New Roman" w:eastAsia="仿宋" w:cs="Times New Roman"/>
        </w:rPr>
      </w:pPr>
      <w:bookmarkStart w:id="86" w:name="_Toc113957765"/>
      <w:r>
        <w:rPr>
          <w:rFonts w:hint="default" w:ascii="Times New Roman" w:hAnsi="Times New Roman" w:eastAsia="黑体" w:cs="Times New Roman"/>
          <w:sz w:val="44"/>
          <w:szCs w:val="44"/>
        </w:rPr>
        <w:t>第</w:t>
      </w:r>
      <w:r>
        <w:rPr>
          <w:rStyle w:val="24"/>
          <w:rFonts w:hint="default" w:ascii="Times New Roman" w:hAnsi="Times New Roman" w:eastAsia="黑体" w:cs="Times New Roman"/>
          <w:b w:val="0"/>
        </w:rPr>
        <w:t>五部分 附表</w:t>
      </w:r>
      <w:bookmarkEnd w:id="12"/>
      <w:bookmarkEnd w:id="85"/>
      <w:bookmarkEnd w:id="86"/>
      <w:bookmarkStart w:id="87" w:name="_Toc15396619"/>
    </w:p>
    <w:p>
      <w:pPr>
        <w:pStyle w:val="4"/>
        <w:rPr>
          <w:rFonts w:hint="default" w:ascii="Times New Roman" w:hAnsi="Times New Roman" w:eastAsia="仿宋" w:cs="Times New Roman"/>
        </w:rPr>
      </w:pPr>
      <w:bookmarkStart w:id="88" w:name="_Toc113957766"/>
      <w:r>
        <w:rPr>
          <w:rFonts w:hint="default" w:ascii="Times New Roman" w:hAnsi="Times New Roman" w:eastAsia="仿宋" w:cs="Times New Roman"/>
          <w:b w:val="0"/>
        </w:rPr>
        <w:t>一、收</w:t>
      </w:r>
      <w:r>
        <w:rPr>
          <w:rStyle w:val="25"/>
          <w:rFonts w:hint="default" w:ascii="Times New Roman" w:hAnsi="Times New Roman" w:eastAsia="仿宋" w:cs="Times New Roman"/>
          <w:b w:val="0"/>
          <w:bCs w:val="0"/>
        </w:rPr>
        <w:t>入支出决算总表</w:t>
      </w:r>
      <w:bookmarkEnd w:id="87"/>
      <w:bookmarkEnd w:id="88"/>
    </w:p>
    <w:p>
      <w:pPr>
        <w:pStyle w:val="4"/>
        <w:rPr>
          <w:rFonts w:hint="default" w:ascii="Times New Roman" w:hAnsi="Times New Roman" w:eastAsia="仿宋" w:cs="Times New Roman"/>
        </w:rPr>
      </w:pPr>
      <w:bookmarkStart w:id="89" w:name="_Toc15396620"/>
      <w:bookmarkStart w:id="90" w:name="_Toc113957767"/>
      <w:r>
        <w:rPr>
          <w:rFonts w:hint="default" w:ascii="Times New Roman" w:hAnsi="Times New Roman" w:eastAsia="仿宋" w:cs="Times New Roman"/>
          <w:b w:val="0"/>
        </w:rPr>
        <w:t>二、收</w:t>
      </w:r>
      <w:r>
        <w:rPr>
          <w:rStyle w:val="25"/>
          <w:rFonts w:hint="default" w:ascii="Times New Roman" w:hAnsi="Times New Roman" w:eastAsia="仿宋" w:cs="Times New Roman"/>
          <w:b w:val="0"/>
          <w:bCs w:val="0"/>
        </w:rPr>
        <w:t>入决算表</w:t>
      </w:r>
      <w:bookmarkEnd w:id="89"/>
      <w:bookmarkEnd w:id="90"/>
    </w:p>
    <w:p>
      <w:pPr>
        <w:pStyle w:val="4"/>
        <w:rPr>
          <w:rFonts w:hint="default" w:ascii="Times New Roman" w:hAnsi="Times New Roman" w:eastAsia="仿宋" w:cs="Times New Roman"/>
        </w:rPr>
      </w:pPr>
      <w:bookmarkStart w:id="91" w:name="_Toc113957768"/>
      <w:bookmarkStart w:id="92" w:name="_Toc15396621"/>
      <w:r>
        <w:rPr>
          <w:rStyle w:val="25"/>
          <w:rFonts w:hint="default" w:ascii="Times New Roman" w:hAnsi="Times New Roman" w:eastAsia="仿宋" w:cs="Times New Roman"/>
          <w:b w:val="0"/>
          <w:bCs w:val="0"/>
        </w:rPr>
        <w:t>三、</w:t>
      </w:r>
      <w:r>
        <w:rPr>
          <w:rFonts w:hint="default" w:ascii="Times New Roman" w:hAnsi="Times New Roman" w:eastAsia="仿宋" w:cs="Times New Roman"/>
          <w:b w:val="0"/>
        </w:rPr>
        <w:t>支</w:t>
      </w:r>
      <w:r>
        <w:rPr>
          <w:rStyle w:val="25"/>
          <w:rFonts w:hint="default" w:ascii="Times New Roman" w:hAnsi="Times New Roman" w:eastAsia="仿宋" w:cs="Times New Roman"/>
          <w:b w:val="0"/>
          <w:bCs w:val="0"/>
        </w:rPr>
        <w:t>出决算表</w:t>
      </w:r>
      <w:bookmarkEnd w:id="91"/>
      <w:bookmarkEnd w:id="92"/>
    </w:p>
    <w:p>
      <w:pPr>
        <w:pStyle w:val="4"/>
        <w:rPr>
          <w:rFonts w:hint="default" w:ascii="Times New Roman" w:hAnsi="Times New Roman" w:eastAsia="仿宋" w:cs="Times New Roman"/>
          <w:b w:val="0"/>
        </w:rPr>
      </w:pPr>
      <w:bookmarkStart w:id="93" w:name="_Toc15396622"/>
      <w:bookmarkStart w:id="94" w:name="_Toc113957769"/>
      <w:r>
        <w:rPr>
          <w:rStyle w:val="25"/>
          <w:rFonts w:hint="default" w:ascii="Times New Roman" w:hAnsi="Times New Roman" w:eastAsia="仿宋" w:cs="Times New Roman"/>
          <w:b w:val="0"/>
          <w:bCs w:val="0"/>
        </w:rPr>
        <w:t>四、</w:t>
      </w:r>
      <w:r>
        <w:rPr>
          <w:rFonts w:hint="default" w:ascii="Times New Roman" w:hAnsi="Times New Roman" w:eastAsia="仿宋" w:cs="Times New Roman"/>
          <w:b w:val="0"/>
        </w:rPr>
        <w:t>财</w:t>
      </w:r>
      <w:r>
        <w:rPr>
          <w:rStyle w:val="25"/>
          <w:rFonts w:hint="default" w:ascii="Times New Roman" w:hAnsi="Times New Roman" w:eastAsia="仿宋" w:cs="Times New Roman"/>
          <w:b w:val="0"/>
          <w:bCs w:val="0"/>
        </w:rPr>
        <w:t>政拨款收入支出决算总表</w:t>
      </w:r>
      <w:bookmarkEnd w:id="93"/>
      <w:bookmarkEnd w:id="94"/>
    </w:p>
    <w:p>
      <w:pPr>
        <w:pStyle w:val="4"/>
        <w:rPr>
          <w:rStyle w:val="25"/>
          <w:rFonts w:hint="default" w:ascii="Times New Roman" w:hAnsi="Times New Roman" w:eastAsia="仿宋" w:cs="Times New Roman"/>
          <w:b w:val="0"/>
          <w:bCs w:val="0"/>
        </w:rPr>
      </w:pPr>
      <w:bookmarkStart w:id="95" w:name="_Toc113957770"/>
      <w:bookmarkStart w:id="96" w:name="_Toc15396623"/>
      <w:r>
        <w:rPr>
          <w:rStyle w:val="25"/>
          <w:rFonts w:hint="default" w:ascii="Times New Roman" w:hAnsi="Times New Roman" w:eastAsia="仿宋" w:cs="Times New Roman"/>
          <w:b w:val="0"/>
          <w:bCs w:val="0"/>
        </w:rPr>
        <w:t>五、</w:t>
      </w:r>
      <w:r>
        <w:rPr>
          <w:rFonts w:hint="default" w:ascii="Times New Roman" w:hAnsi="Times New Roman" w:eastAsia="仿宋" w:cs="Times New Roman"/>
          <w:b w:val="0"/>
        </w:rPr>
        <w:t>财</w:t>
      </w:r>
      <w:r>
        <w:rPr>
          <w:rStyle w:val="25"/>
          <w:rFonts w:hint="default" w:ascii="Times New Roman" w:hAnsi="Times New Roman" w:eastAsia="仿宋" w:cs="Times New Roman"/>
          <w:b w:val="0"/>
          <w:bCs w:val="0"/>
        </w:rPr>
        <w:t>政拨款支出决算明细表</w:t>
      </w:r>
      <w:bookmarkEnd w:id="95"/>
      <w:bookmarkEnd w:id="96"/>
      <w:bookmarkStart w:id="97" w:name="_Toc15396624"/>
    </w:p>
    <w:p>
      <w:pPr>
        <w:pStyle w:val="4"/>
        <w:rPr>
          <w:rFonts w:hint="default" w:ascii="Times New Roman" w:hAnsi="Times New Roman" w:eastAsia="仿宋" w:cs="Times New Roman"/>
        </w:rPr>
      </w:pPr>
      <w:bookmarkStart w:id="98" w:name="_Toc113957771"/>
      <w:r>
        <w:rPr>
          <w:rStyle w:val="25"/>
          <w:rFonts w:hint="default" w:ascii="Times New Roman" w:hAnsi="Times New Roman" w:eastAsia="仿宋" w:cs="Times New Roman"/>
          <w:b w:val="0"/>
          <w:bCs w:val="0"/>
        </w:rPr>
        <w:t>六、</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般公共预算财政拨款支出决算表</w:t>
      </w:r>
      <w:bookmarkEnd w:id="97"/>
      <w:bookmarkEnd w:id="98"/>
    </w:p>
    <w:p>
      <w:pPr>
        <w:pStyle w:val="4"/>
        <w:rPr>
          <w:rFonts w:hint="default" w:ascii="Times New Roman" w:hAnsi="Times New Roman" w:eastAsia="仿宋" w:cs="Times New Roman"/>
        </w:rPr>
      </w:pPr>
      <w:bookmarkStart w:id="99" w:name="_Toc15396625"/>
      <w:bookmarkStart w:id="100" w:name="_Toc113957772"/>
      <w:r>
        <w:rPr>
          <w:rStyle w:val="25"/>
          <w:rFonts w:hint="default" w:ascii="Times New Roman" w:hAnsi="Times New Roman" w:eastAsia="仿宋" w:cs="Times New Roman"/>
          <w:b w:val="0"/>
          <w:bCs w:val="0"/>
        </w:rPr>
        <w:t>七、</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般公共预算财政拨款支出决算明细表</w:t>
      </w:r>
      <w:bookmarkEnd w:id="99"/>
      <w:bookmarkEnd w:id="100"/>
    </w:p>
    <w:p>
      <w:pPr>
        <w:pStyle w:val="4"/>
        <w:rPr>
          <w:rFonts w:hint="default" w:ascii="Times New Roman" w:hAnsi="Times New Roman" w:eastAsia="仿宋" w:cs="Times New Roman"/>
        </w:rPr>
      </w:pPr>
      <w:bookmarkStart w:id="101" w:name="_Toc113957773"/>
      <w:bookmarkStart w:id="102" w:name="_Toc15396626"/>
      <w:r>
        <w:rPr>
          <w:rStyle w:val="25"/>
          <w:rFonts w:hint="default" w:ascii="Times New Roman" w:hAnsi="Times New Roman" w:eastAsia="仿宋" w:cs="Times New Roman"/>
          <w:b w:val="0"/>
          <w:bCs w:val="0"/>
        </w:rPr>
        <w:t>八、</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般公共预算财政拨款基本支出决算表</w:t>
      </w:r>
      <w:bookmarkEnd w:id="101"/>
      <w:bookmarkEnd w:id="102"/>
    </w:p>
    <w:p>
      <w:pPr>
        <w:pStyle w:val="4"/>
        <w:rPr>
          <w:rFonts w:hint="default" w:ascii="Times New Roman" w:hAnsi="Times New Roman" w:eastAsia="仿宋" w:cs="Times New Roman"/>
        </w:rPr>
      </w:pPr>
      <w:bookmarkStart w:id="103" w:name="_Toc113957774"/>
      <w:bookmarkStart w:id="104" w:name="_Toc15396627"/>
      <w:r>
        <w:rPr>
          <w:rStyle w:val="25"/>
          <w:rFonts w:hint="default" w:ascii="Times New Roman" w:hAnsi="Times New Roman" w:eastAsia="仿宋" w:cs="Times New Roman"/>
          <w:b w:val="0"/>
          <w:bCs w:val="0"/>
        </w:rPr>
        <w:t>九、</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般公共预算财政拨款项目支出决算表</w:t>
      </w:r>
      <w:bookmarkEnd w:id="103"/>
      <w:bookmarkEnd w:id="104"/>
    </w:p>
    <w:p>
      <w:pPr>
        <w:pStyle w:val="4"/>
        <w:rPr>
          <w:rFonts w:hint="default" w:ascii="Times New Roman" w:hAnsi="Times New Roman" w:eastAsia="仿宋" w:cs="Times New Roman"/>
        </w:rPr>
      </w:pPr>
      <w:bookmarkStart w:id="105" w:name="_Toc113957775"/>
      <w:bookmarkStart w:id="106" w:name="_Toc15396628"/>
      <w:r>
        <w:rPr>
          <w:rStyle w:val="25"/>
          <w:rFonts w:hint="default" w:ascii="Times New Roman" w:hAnsi="Times New Roman" w:eastAsia="仿宋" w:cs="Times New Roman"/>
          <w:b w:val="0"/>
          <w:bCs w:val="0"/>
        </w:rPr>
        <w:t>十、</w:t>
      </w:r>
      <w:r>
        <w:rPr>
          <w:rFonts w:hint="default" w:ascii="Times New Roman" w:hAnsi="Times New Roman" w:eastAsia="仿宋" w:cs="Times New Roman"/>
          <w:b w:val="0"/>
        </w:rPr>
        <w:t>一</w:t>
      </w:r>
      <w:r>
        <w:rPr>
          <w:rStyle w:val="25"/>
          <w:rFonts w:hint="default" w:ascii="Times New Roman" w:hAnsi="Times New Roman" w:eastAsia="仿宋" w:cs="Times New Roman"/>
          <w:b w:val="0"/>
          <w:bCs w:val="0"/>
        </w:rPr>
        <w:t>般公共预算财政拨款“三公”经费支出决算表</w:t>
      </w:r>
      <w:bookmarkEnd w:id="105"/>
      <w:bookmarkEnd w:id="106"/>
    </w:p>
    <w:p>
      <w:pPr>
        <w:pStyle w:val="4"/>
        <w:rPr>
          <w:rFonts w:hint="default" w:ascii="Times New Roman" w:hAnsi="Times New Roman" w:eastAsia="仿宋" w:cs="Times New Roman"/>
        </w:rPr>
      </w:pPr>
      <w:bookmarkStart w:id="107" w:name="_Toc113957776"/>
      <w:bookmarkStart w:id="108" w:name="_Toc15396629"/>
      <w:r>
        <w:rPr>
          <w:rStyle w:val="25"/>
          <w:rFonts w:hint="default" w:ascii="Times New Roman" w:hAnsi="Times New Roman" w:eastAsia="仿宋" w:cs="Times New Roman"/>
          <w:b w:val="0"/>
          <w:bCs w:val="0"/>
        </w:rPr>
        <w:t>十一、</w:t>
      </w:r>
      <w:r>
        <w:rPr>
          <w:rFonts w:hint="default" w:ascii="Times New Roman" w:hAnsi="Times New Roman" w:eastAsia="仿宋" w:cs="Times New Roman"/>
          <w:b w:val="0"/>
        </w:rPr>
        <w:t>政</w:t>
      </w:r>
      <w:r>
        <w:rPr>
          <w:rStyle w:val="25"/>
          <w:rFonts w:hint="default" w:ascii="Times New Roman" w:hAnsi="Times New Roman" w:eastAsia="仿宋" w:cs="Times New Roman"/>
          <w:b w:val="0"/>
          <w:bCs w:val="0"/>
        </w:rPr>
        <w:t>府性基金预算财政拨款收入支出决算表</w:t>
      </w:r>
      <w:bookmarkEnd w:id="107"/>
      <w:bookmarkEnd w:id="108"/>
    </w:p>
    <w:p>
      <w:pPr>
        <w:pStyle w:val="4"/>
        <w:rPr>
          <w:rFonts w:hint="default" w:ascii="Times New Roman" w:hAnsi="Times New Roman" w:eastAsia="仿宋" w:cs="Times New Roman"/>
        </w:rPr>
      </w:pPr>
      <w:bookmarkStart w:id="109" w:name="_Toc113957777"/>
      <w:bookmarkStart w:id="110" w:name="_Toc15396630"/>
      <w:r>
        <w:rPr>
          <w:rStyle w:val="25"/>
          <w:rFonts w:hint="default" w:ascii="Times New Roman" w:hAnsi="Times New Roman" w:eastAsia="仿宋" w:cs="Times New Roman"/>
          <w:b w:val="0"/>
          <w:bCs w:val="0"/>
        </w:rPr>
        <w:t>十二、</w:t>
      </w:r>
      <w:r>
        <w:rPr>
          <w:rFonts w:hint="default" w:ascii="Times New Roman" w:hAnsi="Times New Roman" w:eastAsia="仿宋" w:cs="Times New Roman"/>
          <w:b w:val="0"/>
        </w:rPr>
        <w:t>政</w:t>
      </w:r>
      <w:r>
        <w:rPr>
          <w:rStyle w:val="25"/>
          <w:rFonts w:hint="default" w:ascii="Times New Roman" w:hAnsi="Times New Roman" w:eastAsia="仿宋" w:cs="Times New Roman"/>
          <w:b w:val="0"/>
          <w:bCs w:val="0"/>
        </w:rPr>
        <w:t>府性基金预算财政拨款“三公”经费支出决算表</w:t>
      </w:r>
      <w:bookmarkEnd w:id="109"/>
      <w:bookmarkEnd w:id="110"/>
    </w:p>
    <w:p>
      <w:pPr>
        <w:pStyle w:val="4"/>
        <w:rPr>
          <w:rStyle w:val="25"/>
          <w:rFonts w:hint="default" w:ascii="Times New Roman" w:hAnsi="Times New Roman" w:eastAsia="仿宋" w:cs="Times New Roman"/>
          <w:b w:val="0"/>
          <w:bCs w:val="0"/>
        </w:rPr>
      </w:pPr>
      <w:bookmarkStart w:id="111" w:name="_Toc15396631"/>
      <w:bookmarkStart w:id="112" w:name="_Toc113957778"/>
      <w:r>
        <w:rPr>
          <w:rStyle w:val="25"/>
          <w:rFonts w:hint="default" w:ascii="Times New Roman" w:hAnsi="Times New Roman" w:eastAsia="仿宋" w:cs="Times New Roman"/>
          <w:b w:val="0"/>
          <w:bCs w:val="0"/>
        </w:rPr>
        <w:t>十三、</w:t>
      </w:r>
      <w:r>
        <w:rPr>
          <w:rFonts w:hint="default" w:ascii="Times New Roman" w:hAnsi="Times New Roman" w:eastAsia="仿宋" w:cs="Times New Roman"/>
          <w:b w:val="0"/>
        </w:rPr>
        <w:t>国</w:t>
      </w:r>
      <w:r>
        <w:rPr>
          <w:rStyle w:val="25"/>
          <w:rFonts w:hint="default" w:ascii="Times New Roman" w:hAnsi="Times New Roman" w:eastAsia="仿宋" w:cs="Times New Roman"/>
          <w:b w:val="0"/>
          <w:bCs w:val="0"/>
        </w:rPr>
        <w:t>有资本经营预算财政拨款收入支出决算表</w:t>
      </w:r>
      <w:bookmarkEnd w:id="111"/>
      <w:bookmarkEnd w:id="112"/>
    </w:p>
    <w:p>
      <w:pPr>
        <w:rPr>
          <w:rFonts w:hint="default" w:ascii="Times New Roman" w:hAnsi="Times New Roman" w:eastAsia="仿宋" w:cs="Times New Roman"/>
        </w:rPr>
      </w:pPr>
      <w:bookmarkStart w:id="113" w:name="_Toc113957779"/>
      <w:r>
        <w:rPr>
          <w:rStyle w:val="25"/>
          <w:rFonts w:hint="default" w:ascii="Times New Roman" w:hAnsi="Times New Roman" w:eastAsia="仿宋" w:cs="Times New Roman"/>
          <w:b w:val="0"/>
          <w:bCs w:val="0"/>
        </w:rPr>
        <w:t>十四、国有资本经营预算财政拨款支出决算表</w:t>
      </w:r>
      <w:bookmarkEnd w:id="113"/>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26</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3182B"/>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047C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0953"/>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6E7C"/>
    <w:rsid w:val="00CE7B61"/>
    <w:rsid w:val="00D00095"/>
    <w:rsid w:val="00D114F0"/>
    <w:rsid w:val="00D1680C"/>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6A4282A"/>
    <w:rsid w:val="39AE70AB"/>
    <w:rsid w:val="3C0C0783"/>
    <w:rsid w:val="3F9F3A96"/>
    <w:rsid w:val="44831D0E"/>
    <w:rsid w:val="493C27E9"/>
    <w:rsid w:val="496F39ED"/>
    <w:rsid w:val="49FF41D3"/>
    <w:rsid w:val="4BE068DB"/>
    <w:rsid w:val="4BF6002B"/>
    <w:rsid w:val="4ECE2238"/>
    <w:rsid w:val="51DB4B86"/>
    <w:rsid w:val="55333C3E"/>
    <w:rsid w:val="64CA39A1"/>
    <w:rsid w:val="6C4A05C8"/>
    <w:rsid w:val="72734D90"/>
    <w:rsid w:val="79E7B28D"/>
    <w:rsid w:val="7F9F20EE"/>
    <w:rsid w:val="9E3A10E2"/>
    <w:rsid w:val="F2E1F9D4"/>
    <w:rsid w:val="F788081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Sheet1!$A$2:$A$5</c:f>
              <c:strCache>
                <c:ptCount val="1"/>
                <c:pt idx="0">
                  <c:v>收支总计</c:v>
                </c:pt>
              </c:strCache>
            </c:strRef>
          </c:cat>
          <c:val>
            <c:numRef>
              <c:f>Sheet1!$B$2:$B$5</c:f>
              <c:numCache>
                <c:formatCode>General</c:formatCode>
                <c:ptCount val="4"/>
                <c:pt idx="0">
                  <c:v>2695</c:v>
                </c:pt>
              </c:numCache>
            </c:numRef>
          </c:val>
        </c:ser>
        <c:ser>
          <c:idx val="1"/>
          <c:order val="1"/>
          <c:tx>
            <c:strRef>
              <c:f>Sheet1!$C$1</c:f>
              <c:strCache>
                <c:ptCount val="1"/>
                <c:pt idx="0">
                  <c:v>2021年</c:v>
                </c:pt>
              </c:strCache>
            </c:strRef>
          </c:tx>
          <c:invertIfNegative val="0"/>
          <c:dLbls>
            <c:delete val="1"/>
          </c:dLbls>
          <c:cat>
            <c:strRef>
              <c:f>Sheet1!$A$2:$A$5</c:f>
              <c:strCache>
                <c:ptCount val="1"/>
                <c:pt idx="0">
                  <c:v>收支总计</c:v>
                </c:pt>
              </c:strCache>
            </c:strRef>
          </c:cat>
          <c:val>
            <c:numRef>
              <c:f>Sheet1!$C$2:$C$5</c:f>
              <c:numCache>
                <c:formatCode>General</c:formatCode>
                <c:ptCount val="4"/>
                <c:pt idx="0">
                  <c:v>3306</c:v>
                </c:pt>
              </c:numCache>
            </c:numRef>
          </c:val>
        </c:ser>
        <c:ser>
          <c:idx val="2"/>
          <c:order val="2"/>
          <c:tx>
            <c:strRef>
              <c:f>Sheet1!$D$1</c:f>
              <c:strCache>
                <c:ptCount val="1"/>
                <c:pt idx="0">
                  <c:v>列1</c:v>
                </c:pt>
              </c:strCache>
            </c:strRef>
          </c:tx>
          <c:invertIfNegative val="0"/>
          <c:dLbls>
            <c:delete val="1"/>
          </c:dLbls>
          <c:cat>
            <c:strRef>
              <c:f>Sheet1!$A$2:$A$5</c:f>
              <c:strCache>
                <c:ptCount val="1"/>
                <c:pt idx="0">
                  <c:v>收支总计</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90282880"/>
        <c:axId val="290862208"/>
      </c:barChart>
      <c:catAx>
        <c:axId val="29028288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0862208"/>
        <c:crosses val="autoZero"/>
        <c:auto val="1"/>
        <c:lblAlgn val="ctr"/>
        <c:lblOffset val="100"/>
        <c:noMultiLvlLbl val="0"/>
      </c:catAx>
      <c:valAx>
        <c:axId val="290862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028288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收入总计</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一般公共预算财政拨款收入</c:v>
                </c:pt>
                <c:pt idx="1">
                  <c:v>政府性基金预算财政拨款收入</c:v>
                </c:pt>
                <c:pt idx="2">
                  <c:v>国有资本经营预算财政拨款收入</c:v>
                </c:pt>
                <c:pt idx="3">
                  <c:v>其他收入</c:v>
                </c:pt>
              </c:strCache>
            </c:strRef>
          </c:cat>
          <c:val>
            <c:numRef>
              <c:f>Sheet1!$B$2:$B$5</c:f>
              <c:numCache>
                <c:formatCode>General</c:formatCode>
                <c:ptCount val="4"/>
                <c:pt idx="0">
                  <c:v>3306</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支出总计</c:v>
                </c:pt>
              </c:strCache>
            </c:strRef>
          </c:tx>
          <c:explosion val="0"/>
          <c:dPt>
            <c:idx val="0"/>
            <c:bubble3D val="0"/>
          </c:dPt>
          <c:dPt>
            <c:idx val="1"/>
            <c:bubble3D val="0"/>
          </c:dPt>
          <c:dPt>
            <c:idx val="2"/>
            <c:bubble3D val="0"/>
          </c:dPt>
          <c:dPt>
            <c:idx val="3"/>
            <c:bubble3D val="0"/>
          </c:dPt>
          <c:dLbls>
            <c:delete val="1"/>
          </c:dLbls>
          <c:cat>
            <c:strRef>
              <c:f>Sheet1!$A$2:$A$5</c:f>
              <c:strCache>
                <c:ptCount val="3"/>
                <c:pt idx="0">
                  <c:v>基本支出</c:v>
                </c:pt>
                <c:pt idx="1">
                  <c:v>项目支出</c:v>
                </c:pt>
                <c:pt idx="2">
                  <c:v>上缴上级支出</c:v>
                </c:pt>
              </c:strCache>
            </c:strRef>
          </c:cat>
          <c:val>
            <c:numRef>
              <c:f>Sheet1!$B$2:$B$5</c:f>
              <c:numCache>
                <c:formatCode>General</c:formatCode>
                <c:ptCount val="4"/>
                <c:pt idx="0">
                  <c:v>757.56</c:v>
                </c:pt>
                <c:pt idx="1">
                  <c:v>2549.03</c:v>
                </c:pt>
                <c:pt idx="2">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Sheet1!$A$2:$A$5</c:f>
              <c:strCache>
                <c:ptCount val="2"/>
                <c:pt idx="0">
                  <c:v>收入</c:v>
                </c:pt>
                <c:pt idx="1">
                  <c:v>支出</c:v>
                </c:pt>
              </c:strCache>
            </c:strRef>
          </c:cat>
          <c:val>
            <c:numRef>
              <c:f>Sheet1!$B$2:$B$5</c:f>
              <c:numCache>
                <c:formatCode>General</c:formatCode>
                <c:ptCount val="4"/>
                <c:pt idx="0">
                  <c:v>2659</c:v>
                </c:pt>
                <c:pt idx="1">
                  <c:v>2659</c:v>
                </c:pt>
              </c:numCache>
            </c:numRef>
          </c:val>
        </c:ser>
        <c:ser>
          <c:idx val="1"/>
          <c:order val="1"/>
          <c:tx>
            <c:strRef>
              <c:f>Sheet1!$C$1</c:f>
              <c:strCache>
                <c:ptCount val="1"/>
                <c:pt idx="0">
                  <c:v>2021年</c:v>
                </c:pt>
              </c:strCache>
            </c:strRef>
          </c:tx>
          <c:invertIfNegative val="0"/>
          <c:dLbls>
            <c:delete val="1"/>
          </c:dLbls>
          <c:cat>
            <c:strRef>
              <c:f>Sheet1!$A$2:$A$5</c:f>
              <c:strCache>
                <c:ptCount val="2"/>
                <c:pt idx="0">
                  <c:v>收入</c:v>
                </c:pt>
                <c:pt idx="1">
                  <c:v>支出</c:v>
                </c:pt>
              </c:strCache>
            </c:strRef>
          </c:cat>
          <c:val>
            <c:numRef>
              <c:f>Sheet1!$C$2:$C$5</c:f>
              <c:numCache>
                <c:formatCode>General</c:formatCode>
                <c:ptCount val="4"/>
                <c:pt idx="0">
                  <c:v>3306</c:v>
                </c:pt>
                <c:pt idx="1">
                  <c:v>3306</c:v>
                </c:pt>
              </c:numCache>
            </c:numRef>
          </c:val>
        </c:ser>
        <c:ser>
          <c:idx val="2"/>
          <c:order val="2"/>
          <c:tx>
            <c:strRef>
              <c:f>Sheet1!$D$1</c:f>
              <c:strCache>
                <c:ptCount val="1"/>
                <c:pt idx="0">
                  <c:v>列1</c:v>
                </c:pt>
              </c:strCache>
            </c:strRef>
          </c:tx>
          <c:invertIfNegative val="0"/>
          <c:dLbls>
            <c:delete val="1"/>
          </c:dLbls>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301108608"/>
        <c:axId val="301281280"/>
      </c:barChart>
      <c:catAx>
        <c:axId val="30110860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1281280"/>
        <c:crosses val="autoZero"/>
        <c:auto val="1"/>
        <c:lblAlgn val="ctr"/>
        <c:lblOffset val="100"/>
        <c:noMultiLvlLbl val="0"/>
      </c:catAx>
      <c:valAx>
        <c:axId val="3012812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1108608"/>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Sheet1!$A$2:$A$5</c:f>
              <c:strCache>
                <c:ptCount val="1"/>
                <c:pt idx="0">
                  <c:v>一般公共预算财政拨款支出</c:v>
                </c:pt>
              </c:strCache>
            </c:strRef>
          </c:cat>
          <c:val>
            <c:numRef>
              <c:f>Sheet1!$B$2:$B$5</c:f>
              <c:numCache>
                <c:formatCode>General</c:formatCode>
                <c:ptCount val="4"/>
                <c:pt idx="0">
                  <c:v>2659</c:v>
                </c:pt>
              </c:numCache>
            </c:numRef>
          </c:val>
        </c:ser>
        <c:ser>
          <c:idx val="1"/>
          <c:order val="1"/>
          <c:tx>
            <c:strRef>
              <c:f>Sheet1!$C$1</c:f>
              <c:strCache>
                <c:ptCount val="1"/>
                <c:pt idx="0">
                  <c:v>2021年</c:v>
                </c:pt>
              </c:strCache>
            </c:strRef>
          </c:tx>
          <c:invertIfNegative val="0"/>
          <c:dLbls>
            <c:delete val="1"/>
          </c:dLbls>
          <c:cat>
            <c:strRef>
              <c:f>Sheet1!$A$2:$A$5</c:f>
              <c:strCache>
                <c:ptCount val="1"/>
                <c:pt idx="0">
                  <c:v>一般公共预算财政拨款支出</c:v>
                </c:pt>
              </c:strCache>
            </c:strRef>
          </c:cat>
          <c:val>
            <c:numRef>
              <c:f>Sheet1!$C$2:$C$5</c:f>
              <c:numCache>
                <c:formatCode>General</c:formatCode>
                <c:ptCount val="4"/>
                <c:pt idx="0">
                  <c:v>3306</c:v>
                </c:pt>
              </c:numCache>
            </c:numRef>
          </c:val>
        </c:ser>
        <c:ser>
          <c:idx val="2"/>
          <c:order val="2"/>
          <c:tx>
            <c:strRef>
              <c:f>Sheet1!$D$1</c:f>
              <c:strCache>
                <c:ptCount val="1"/>
                <c:pt idx="0">
                  <c:v>列1</c:v>
                </c:pt>
              </c:strCache>
            </c:strRef>
          </c:tx>
          <c:invertIfNegative val="0"/>
          <c:dLbls>
            <c:delete val="1"/>
          </c:dLbls>
          <c:cat>
            <c:strRef>
              <c:f>Sheet1!$A$2:$A$5</c:f>
              <c:strCache>
                <c:ptCount val="1"/>
                <c:pt idx="0">
                  <c:v>一般公共预算财政拨款支出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304799104"/>
        <c:axId val="364459136"/>
      </c:barChart>
      <c:catAx>
        <c:axId val="30479910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64459136"/>
        <c:crosses val="autoZero"/>
        <c:auto val="1"/>
        <c:lblAlgn val="ctr"/>
        <c:lblOffset val="100"/>
        <c:noMultiLvlLbl val="0"/>
      </c:catAx>
      <c:valAx>
        <c:axId val="36445913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479910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节能环保支出</c:v>
                </c:pt>
                <c:pt idx="3">
                  <c:v>住房保障支出</c:v>
                </c:pt>
              </c:strCache>
            </c:strRef>
          </c:cat>
          <c:val>
            <c:numRef>
              <c:f>Sheet1!$B$2:$B$5</c:f>
              <c:numCache>
                <c:formatCode>General</c:formatCode>
                <c:ptCount val="4"/>
                <c:pt idx="0">
                  <c:v>3.76</c:v>
                </c:pt>
                <c:pt idx="1">
                  <c:v>2930.63</c:v>
                </c:pt>
                <c:pt idx="2">
                  <c:v>318</c:v>
                </c:pt>
                <c:pt idx="3">
                  <c:v>46.43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c:v>
                </c:pt>
              </c:strCache>
            </c:strRef>
          </c:tx>
          <c:explosion val="0"/>
          <c:dPt>
            <c:idx val="0"/>
            <c:bubble3D val="0"/>
          </c:dPt>
          <c:dPt>
            <c:idx val="1"/>
            <c:bubble3D val="0"/>
          </c:dPt>
          <c:dPt>
            <c:idx val="2"/>
            <c:bubble3D val="0"/>
          </c:dPt>
          <c:dPt>
            <c:idx val="3"/>
            <c:bubble3D val="0"/>
          </c:dPt>
          <c:dLbls>
            <c:delete val="1"/>
          </c:dLbls>
          <c:cat>
            <c:strRef>
              <c:f>Sheet1!$A$2:$A$5</c:f>
              <c:strCache>
                <c:ptCount val="3"/>
                <c:pt idx="0">
                  <c:v>因公出国（境）费</c:v>
                </c:pt>
                <c:pt idx="1">
                  <c:v>公务用车购置及运行维护费</c:v>
                </c:pt>
                <c:pt idx="2">
                  <c:v>公务接待费</c:v>
                </c:pt>
              </c:strCache>
            </c:strRef>
          </c:cat>
          <c:val>
            <c:numRef>
              <c:f>Sheet1!$B$2:$B$5</c:f>
              <c:numCache>
                <c:formatCode>General</c:formatCode>
                <c:ptCount val="4"/>
                <c:pt idx="0">
                  <c:v>0</c:v>
                </c:pt>
                <c:pt idx="1">
                  <c:v>0</c:v>
                </c:pt>
                <c:pt idx="2">
                  <c:v>1.07</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1A8D2-AEAF-46E4-9181-33AB4E64D20F}">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26</Pages>
  <Words>1870</Words>
  <Characters>10662</Characters>
  <Lines>88</Lines>
  <Paragraphs>25</Paragraphs>
  <TotalTime>23</TotalTime>
  <ScaleCrop>false</ScaleCrop>
  <LinksUpToDate>false</LinksUpToDate>
  <CharactersWithSpaces>12507</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宋琪麟</cp:lastModifiedBy>
  <cp:lastPrinted>2022-08-06T02:23:00Z</cp:lastPrinted>
  <dcterms:modified xsi:type="dcterms:W3CDTF">2025-01-15T07:35:28Z</dcterms:modified>
  <dc:title>四川省***</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13246DF8B1894B949CC27CC33C875ED8</vt:lpwstr>
  </property>
</Properties>
</file>