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EB0FA">
      <w:pPr>
        <w:pStyle w:val="3"/>
        <w:widowControl/>
        <w:spacing w:beforeAutospacing="0" w:afterAutospacing="0" w:line="60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附件4</w:t>
      </w:r>
    </w:p>
    <w:p w14:paraId="3782E551">
      <w:pPr>
        <w:pStyle w:val="4"/>
        <w:spacing w:before="0" w:after="0" w:line="360" w:lineRule="auto"/>
        <w:rPr>
          <w:rFonts w:ascii="仿宋" w:hAnsi="仿宋" w:eastAsia="仿宋" w:cs="仿宋"/>
          <w:color w:val="000000" w:themeColor="text1"/>
          <w14:textFill>
            <w14:solidFill>
              <w14:schemeClr w14:val="tx1"/>
            </w14:solidFill>
          </w14:textFill>
        </w:rPr>
      </w:pPr>
    </w:p>
    <w:p w14:paraId="72BCF2DC">
      <w:pPr>
        <w:pStyle w:val="4"/>
        <w:spacing w:before="0" w:after="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采购合同（草案）</w:t>
      </w:r>
    </w:p>
    <w:p w14:paraId="478AF3E6">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u w:val="single" w:color="FFFFFF"/>
          <w14:textFill>
            <w14:solidFill>
              <w14:schemeClr w14:val="tx1"/>
            </w14:solidFill>
          </w14:textFill>
        </w:rPr>
        <w:t>注：该采购合同模板仅做参考，具体根据双方约定进行修改，但采购合同实质性内容与谈判文件不能有实质性偏离。</w:t>
      </w:r>
    </w:p>
    <w:p w14:paraId="3B8B03AC">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3B9E2FC6">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合同草案条款</w:t>
      </w:r>
    </w:p>
    <w:p w14:paraId="3556932F">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根据《中华人民共和国民法典》及XXX采购项目（项目编号：XXX）的《竞争性谈判公告》、乙方的《竞争性谈判公告申请文件》及《中选通知书》，甲、乙双方同意签订本合同。详细技术说明及其他有关合同项目的特定信息由合同附件予以说明，合同附件及本项目的竞争性谈判公告文件、竞争性谈判公告申请文件、《中选通知书》等均为本合同不可分割的部分。</w:t>
      </w:r>
    </w:p>
    <w:p w14:paraId="6071D305">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二、合同草案条款如下：</w:t>
      </w:r>
    </w:p>
    <w:p w14:paraId="5D8F3248">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(以下简称“甲方”)为一方和</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(以下简称“乙方”)为另一方同意按下述条款和条件签署本合同(以下简称“合同”)：</w:t>
      </w:r>
    </w:p>
    <w:p w14:paraId="5EC7D22B">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1．合同文件</w:t>
      </w:r>
    </w:p>
    <w:p w14:paraId="7331D3EC">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本合同所附下列文件是本合同不可分割的部分：</w:t>
      </w:r>
    </w:p>
    <w:p w14:paraId="22F90495">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成交后双方签订的采购合同；（包括服务方案、项目验收标准和验收方法等）</w:t>
      </w:r>
    </w:p>
    <w:p w14:paraId="5F76A613">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买方针对本项目的比选文件；</w:t>
      </w:r>
    </w:p>
    <w:p w14:paraId="13686D9B">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卖方提交的比选申请文件；</w:t>
      </w:r>
    </w:p>
    <w:p w14:paraId="74F73771">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成交通知书。</w:t>
      </w:r>
    </w:p>
    <w:p w14:paraId="127A0E96">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2．合同范围和条件</w:t>
      </w:r>
    </w:p>
    <w:p w14:paraId="00509BEA">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本合同的范围和条件应与上述合同文件的规定相一致。</w:t>
      </w:r>
    </w:p>
    <w:p w14:paraId="063EF03A">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合同期限</w:t>
      </w:r>
    </w:p>
    <w:p w14:paraId="61E60A32">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自合同签订日起10日内完成报告编制，并通过专家评审，送至环境部门取得正式环保批复。</w:t>
      </w:r>
    </w:p>
    <w:p w14:paraId="4D140569">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bookmarkStart w:id="0" w:name="_Toc238984975"/>
      <w:bookmarkStart w:id="1" w:name="_Toc211911348"/>
      <w:bookmarkStart w:id="2" w:name="_Toc241833903"/>
      <w:bookmarkStart w:id="3" w:name="_Toc286993786"/>
      <w:bookmarkStart w:id="4" w:name="_Toc225670751"/>
      <w:bookmarkStart w:id="5" w:name="_Toc283019214"/>
      <w:bookmarkStart w:id="6" w:name="_Toc212019594"/>
      <w:bookmarkStart w:id="7" w:name="_Toc185395249"/>
      <w:bookmarkStart w:id="8" w:name="_Toc239233914"/>
      <w:bookmarkStart w:id="9" w:name="_Toc232492928"/>
      <w:bookmarkStart w:id="10" w:name="_Toc239568418"/>
      <w:bookmarkStart w:id="11" w:name="_Toc247334841"/>
      <w:bookmarkStart w:id="12" w:name="_Toc251768862"/>
      <w:bookmarkStart w:id="13" w:name="_Toc225244852"/>
      <w:bookmarkStart w:id="14" w:name="_Toc282696226"/>
      <w:bookmarkStart w:id="15" w:name="_Toc211854449"/>
      <w:bookmarkStart w:id="16" w:name="_Toc237145406"/>
      <w:bookmarkStart w:id="17" w:name="_Toc225654644"/>
      <w:r>
        <w:rPr>
          <w:rFonts w:hint="eastAsia" w:ascii="仿宋" w:hAnsi="仿宋" w:eastAsia="仿宋" w:cs="仿宋"/>
          <w:color w:val="000000" w:themeColor="text1"/>
          <w:sz w:val="24"/>
          <w14:textFill>
            <w14:solidFill>
              <w14:schemeClr w14:val="tx1"/>
            </w14:solidFill>
          </w14:textFill>
        </w:rPr>
        <w:t>4. 服务内容与质量标准</w:t>
      </w:r>
    </w:p>
    <w:p w14:paraId="4FC6935B">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4.1服务内容：110kV银林线 11#—12#线路迁改工程环境影响评价报告表编制服务。</w:t>
      </w:r>
    </w:p>
    <w:p w14:paraId="0806955C">
      <w:pPr>
        <w:widowControl/>
        <w:spacing w:line="360" w:lineRule="auto"/>
        <w:ind w:firstLine="480" w:firstLineChars="200"/>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4.2服务要求：根据</w:t>
      </w:r>
      <w:bookmarkStart w:id="52" w:name="_GoBack"/>
      <w:bookmarkEnd w:id="52"/>
      <w:r>
        <w:rPr>
          <w:rFonts w:hint="eastAsia" w:ascii="仿宋" w:hAnsi="仿宋" w:eastAsia="仿宋" w:cs="仿宋"/>
          <w:color w:val="000000" w:themeColor="text1"/>
          <w:sz w:val="24"/>
          <w:szCs w:val="32"/>
          <w:lang w:eastAsia="zh-CN"/>
          <w14:textFill>
            <w14:solidFill>
              <w14:schemeClr w14:val="tx1"/>
            </w14:solidFill>
          </w14:textFill>
        </w:rPr>
        <w:t>《中华人民共和国环境影响评价法》</w:t>
      </w:r>
      <w:r>
        <w:rPr>
          <w:rFonts w:hint="eastAsia" w:ascii="仿宋" w:hAnsi="仿宋" w:eastAsia="仿宋" w:cs="仿宋"/>
          <w:color w:val="000000" w:themeColor="text1"/>
          <w:sz w:val="24"/>
          <w:szCs w:val="32"/>
          <w14:textFill>
            <w14:solidFill>
              <w14:schemeClr w14:val="tx1"/>
            </w14:solidFill>
          </w14:textFill>
        </w:rPr>
        <w:t>《建设项目环境保护管理条例》《环境影响评价技术导则》的要求，以及国家环保部对建设项目环境影响评价书的编制规范和编制内容，编制完成</w:t>
      </w:r>
      <w:r>
        <w:rPr>
          <w:rFonts w:hint="eastAsia" w:ascii="仿宋" w:hAnsi="仿宋" w:eastAsia="仿宋" w:cs="仿宋"/>
          <w:color w:val="000000" w:themeColor="text1"/>
          <w:sz w:val="24"/>
          <w14:textFill>
            <w14:solidFill>
              <w14:schemeClr w14:val="tx1"/>
            </w14:solidFill>
          </w14:textFill>
        </w:rPr>
        <w:t>110kV银林线 11#—12#线路迁改工程环境影响评价报告</w:t>
      </w:r>
      <w:r>
        <w:rPr>
          <w:rFonts w:hint="eastAsia" w:ascii="仿宋" w:hAnsi="仿宋" w:eastAsia="仿宋" w:cs="仿宋"/>
          <w:color w:val="000000" w:themeColor="text1"/>
          <w:sz w:val="24"/>
          <w:szCs w:val="32"/>
          <w14:textFill>
            <w14:solidFill>
              <w14:schemeClr w14:val="tx1"/>
            </w14:solidFill>
          </w14:textFill>
        </w:rPr>
        <w:t>，报告内容力求完整，重点突出。</w:t>
      </w:r>
    </w:p>
    <w:p w14:paraId="78D429AD">
      <w:pPr>
        <w:widowControl/>
        <w:spacing w:line="360" w:lineRule="auto"/>
        <w:ind w:left="479" w:leftChars="228"/>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（1）在现场踏勘及相关资料分析的基础上，提出相关的环境保护措施。（2）通过现场调查和资料分析编制环境影响报告；</w:t>
      </w:r>
    </w:p>
    <w:p w14:paraId="525E073F">
      <w:pPr>
        <w:widowControl/>
        <w:spacing w:line="360" w:lineRule="auto"/>
        <w:ind w:left="479" w:leftChars="228"/>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（3）通过现场调查、类比分析、预测分析污染源；</w:t>
      </w:r>
    </w:p>
    <w:p w14:paraId="73AC3537">
      <w:pPr>
        <w:widowControl/>
        <w:spacing w:line="360" w:lineRule="auto"/>
        <w:ind w:left="479" w:leftChars="228"/>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（4）通过现场调查、类比分析、论证环境可行性等。</w:t>
      </w:r>
    </w:p>
    <w:p w14:paraId="6E090176">
      <w:pPr>
        <w:widowControl/>
        <w:spacing w:line="360" w:lineRule="auto"/>
        <w:ind w:firstLine="480" w:firstLineChars="200"/>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4.3成果要求：1）符合相关技术规范、标准、规程及国家、省、市、区（县）发布的政策文件，提供经相关专家论证通过后的成果，成果能满足审批要求； 2）成果首先需征求环保部门意见并通过专家论证和评审，并通过环保部门审批，最终取得环评批复； 3）最终环评成果须制作成册，提供纸质版五套，电子版一套，正式环评批复原件一份；</w:t>
      </w:r>
    </w:p>
    <w:p w14:paraId="77B8B62B">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5.支付方式：取得环保部门正式批复后，按照政府项目资金申报流程规定一次性支付合同金额的100%。</w:t>
      </w:r>
    </w:p>
    <w:p w14:paraId="7EA77AB9">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 知识产权</w:t>
      </w:r>
    </w:p>
    <w:p w14:paraId="2955059A">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乙方应保证所提供的服务或其任何一部分均不会侵犯任何第三方的专利权、商标权或著作权。</w:t>
      </w:r>
    </w:p>
    <w:p w14:paraId="4F90A52C">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 无产权瑕疵条款</w:t>
      </w:r>
    </w:p>
    <w:p w14:paraId="1F7499B4">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3B1CCAF5">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 履约保证金</w:t>
      </w:r>
    </w:p>
    <w:p w14:paraId="48194828">
      <w:pPr>
        <w:pStyle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本项目不收取。</w:t>
      </w:r>
    </w:p>
    <w:p w14:paraId="19FD7421">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 甲方的权利和义务</w:t>
      </w:r>
    </w:p>
    <w:p w14:paraId="1288990A">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 甲方有权对合同规定范围内乙方的服务行为进行监督和检查，拥有监管权。有权定期核对乙方提供服务所配备的人员数量。对甲方认为不合理的部分有权下达整改通知书，并要求乙方限期整改。</w:t>
      </w:r>
    </w:p>
    <w:p w14:paraId="50D658F6">
      <w:pPr>
        <w:tabs>
          <w:tab w:val="left" w:pos="7665"/>
        </w:tabs>
        <w:spacing w:line="400" w:lineRule="exact"/>
        <w:ind w:left="294" w:leftChars="140"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 甲方有权依据双方签订的考评办法对乙方提供的服务进行定期考</w:t>
      </w:r>
    </w:p>
    <w:p w14:paraId="308FFB2C">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w:t>
      </w:r>
    </w:p>
    <w:p w14:paraId="5098A44F">
      <w:pPr>
        <w:tabs>
          <w:tab w:val="left" w:pos="7665"/>
        </w:tabs>
        <w:spacing w:line="400" w:lineRule="exact"/>
        <w:ind w:firstLine="566" w:firstLineChars="23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9.3 负责检查监督乙方管理工作的实施及制度的执行情况。</w:t>
      </w:r>
    </w:p>
    <w:p w14:paraId="02B4BCAE">
      <w:pPr>
        <w:tabs>
          <w:tab w:val="left" w:pos="7665"/>
        </w:tabs>
        <w:spacing w:line="400" w:lineRule="exact"/>
        <w:ind w:firstLine="566" w:firstLineChars="23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9.4 根据本合同规定，按时向乙方支付应付服务费用。</w:t>
      </w:r>
    </w:p>
    <w:p w14:paraId="0732B9BA">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9.5 国家法律、法规所规定由甲方承担的其它责任。</w:t>
      </w:r>
    </w:p>
    <w:p w14:paraId="7DB85D3D">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 乙方的权利和义务</w:t>
      </w:r>
    </w:p>
    <w:p w14:paraId="5008DD40">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 对本合同规定的委托服务范围内的项目享有管理权及服务义务。</w:t>
      </w:r>
    </w:p>
    <w:p w14:paraId="7222B079">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 根据本合同的规定向甲方收取相关服务费用，并有权在本项目管理范围内管理及合理使用。</w:t>
      </w:r>
    </w:p>
    <w:p w14:paraId="729D4E4C">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 及时向甲方通告本项目服务范围内有关服务的重大事项，及时配合处理投诉。</w:t>
      </w:r>
    </w:p>
    <w:p w14:paraId="59B7295D">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 接受项目行业管理部门及政府有关部门的指导，接受甲方的监督。</w:t>
      </w:r>
    </w:p>
    <w:p w14:paraId="194BC84A">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10.5 国家法律、法规所规定由乙方承担的其它责任。</w:t>
      </w:r>
    </w:p>
    <w:p w14:paraId="3940482A">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违约责任</w:t>
      </w:r>
    </w:p>
    <w:p w14:paraId="5E69413D">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甲乙双方必须遵守本合同并执行合同中的各项规定，保证本合同的正常履行。</w:t>
      </w:r>
    </w:p>
    <w:p w14:paraId="453473CD">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E77D5DB">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不可抗力事件处理</w:t>
      </w:r>
    </w:p>
    <w:p w14:paraId="5329DCA1">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 在合同有效期内，任何一方因不可抗力事件导致不能履行合同，则合同履行期可延长，其延长期与不可抗力影响期相同。</w:t>
      </w:r>
    </w:p>
    <w:p w14:paraId="05639B65">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 不可抗力事件发生后，应立即通知对方，并寄送有关权威机构出具的证明。</w:t>
      </w:r>
    </w:p>
    <w:p w14:paraId="62F98F25">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 不可抗力事件延续120天以上，双方应通过友好协商，确定是否继续履行合同。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648F3FE2">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bookmarkStart w:id="18" w:name="_Toc212019599"/>
      <w:bookmarkStart w:id="19" w:name="_Toc211854454"/>
      <w:bookmarkStart w:id="20" w:name="_Toc239233919"/>
      <w:bookmarkStart w:id="21" w:name="_Toc225244857"/>
      <w:bookmarkStart w:id="22" w:name="_Toc239568423"/>
      <w:bookmarkStart w:id="23" w:name="_Toc238984980"/>
      <w:bookmarkStart w:id="24" w:name="_Toc241833908"/>
      <w:bookmarkStart w:id="25" w:name="_Toc286993792"/>
      <w:bookmarkStart w:id="26" w:name="_Toc237145411"/>
      <w:bookmarkStart w:id="27" w:name="_Toc225670756"/>
      <w:bookmarkStart w:id="28" w:name="_Toc225654649"/>
      <w:bookmarkStart w:id="29" w:name="_Toc251768867"/>
      <w:bookmarkStart w:id="30" w:name="_Toc211911353"/>
      <w:bookmarkStart w:id="31" w:name="_Toc185395254"/>
      <w:bookmarkStart w:id="32" w:name="_Toc247334846"/>
      <w:bookmarkStart w:id="33" w:name="_Toc232492933"/>
      <w:r>
        <w:rPr>
          <w:rFonts w:hint="eastAsia" w:ascii="仿宋" w:hAnsi="仿宋" w:eastAsia="仿宋" w:cs="仿宋"/>
          <w:color w:val="000000" w:themeColor="text1"/>
          <w:sz w:val="24"/>
          <w14:textFill>
            <w14:solidFill>
              <w14:schemeClr w14:val="tx1"/>
            </w14:solidFill>
          </w14:textFill>
        </w:rPr>
        <w:t>13. 解决合同纠纷的方式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F4B6A89">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 在执行本合同中发生的或与本合同有关的争端，双方应通过友好协商解决，经协商在60天内不能达成协议时，应提交甲方所在地仲裁委员会仲裁。</w:t>
      </w:r>
    </w:p>
    <w:p w14:paraId="38BD5298">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 仲裁裁决应为最终决定，并对双方具有约束力。</w:t>
      </w:r>
    </w:p>
    <w:p w14:paraId="3611C2BB">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13.3 除另有裁决外，仲裁费应由败诉方负担。 </w:t>
      </w:r>
    </w:p>
    <w:p w14:paraId="7679E200">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13.4 在仲裁期间，除正在进行仲裁部分外，合同其他部分继续执行。  </w:t>
      </w:r>
    </w:p>
    <w:p w14:paraId="3A68C12E">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bookmarkStart w:id="34" w:name="_Toc211854455"/>
      <w:bookmarkStart w:id="35" w:name="_Toc225654650"/>
      <w:bookmarkStart w:id="36" w:name="_Toc237145412"/>
      <w:bookmarkStart w:id="37" w:name="_Toc232492934"/>
      <w:bookmarkStart w:id="38" w:name="_Toc225670757"/>
      <w:bookmarkStart w:id="39" w:name="_Toc211911354"/>
      <w:bookmarkStart w:id="40" w:name="_Toc286993793"/>
      <w:bookmarkStart w:id="41" w:name="_Toc238984981"/>
      <w:bookmarkStart w:id="42" w:name="_Toc185395255"/>
      <w:bookmarkStart w:id="43" w:name="_Toc239568424"/>
      <w:bookmarkStart w:id="44" w:name="_Toc247334847"/>
      <w:bookmarkStart w:id="45" w:name="_Toc283019219"/>
      <w:bookmarkStart w:id="46" w:name="_Toc282696231"/>
      <w:bookmarkStart w:id="47" w:name="_Toc241833909"/>
      <w:bookmarkStart w:id="48" w:name="_Toc212019600"/>
      <w:bookmarkStart w:id="49" w:name="_Toc239233920"/>
      <w:bookmarkStart w:id="50" w:name="_Toc225244858"/>
      <w:bookmarkStart w:id="51" w:name="_Toc251768868"/>
      <w:r>
        <w:rPr>
          <w:rFonts w:hint="eastAsia" w:ascii="仿宋" w:hAnsi="仿宋" w:eastAsia="仿宋" w:cs="仿宋"/>
          <w:color w:val="000000" w:themeColor="text1"/>
          <w:sz w:val="24"/>
          <w14:textFill>
            <w14:solidFill>
              <w14:schemeClr w14:val="tx1"/>
            </w14:solidFill>
          </w14:textFill>
        </w:rPr>
        <w:t>14. 合同</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仿宋" w:hAnsi="仿宋" w:eastAsia="仿宋" w:cs="仿宋"/>
          <w:color w:val="000000" w:themeColor="text1"/>
          <w:sz w:val="24"/>
          <w14:textFill>
            <w14:solidFill>
              <w14:schemeClr w14:val="tx1"/>
            </w14:solidFill>
          </w14:textFill>
        </w:rPr>
        <w:t>生效及其他</w:t>
      </w:r>
    </w:p>
    <w:p w14:paraId="1C8C0E01">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 合同经双方法定代表人/单位负责人或授权委托代理人签字并加盖单位公章后生效。</w:t>
      </w:r>
    </w:p>
    <w:p w14:paraId="661F791F">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 本合同一式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份，甲方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份，乙方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份，自双方签章之日起起效。</w:t>
      </w:r>
    </w:p>
    <w:p w14:paraId="01364538">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   （盖单位公章）              乙方：（盖单位公章）</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p>
    <w:p w14:paraId="35B30C16">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法定代表人/单位负责人               法定代表人/单位负责人（授权代</w:t>
      </w:r>
    </w:p>
    <w:p w14:paraId="336C031B">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                      表）：</w:t>
      </w:r>
    </w:p>
    <w:p w14:paraId="4D77E946">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地址：</w:t>
      </w:r>
    </w:p>
    <w:p w14:paraId="676E881B">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                          开户银行：</w:t>
      </w:r>
    </w:p>
    <w:p w14:paraId="123A58A5">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账号：                              账号：</w:t>
      </w:r>
    </w:p>
    <w:p w14:paraId="5E12FC6C">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                              电话：</w:t>
      </w:r>
    </w:p>
    <w:p w14:paraId="1D8159E5">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传真：                              传真：</w:t>
      </w:r>
    </w:p>
    <w:p w14:paraId="2E7540ED">
      <w:pPr>
        <w:spacing w:line="500" w:lineRule="exact"/>
        <w:rPr>
          <w:rFonts w:ascii="仿宋_GB2312" w:eastAsia="仿宋_GB2312"/>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签约日期：XX年XX月XX日           签约日期：XX年XX月XX日</w:t>
      </w:r>
    </w:p>
    <w:p w14:paraId="0951AAF7"/>
    <w:sectPr>
      <w:pgSz w:w="11906" w:h="16838"/>
      <w:pgMar w:top="1474" w:right="1984" w:bottom="1587"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3C"/>
    <w:rsid w:val="0025743C"/>
    <w:rsid w:val="4B52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cs="宋体"/>
      <w:kern w:val="0"/>
      <w:sz w:val="32"/>
      <w:szCs w:val="32"/>
      <w:lang w:eastAsia="en-US"/>
    </w:r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2030</Words>
  <Characters>2152</Characters>
  <Lines>0</Lines>
  <Paragraphs>0</Paragraphs>
  <TotalTime>1</TotalTime>
  <ScaleCrop>false</ScaleCrop>
  <LinksUpToDate>false</LinksUpToDate>
  <CharactersWithSpaces>2482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2024-12-13T10:40:00Z</dcterms:created>
  <dc:creator>-MaomaoLin</dc:creator>
  <cp:lastModifiedBy>-MaomaoLin</cp:lastModifiedBy>
  <dcterms:modified xsi:type="dcterms:W3CDTF">2024-12-18T11:29:35Z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4628478B139248B8A1812E1832DA1159_11</vt:lpwstr>
  </property>
</Properties>
</file>