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ascii="方正小标宋简体" w:hAnsi="方正小标宋简体" w:eastAsia="方正小标宋简体" w:cs="方正小标宋简体"/>
          <w:color w:val="auto"/>
          <w:sz w:val="72"/>
          <w:szCs w:val="72"/>
          <w:highlight w:val="none"/>
        </w:rPr>
      </w:pPr>
      <w:bookmarkStart w:id="1" w:name="_Toc15396475"/>
      <w:bookmarkStart w:id="2" w:name="_Toc15396597"/>
      <w:bookmarkStart w:id="3" w:name="_Toc15378441"/>
      <w:bookmarkStart w:id="4" w:name="_Toc15377193"/>
      <w:bookmarkStart w:id="5" w:name="_Toc143696843"/>
      <w:bookmarkStart w:id="6" w:name="_Toc15377425"/>
      <w:bookmarkStart w:id="7" w:name="_Toc143698072"/>
      <w:r>
        <w:rPr>
          <w:rFonts w:hint="eastAsia" w:ascii="方正小标宋简体" w:hAnsi="方正小标宋简体" w:eastAsia="方正小标宋简体" w:cs="方正小标宋简体"/>
          <w:color w:val="auto"/>
          <w:sz w:val="72"/>
          <w:szCs w:val="72"/>
          <w:highlight w:val="none"/>
        </w:rPr>
        <w:t>202</w:t>
      </w:r>
      <w:r>
        <w:rPr>
          <w:rFonts w:hint="eastAsia" w:ascii="方正小标宋简体" w:hAnsi="方正小标宋简体" w:eastAsia="方正小标宋简体" w:cs="方正小标宋简体"/>
          <w:color w:val="auto"/>
          <w:sz w:val="72"/>
          <w:szCs w:val="72"/>
          <w:highlight w:val="none"/>
          <w:lang w:val="en-US" w:eastAsia="zh-CN"/>
        </w:rPr>
        <w:t>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p>
    <w:p>
      <w:pPr>
        <w:adjustRightInd w:val="0"/>
        <w:snapToGrid w:val="0"/>
        <w:spacing w:line="360" w:lineRule="auto"/>
        <w:jc w:val="center"/>
        <w:outlineLvl w:val="0"/>
        <w:rPr>
          <w:rFonts w:ascii="方正小标宋简体" w:hAnsi="方正小标宋简体" w:eastAsia="方正小标宋简体" w:cs="方正小标宋简体"/>
          <w:color w:val="auto"/>
          <w:sz w:val="72"/>
          <w:szCs w:val="72"/>
          <w:highlight w:val="none"/>
        </w:rPr>
      </w:pPr>
      <w:bookmarkStart w:id="8" w:name="_Toc143698073"/>
      <w:bookmarkStart w:id="9" w:name="_Toc15377426"/>
      <w:bookmarkStart w:id="10" w:name="_Toc15377194"/>
      <w:bookmarkStart w:id="11" w:name="_Toc15396598"/>
      <w:bookmarkStart w:id="12" w:name="_Toc15378442"/>
      <w:bookmarkStart w:id="13" w:name="_Toc15396476"/>
      <w:bookmarkStart w:id="14" w:name="_Toc143696844"/>
      <w:r>
        <w:rPr>
          <w:rFonts w:hint="eastAsia" w:ascii="方正小标宋简体" w:hAnsi="方正小标宋简体" w:eastAsia="方正小标宋简体" w:cs="方正小标宋简体"/>
          <w:color w:val="auto"/>
          <w:sz w:val="72"/>
          <w:szCs w:val="72"/>
          <w:highlight w:val="none"/>
        </w:rPr>
        <w:t>攀枝花市</w:t>
      </w:r>
      <w:bookmarkEnd w:id="0"/>
      <w:bookmarkStart w:id="15" w:name="_Toc15306268"/>
      <w:r>
        <w:rPr>
          <w:rFonts w:hint="eastAsia" w:ascii="方正小标宋简体" w:hAnsi="方正小标宋简体" w:eastAsia="方正小标宋简体" w:cs="方正小标宋简体"/>
          <w:color w:val="auto"/>
          <w:sz w:val="72"/>
          <w:szCs w:val="72"/>
          <w:highlight w:val="none"/>
        </w:rPr>
        <w:t>劳动人事争议仲裁院单位决算</w:t>
      </w:r>
      <w:bookmarkEnd w:id="8"/>
      <w:bookmarkEnd w:id="9"/>
      <w:bookmarkEnd w:id="10"/>
      <w:bookmarkEnd w:id="11"/>
      <w:bookmarkEnd w:id="12"/>
      <w:bookmarkEnd w:id="13"/>
      <w:bookmarkEnd w:id="14"/>
      <w:bookmarkEnd w:id="15"/>
    </w:p>
    <w:p>
      <w:pPr>
        <w:keepNext w:val="0"/>
        <w:keepLines w:val="0"/>
        <w:pageBreakBefore w:val="0"/>
        <w:widowControl/>
        <w:kinsoku/>
        <w:wordWrap/>
        <w:overflowPunct/>
        <w:topLinePunct w:val="0"/>
        <w:autoSpaceDE/>
        <w:autoSpaceDN/>
        <w:bidi w:val="0"/>
        <w:spacing w:line="48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ascii="方正小标宋简体" w:hAnsi="宋体" w:eastAsia="方正小标宋简体"/>
          <w:color w:val="auto"/>
          <w:sz w:val="36"/>
          <w:szCs w:val="36"/>
          <w:highlight w:val="none"/>
        </w:rPr>
        <w:br w:type="page"/>
      </w:r>
      <w:r>
        <w:rPr>
          <w:rFonts w:hint="eastAsia" w:ascii="方正小标宋简体" w:hAnsi="方正小标宋简体" w:eastAsia="方正小标宋简体" w:cs="方正小标宋简体"/>
          <w:color w:val="auto"/>
          <w:sz w:val="44"/>
          <w:szCs w:val="44"/>
          <w:highlight w:val="none"/>
        </w:rPr>
        <w:t>目录</w:t>
      </w:r>
    </w:p>
    <w:sdt>
      <w:sdtPr>
        <w:rPr>
          <w:rFonts w:hint="eastAsia" w:asciiTheme="minorEastAsia" w:hAnsiTheme="minorEastAsia" w:eastAsiaTheme="minorEastAsia" w:cstheme="minorEastAsia"/>
          <w:b/>
          <w:bCs/>
          <w:color w:val="auto"/>
          <w:sz w:val="21"/>
          <w:szCs w:val="24"/>
          <w:highlight w:val="none"/>
          <w:lang w:val="zh-CN"/>
        </w:rPr>
        <w:id w:val="1202780532"/>
        <w:docPartObj>
          <w:docPartGallery w:val="Table of Contents"/>
          <w:docPartUnique/>
        </w:docPartObj>
      </w:sdtPr>
      <w:sdtEndPr>
        <w:rPr>
          <w:rFonts w:hint="eastAsia" w:ascii="Times New Roman" w:hAnsi="Times New Roman" w:eastAsia="宋体" w:cstheme="minorEastAsia"/>
          <w:b w:val="0"/>
          <w:bCs w:val="0"/>
          <w:color w:val="auto"/>
          <w:sz w:val="21"/>
          <w:szCs w:val="24"/>
          <w:highlight w:val="none"/>
          <w:lang w:val="en-US"/>
        </w:rPr>
      </w:sdtEndPr>
      <w:sdtContent>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color w:val="auto"/>
              <w:highlight w:val="none"/>
            </w:rPr>
          </w:pPr>
          <w:r>
            <w:rPr>
              <w:rFonts w:hint="eastAsia" w:asciiTheme="minorEastAsia" w:hAnsiTheme="minorEastAsia" w:eastAsiaTheme="minorEastAsia" w:cstheme="minorEastAsia"/>
              <w:b/>
              <w:bCs/>
              <w:color w:val="auto"/>
              <w:kern w:val="0"/>
              <w:highlight w:val="none"/>
            </w:rPr>
            <w:fldChar w:fldCharType="begin"/>
          </w:r>
          <w:r>
            <w:rPr>
              <w:rFonts w:hint="eastAsia" w:asciiTheme="minorEastAsia" w:hAnsiTheme="minorEastAsia" w:eastAsiaTheme="minorEastAsia" w:cstheme="minorEastAsia"/>
              <w:color w:val="auto"/>
              <w:highlight w:val="none"/>
            </w:rPr>
            <w:instrText xml:space="preserve"> TOC \o "1-3" \h \z \u </w:instrText>
          </w:r>
          <w:r>
            <w:rPr>
              <w:rFonts w:hint="eastAsia" w:asciiTheme="minorEastAsia" w:hAnsiTheme="minorEastAsia" w:eastAsiaTheme="minorEastAsia" w:cstheme="minorEastAsia"/>
              <w:b/>
              <w:bCs/>
              <w:color w:val="auto"/>
              <w:kern w:val="0"/>
              <w:highlight w:val="none"/>
            </w:rPr>
            <w:fldChar w:fldCharType="separate"/>
          </w:r>
          <w:r>
            <w:rPr>
              <w:rFonts w:hint="eastAsia" w:asciiTheme="minorEastAsia" w:hAnsiTheme="minorEastAsia" w:eastAsiaTheme="minorEastAsia" w:cstheme="minorEastAsia"/>
              <w:color w:val="auto"/>
              <w:sz w:val="24"/>
              <w:szCs w:val="24"/>
              <w:highlight w:val="none"/>
            </w:rPr>
            <w:t>公开时间：202</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年9月</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日</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color w:val="auto"/>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"_Toc143698074"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第一部分 单位概况</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fldChar w:fldCharType="end"/>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color w:val="auto"/>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"_Toc143698075"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一、主要职责</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fldChar w:fldCharType="end"/>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color w:val="auto"/>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"_Toc143698076"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二、 机构设置</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fldChar w:fldCharType="end"/>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"_Toc143698077"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第二部分 202</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年度单位决算情况说明</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fldChar w:fldCharType="end"/>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"_Toc143698078"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一、收入支出决算总体情况说明</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fldChar w:fldCharType="end"/>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"_Toc143698079"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二、收入决算情况说明</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fldChar w:fldCharType="end"/>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"_Toc143698081"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三、支出决算情况说明</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fldChar w:fldCharType="end"/>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"_Toc143698083"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四、财政拨款收入支出决算总体情况说明</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fldChar w:fldCharType="end"/>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"_Toc143698084"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五、一般公共预算财政拨款支出决算情况说明</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fldChar w:fldCharType="end"/>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"_Toc143698089"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六、一般公共预算财政拨款基本支出决算情况说明</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fldChar w:fldCharType="end"/>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"_Toc143698090"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七、财政拨款“三公”经费支出决算情况说明</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fldChar w:fldCharType="end"/>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"_Toc143698093"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八、政府性基金预算支出决算情况说明</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1</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"_Toc143698094"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九、国有资本经营预算支出决算情况说明</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1</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\l "_Toc143698095"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十、其他重要事项的情况说明</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2</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"_Toc143698100"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第三部</w:t>
          </w:r>
          <w:r>
            <w:rPr>
              <w:rFonts w:hint="eastAsia" w:asciiTheme="minorEastAsia" w:hAnsiTheme="minorEastAsia" w:eastAsiaTheme="minorEastAsia" w:cstheme="minorEastAsia"/>
              <w:b/>
              <w:bCs/>
              <w:color w:val="auto"/>
              <w:sz w:val="24"/>
              <w:szCs w:val="24"/>
              <w:highlight w:val="none"/>
              <w:lang w:eastAsia="zh-CN"/>
            </w:rPr>
            <w:t>分</w:t>
          </w:r>
          <w:r>
            <w:rPr>
              <w:rFonts w:hint="eastAsia" w:asciiTheme="minorEastAsia" w:hAnsiTheme="minorEastAsia" w:eastAsiaTheme="minorEastAsia" w:cstheme="minorEastAsia"/>
              <w:b/>
              <w:bCs/>
              <w:color w:val="auto"/>
              <w:sz w:val="24"/>
              <w:szCs w:val="24"/>
              <w:highlight w:val="none"/>
            </w:rPr>
            <w:t xml:space="preserve"> 名词解释</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lang w:val="en-US" w:eastAsia="zh-CN"/>
            </w:rPr>
            <w:t>4</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"_Toc143698101"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第四部分 附件</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lang w:val="en-US" w:eastAsia="zh-CN"/>
            </w:rPr>
            <w:t>6</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fldChar w:fldCharType="begin"/>
          </w:r>
          <w:r>
            <w:rPr>
              <w:rFonts w:hint="eastAsia" w:asciiTheme="minorEastAsia" w:hAnsiTheme="minorEastAsia" w:eastAsiaTheme="minorEastAsia" w:cstheme="minorEastAsia"/>
              <w:b/>
              <w:bCs/>
              <w:color w:val="auto"/>
              <w:sz w:val="24"/>
              <w:szCs w:val="24"/>
              <w:highlight w:val="none"/>
            </w:rPr>
            <w:instrText xml:space="preserve"> HYPERLINK \l "_Toc143698104" </w:instrText>
          </w:r>
          <w:r>
            <w:rPr>
              <w:rFonts w:hint="eastAsia" w:asciiTheme="minorEastAsia" w:hAnsiTheme="minorEastAsia" w:eastAsiaTheme="minorEastAsia" w:cstheme="minorEastAsia"/>
              <w:b/>
              <w:bCs/>
              <w:color w:val="auto"/>
              <w:sz w:val="24"/>
              <w:szCs w:val="24"/>
              <w:highlight w:val="none"/>
            </w:rPr>
            <w:fldChar w:fldCharType="separate"/>
          </w:r>
          <w:r>
            <w:rPr>
              <w:rFonts w:hint="eastAsia" w:asciiTheme="minorEastAsia" w:hAnsiTheme="minorEastAsia" w:eastAsiaTheme="minorEastAsia" w:cstheme="minorEastAsia"/>
              <w:b/>
              <w:bCs/>
              <w:color w:val="auto"/>
              <w:sz w:val="24"/>
              <w:szCs w:val="24"/>
              <w:highlight w:val="none"/>
            </w:rPr>
            <w:t>第五部分 附表</w:t>
          </w:r>
          <w:r>
            <w:rPr>
              <w:rFonts w:hint="eastAsia" w:asciiTheme="minorEastAsia" w:hAnsiTheme="minorEastAsia" w:eastAsiaTheme="minorEastAsia" w:cstheme="minorEastAsia"/>
              <w:b/>
              <w:bCs/>
              <w:color w:val="auto"/>
              <w:sz w:val="24"/>
              <w:szCs w:val="24"/>
              <w:highlight w:val="none"/>
            </w:rPr>
            <w:tab/>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fldChar w:fldCharType="end"/>
          </w:r>
          <w:r>
            <w:rPr>
              <w:rFonts w:hint="eastAsia" w:asciiTheme="minorEastAsia" w:hAnsiTheme="minorEastAsia" w:eastAsiaTheme="minorEastAsia" w:cstheme="minorEastAsia"/>
              <w:b/>
              <w:bCs/>
              <w:color w:val="auto"/>
              <w:sz w:val="24"/>
              <w:szCs w:val="24"/>
              <w:highlight w:val="none"/>
              <w:lang w:val="en-US" w:eastAsia="zh-CN"/>
            </w:rPr>
            <w:t>7</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一、收入支出决算总表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17</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二、收入决算表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17</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三、支出决算表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17</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四、财政拨款收入支出决算总表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17</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五、财政拨款支出决算明细表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17</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六、一般公共预算财政拨款支出决算表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17</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七、一般公共预算财政拨款支出决算明细表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17</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八、一般公共预算财政拨款基本支出决算明细表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17</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九、一般公共预算财政拨款项目支出决算表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17</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十、政府性基金预算财政拨款收入支出决算表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17</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十一、国有资本经营预算财政拨款收入支出决算表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17</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十二、国有资本经营预算财政拨款支出决算表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17</w:t>
          </w:r>
        </w:p>
        <w:p>
          <w:pPr>
            <w:pStyle w:val="7"/>
            <w:keepNext w:val="0"/>
            <w:keepLines w:val="0"/>
            <w:pageBreakBefore w:val="0"/>
            <w:widowControl w:val="0"/>
            <w:kinsoku/>
            <w:wordWrap/>
            <w:overflowPunct/>
            <w:topLinePunct w:val="0"/>
            <w:autoSpaceDE/>
            <w:autoSpaceDN/>
            <w:bidi w:val="0"/>
            <w:adjustRightInd/>
            <w:snapToGrid/>
            <w:spacing w:before="0" w:line="400" w:lineRule="exact"/>
            <w:textAlignment w:val="auto"/>
            <w:rPr>
              <w:rFonts w:hint="default"/>
              <w:color w:val="auto"/>
              <w:sz w:val="24"/>
              <w:highlight w:val="none"/>
              <w:lang w:val="en-US"/>
            </w:rPr>
          </w:pPr>
          <w:r>
            <w:rPr>
              <w:rFonts w:hint="eastAsia" w:asciiTheme="minorEastAsia" w:hAnsiTheme="minorEastAsia" w:eastAsiaTheme="minorEastAsia" w:cstheme="minorEastAsia"/>
              <w:color w:val="auto"/>
              <w:sz w:val="24"/>
              <w:szCs w:val="24"/>
              <w:highlight w:val="none"/>
            </w:rPr>
            <w:t>十三、财政拨款“三公”经费支出决算表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lang w:val="en-US" w:eastAsia="zh-CN"/>
            </w:rPr>
            <w:t>17</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heme="minorEastAsia"/>
              <w:b w:val="0"/>
              <w:bCs w:val="0"/>
              <w:color w:val="auto"/>
              <w:sz w:val="21"/>
              <w:szCs w:val="24"/>
              <w:highlight w:val="none"/>
              <w:lang w:val="en-US"/>
            </w:rPr>
          </w:pPr>
          <w:r>
            <w:rPr>
              <w:rFonts w:hint="eastAsia" w:asciiTheme="minorEastAsia" w:hAnsiTheme="minorEastAsia" w:eastAsiaTheme="minorEastAsia" w:cstheme="minorEastAsia"/>
              <w:color w:val="auto"/>
              <w:highlight w:val="none"/>
            </w:rPr>
            <w:fldChar w:fldCharType="end"/>
          </w:r>
          <w:bookmarkStart w:id="16" w:name="_Toc15377196"/>
          <w:bookmarkStart w:id="17" w:name="_Toc15396599"/>
        </w:p>
      </w:sdtContent>
    </w:sdt>
    <w:p>
      <w:pPr>
        <w:pStyle w:val="2"/>
        <w:jc w:val="center"/>
        <w:rPr>
          <w:rStyle w:val="11"/>
          <w:rFonts w:ascii="黑体" w:hAnsi="黑体" w:eastAsia="黑体"/>
          <w:b/>
          <w:bCs w:val="0"/>
          <w:color w:val="auto"/>
          <w:highlight w:val="none"/>
        </w:rPr>
      </w:pPr>
      <w:bookmarkStart w:id="18" w:name="_Toc143698074"/>
      <w:r>
        <w:rPr>
          <w:rFonts w:hint="eastAsia" w:ascii="黑体" w:hAnsi="黑体" w:eastAsia="黑体"/>
          <w:b w:val="0"/>
          <w:color w:val="auto"/>
          <w:highlight w:val="none"/>
        </w:rPr>
        <w:t>第一部分 单位</w:t>
      </w:r>
      <w:r>
        <w:rPr>
          <w:rStyle w:val="11"/>
          <w:rFonts w:hint="eastAsia" w:ascii="黑体" w:hAnsi="黑体" w:eastAsia="黑体"/>
          <w:b w:val="0"/>
          <w:bCs w:val="0"/>
          <w:color w:val="auto"/>
          <w:highlight w:val="none"/>
        </w:rPr>
        <w:t>概况</w:t>
      </w:r>
      <w:bookmarkEnd w:id="16"/>
      <w:bookmarkEnd w:id="17"/>
      <w:bookmarkEnd w:id="18"/>
    </w:p>
    <w:p>
      <w:pPr>
        <w:pStyle w:val="3"/>
        <w:rPr>
          <w:rStyle w:val="12"/>
          <w:rFonts w:ascii="黑体" w:hAnsi="黑体" w:eastAsia="黑体"/>
          <w:b w:val="0"/>
          <w:bCs w:val="0"/>
          <w:color w:val="auto"/>
          <w:highlight w:val="none"/>
        </w:rPr>
      </w:pPr>
      <w:bookmarkStart w:id="19" w:name="_Toc15377197"/>
      <w:bookmarkStart w:id="20" w:name="_Toc15396600"/>
    </w:p>
    <w:p>
      <w:pPr>
        <w:pStyle w:val="3"/>
        <w:ind w:firstLine="640" w:firstLineChars="200"/>
        <w:rPr>
          <w:rStyle w:val="12"/>
          <w:rFonts w:ascii="黑体" w:hAnsi="黑体" w:eastAsia="黑体"/>
          <w:b w:val="0"/>
          <w:bCs w:val="0"/>
          <w:color w:val="auto"/>
          <w:highlight w:val="none"/>
        </w:rPr>
      </w:pPr>
      <w:bookmarkStart w:id="21" w:name="_Toc143698075"/>
      <w:r>
        <w:rPr>
          <w:rStyle w:val="12"/>
          <w:rFonts w:hint="eastAsia" w:ascii="黑体" w:hAnsi="黑体" w:eastAsia="黑体"/>
          <w:b w:val="0"/>
          <w:bCs w:val="0"/>
          <w:color w:val="auto"/>
          <w:highlight w:val="none"/>
        </w:rPr>
        <w:t>一、主要职责</w:t>
      </w:r>
      <w:bookmarkEnd w:id="21"/>
    </w:p>
    <w:p>
      <w:pPr>
        <w:ind w:firstLine="640" w:firstLineChars="200"/>
        <w:rPr>
          <w:color w:val="auto"/>
          <w:sz w:val="32"/>
          <w:szCs w:val="32"/>
          <w:highlight w:val="none"/>
        </w:rPr>
      </w:pPr>
      <w:r>
        <w:rPr>
          <w:rFonts w:hint="eastAsia" w:ascii="仿宋" w:hAnsi="仿宋" w:eastAsia="仿宋"/>
          <w:color w:val="auto"/>
          <w:sz w:val="32"/>
          <w:szCs w:val="32"/>
          <w:highlight w:val="none"/>
        </w:rPr>
        <w:t>负责处理全市受案范围内的劳动、人事争议案件及上级交办的案件；参与协调处理涉及人力资源和社会保障工作的突发涉稳事件；依法组织协调处理跨地区的劳动、人事争议；负责全市劳动人事争议仲裁专、兼职仲裁员和调解员的培训、考核、任免、管理工作；指导、协调全市劳动人事争议调解仲裁工作；指导全市劳动人事争议调解组织建设，指导开展劳动人事争议预防工作；劳动人事争议仲裁报表报送；研究提出劳动人事争议仲裁政策的意见，制定并组织实施劳动人事仲裁中长期规划。</w:t>
      </w:r>
    </w:p>
    <w:p>
      <w:pPr>
        <w:pStyle w:val="3"/>
        <w:numPr>
          <w:ilvl w:val="0"/>
          <w:numId w:val="1"/>
        </w:numPr>
        <w:ind w:firstLine="640" w:firstLineChars="200"/>
        <w:rPr>
          <w:rFonts w:ascii="黑体" w:hAnsi="黑体" w:eastAsia="黑体"/>
          <w:b w:val="0"/>
          <w:color w:val="auto"/>
          <w:highlight w:val="none"/>
        </w:rPr>
      </w:pPr>
      <w:bookmarkStart w:id="22" w:name="_Toc143698076"/>
      <w:r>
        <w:rPr>
          <w:rFonts w:hint="eastAsia" w:ascii="黑体" w:hAnsi="黑体" w:eastAsia="黑体"/>
          <w:b w:val="0"/>
          <w:color w:val="auto"/>
          <w:highlight w:val="none"/>
        </w:rPr>
        <w:t>机构设置</w:t>
      </w:r>
      <w:bookmarkEnd w:id="22"/>
    </w:p>
    <w:p>
      <w:pPr>
        <w:ind w:firstLine="640" w:firstLineChars="200"/>
        <w:rPr>
          <w:color w:val="auto"/>
          <w:highlight w:val="none"/>
        </w:rPr>
      </w:pPr>
      <w:r>
        <w:rPr>
          <w:rFonts w:hint="eastAsia" w:ascii="仿宋" w:hAnsi="仿宋" w:eastAsia="仿宋"/>
          <w:color w:val="auto"/>
          <w:sz w:val="32"/>
          <w:szCs w:val="32"/>
          <w:highlight w:val="none"/>
        </w:rPr>
        <w:t>攀枝花市劳动人事争议仲裁院于2007年经攀枝花市机构编制委员会（攀编发[2007]25号）批准成立，是攀枝花市人力资源和社会保障局下属的正科级全额拨款事业单位，核定全额拨款事业编制6名，党政领导干部配备为一正（按正科级干部管理）。其中，管理岗3名，专业技术岗3名。</w:t>
      </w:r>
    </w:p>
    <w:p>
      <w:pPr>
        <w:rPr>
          <w:color w:val="auto"/>
          <w:highlight w:val="none"/>
        </w:rPr>
      </w:pPr>
    </w:p>
    <w:bookmarkEnd w:id="19"/>
    <w:bookmarkEnd w:id="20"/>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center"/>
        <w:rPr>
          <w:color w:val="auto"/>
          <w:highlight w:val="none"/>
        </w:rPr>
      </w:pPr>
      <w:bookmarkStart w:id="23" w:name="_Toc15396602"/>
      <w:bookmarkStart w:id="24" w:name="_Toc143698077"/>
      <w:bookmarkStart w:id="25" w:name="_Toc15377204"/>
      <w:r>
        <w:rPr>
          <w:rFonts w:hint="eastAsia" w:ascii="黑体" w:hAnsi="黑体" w:eastAsia="黑体"/>
          <w:b w:val="0"/>
          <w:color w:val="auto"/>
          <w:highlight w:val="none"/>
        </w:rPr>
        <w:t>第二部分 202</w:t>
      </w:r>
      <w:r>
        <w:rPr>
          <w:rFonts w:hint="eastAsia" w:ascii="黑体" w:hAnsi="黑体" w:eastAsia="黑体"/>
          <w:b w:val="0"/>
          <w:color w:val="auto"/>
          <w:highlight w:val="none"/>
          <w:lang w:val="en-US" w:eastAsia="zh-CN"/>
        </w:rPr>
        <w:t>3</w:t>
      </w:r>
      <w:r>
        <w:rPr>
          <w:rFonts w:hint="eastAsia" w:ascii="黑体" w:hAnsi="黑体" w:eastAsia="黑体"/>
          <w:b w:val="0"/>
          <w:color w:val="auto"/>
          <w:highlight w:val="none"/>
        </w:rPr>
        <w:t>年度</w:t>
      </w:r>
      <w:r>
        <w:rPr>
          <w:rStyle w:val="11"/>
          <w:rFonts w:hint="eastAsia" w:ascii="黑体" w:hAnsi="黑体" w:eastAsia="黑体"/>
          <w:b w:val="0"/>
          <w:bCs/>
          <w:color w:val="auto"/>
          <w:highlight w:val="none"/>
        </w:rPr>
        <w:t>单位决算情况说明</w:t>
      </w:r>
      <w:bookmarkEnd w:id="23"/>
      <w:bookmarkEnd w:id="24"/>
      <w:bookmarkEnd w:id="25"/>
    </w:p>
    <w:p>
      <w:pPr>
        <w:pStyle w:val="3"/>
        <w:ind w:firstLine="640" w:firstLineChars="200"/>
        <w:rPr>
          <w:color w:val="auto"/>
          <w:highlight w:val="none"/>
        </w:rPr>
      </w:pPr>
      <w:bookmarkStart w:id="26" w:name="_Toc15377205"/>
      <w:bookmarkStart w:id="27" w:name="_Toc143698078"/>
      <w:bookmarkStart w:id="28" w:name="_Toc15396603"/>
      <w:r>
        <w:rPr>
          <w:rFonts w:hint="eastAsia" w:ascii="黑体" w:hAnsi="黑体" w:eastAsia="黑体"/>
          <w:b w:val="0"/>
          <w:color w:val="auto"/>
          <w:highlight w:val="none"/>
        </w:rPr>
        <w:t>一、收入支出决算总体情况说明</w:t>
      </w:r>
      <w:bookmarkEnd w:id="26"/>
      <w:bookmarkEnd w:id="27"/>
      <w:bookmarkEnd w:id="28"/>
    </w:p>
    <w:p>
      <w:pPr>
        <w:spacing w:line="24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114.48</w:t>
      </w:r>
      <w:r>
        <w:rPr>
          <w:rFonts w:hint="eastAsia" w:ascii="仿宋" w:hAnsi="仿宋" w:eastAsia="仿宋"/>
          <w:color w:val="auto"/>
          <w:sz w:val="32"/>
          <w:szCs w:val="32"/>
          <w:highlight w:val="none"/>
        </w:rPr>
        <w:t>万元。与202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8.22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同比</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7.74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职工</w:t>
      </w:r>
      <w:r>
        <w:rPr>
          <w:rFonts w:hint="eastAsia" w:ascii="仿宋" w:hAnsi="仿宋" w:eastAsia="仿宋"/>
          <w:color w:val="auto"/>
          <w:sz w:val="32"/>
          <w:szCs w:val="32"/>
          <w:highlight w:val="none"/>
          <w:lang w:eastAsia="zh-CN"/>
        </w:rPr>
        <w:t>基本</w:t>
      </w:r>
      <w:r>
        <w:rPr>
          <w:rFonts w:hint="eastAsia" w:ascii="仿宋" w:hAnsi="仿宋" w:eastAsia="仿宋"/>
          <w:color w:val="auto"/>
          <w:sz w:val="32"/>
          <w:szCs w:val="32"/>
          <w:highlight w:val="none"/>
        </w:rPr>
        <w:t>养老保险、</w:t>
      </w:r>
      <w:r>
        <w:rPr>
          <w:rFonts w:hint="eastAsia" w:ascii="仿宋" w:hAnsi="仿宋" w:eastAsia="仿宋"/>
          <w:color w:val="auto"/>
          <w:sz w:val="32"/>
          <w:szCs w:val="32"/>
          <w:highlight w:val="none"/>
          <w:lang w:eastAsia="zh-CN"/>
        </w:rPr>
        <w:t>基本</w:t>
      </w:r>
      <w:r>
        <w:rPr>
          <w:rFonts w:hint="eastAsia" w:ascii="仿宋" w:hAnsi="仿宋" w:eastAsia="仿宋"/>
          <w:color w:val="auto"/>
          <w:sz w:val="32"/>
          <w:szCs w:val="32"/>
          <w:highlight w:val="none"/>
        </w:rPr>
        <w:t>医疗保险、其它社会保险、</w:t>
      </w:r>
      <w:r>
        <w:rPr>
          <w:rFonts w:hint="eastAsia" w:ascii="仿宋" w:hAnsi="仿宋" w:eastAsia="仿宋"/>
          <w:color w:val="auto"/>
          <w:sz w:val="32"/>
          <w:szCs w:val="32"/>
          <w:highlight w:val="none"/>
          <w:lang w:eastAsia="zh-CN"/>
        </w:rPr>
        <w:t>住房</w:t>
      </w:r>
      <w:r>
        <w:rPr>
          <w:rFonts w:hint="eastAsia" w:ascii="仿宋" w:hAnsi="仿宋" w:eastAsia="仿宋"/>
          <w:color w:val="auto"/>
          <w:sz w:val="32"/>
          <w:szCs w:val="32"/>
          <w:highlight w:val="none"/>
        </w:rPr>
        <w:t>公积金等基数调整</w:t>
      </w:r>
      <w:r>
        <w:rPr>
          <w:rFonts w:hint="eastAsia" w:ascii="仿宋" w:hAnsi="仿宋" w:eastAsia="仿宋"/>
          <w:color w:val="auto"/>
          <w:sz w:val="32"/>
          <w:szCs w:val="32"/>
          <w:highlight w:val="none"/>
          <w:lang w:eastAsia="zh-CN"/>
        </w:rPr>
        <w:t>导致</w:t>
      </w:r>
      <w:r>
        <w:rPr>
          <w:rFonts w:hint="eastAsia" w:ascii="仿宋" w:hAnsi="仿宋" w:eastAsia="仿宋"/>
          <w:color w:val="auto"/>
          <w:sz w:val="32"/>
          <w:szCs w:val="32"/>
          <w:highlight w:val="none"/>
        </w:rPr>
        <w:t>人员经费上浮。</w:t>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drawing>
          <wp:anchor distT="0" distB="0" distL="114300" distR="114300" simplePos="0" relativeHeight="251659264" behindDoc="0" locked="0" layoutInCell="1" allowOverlap="1">
            <wp:simplePos x="0" y="0"/>
            <wp:positionH relativeFrom="column">
              <wp:posOffset>-221615</wp:posOffset>
            </wp:positionH>
            <wp:positionV relativeFrom="paragraph">
              <wp:posOffset>68580</wp:posOffset>
            </wp:positionV>
            <wp:extent cx="5652135" cy="3573145"/>
            <wp:effectExtent l="0" t="0" r="5715" b="8255"/>
            <wp:wrapTopAndBottom/>
            <wp:docPr id="2" name="图片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捕获"/>
                    <pic:cNvPicPr>
                      <a:picLocks noChangeAspect="1"/>
                    </pic:cNvPicPr>
                  </pic:nvPicPr>
                  <pic:blipFill>
                    <a:blip r:embed="rId6"/>
                    <a:stretch>
                      <a:fillRect/>
                    </a:stretch>
                  </pic:blipFill>
                  <pic:spPr>
                    <a:xfrm>
                      <a:off x="0" y="0"/>
                      <a:ext cx="5652135" cy="3573145"/>
                    </a:xfrm>
                    <a:prstGeom prst="rect">
                      <a:avLst/>
                    </a:prstGeom>
                  </pic:spPr>
                </pic:pic>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3"/>
        <w:ind w:firstLine="640" w:firstLineChars="200"/>
        <w:rPr>
          <w:color w:val="auto"/>
          <w:highlight w:val="none"/>
        </w:rPr>
      </w:pPr>
      <w:bookmarkStart w:id="29" w:name="_Toc15396604"/>
      <w:bookmarkStart w:id="30" w:name="_Toc143698079"/>
      <w:bookmarkStart w:id="31" w:name="_Toc15377206"/>
      <w:r>
        <w:rPr>
          <w:rFonts w:hint="eastAsia" w:ascii="黑体" w:hAnsi="黑体" w:eastAsia="黑体"/>
          <w:b w:val="0"/>
          <w:color w:val="auto"/>
          <w:highlight w:val="none"/>
        </w:rPr>
        <w:t>二、收入决算情况说明</w:t>
      </w:r>
      <w:bookmarkEnd w:id="29"/>
      <w:bookmarkEnd w:id="30"/>
      <w:bookmarkEnd w:id="31"/>
    </w:p>
    <w:p>
      <w:pPr>
        <w:spacing w:line="600" w:lineRule="exact"/>
        <w:ind w:firstLine="640" w:firstLineChars="200"/>
        <w:outlineLvl w:val="1"/>
        <w:rPr>
          <w:rFonts w:ascii="仿宋" w:hAnsi="仿宋" w:eastAsia="仿宋"/>
          <w:color w:val="auto"/>
          <w:sz w:val="32"/>
          <w:szCs w:val="32"/>
          <w:highlight w:val="none"/>
        </w:rPr>
      </w:pPr>
      <w:bookmarkStart w:id="32" w:name="_Toc143698080"/>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114.48</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114.48</w:t>
      </w:r>
      <w:r>
        <w:rPr>
          <w:rFonts w:hint="eastAsia" w:ascii="仿宋" w:hAnsi="仿宋" w:eastAsia="仿宋"/>
          <w:color w:val="auto"/>
          <w:sz w:val="32"/>
          <w:szCs w:val="32"/>
          <w:highlight w:val="none"/>
        </w:rPr>
        <w:t>万元，占100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；国有资本经营预算财政拨款收入0万元，占0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2"/>
    </w:p>
    <w:p>
      <w:pPr>
        <w:spacing w:line="240" w:lineRule="auto"/>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drawing>
          <wp:inline distT="0" distB="0" distL="114300" distR="114300">
            <wp:extent cx="4695825" cy="3257550"/>
            <wp:effectExtent l="0" t="0" r="9525" b="0"/>
            <wp:docPr id="11" name="图片 11" descr="捕获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捕获7"/>
                    <pic:cNvPicPr>
                      <a:picLocks noChangeAspect="1"/>
                    </pic:cNvPicPr>
                  </pic:nvPicPr>
                  <pic:blipFill>
                    <a:blip r:embed="rId7"/>
                    <a:stretch>
                      <a:fillRect/>
                    </a:stretch>
                  </pic:blipFill>
                  <pic:spPr>
                    <a:xfrm>
                      <a:off x="0" y="0"/>
                      <a:ext cx="4695825" cy="3257550"/>
                    </a:xfrm>
                    <a:prstGeom prst="rect">
                      <a:avLst/>
                    </a:prstGeom>
                  </pic:spPr>
                </pic:pic>
              </a:graphicData>
            </a:graphic>
          </wp:inline>
        </w:drawing>
      </w:r>
      <w:r>
        <w:rPr>
          <w:rFonts w:hint="eastAsia" w:ascii="仿宋" w:hAnsi="仿宋" w:eastAsia="仿宋"/>
          <w:color w:val="auto"/>
          <w:sz w:val="32"/>
          <w:szCs w:val="32"/>
          <w:highlight w:val="none"/>
        </w:rPr>
        <w:t>（图2：收入决算结构图）</w:t>
      </w:r>
      <w:bookmarkStart w:id="33" w:name="_Toc15396605"/>
      <w:bookmarkStart w:id="34" w:name="_Toc15377207"/>
    </w:p>
    <w:p>
      <w:pPr>
        <w:pStyle w:val="3"/>
        <w:tabs>
          <w:tab w:val="left" w:pos="6953"/>
        </w:tabs>
        <w:ind w:firstLine="640" w:firstLineChars="200"/>
        <w:rPr>
          <w:rFonts w:hint="eastAsia" w:ascii="黑体" w:eastAsia="黑体"/>
          <w:b w:val="0"/>
          <w:color w:val="auto"/>
          <w:highlight w:val="none"/>
          <w:lang w:eastAsia="zh-CN"/>
        </w:rPr>
      </w:pPr>
      <w:bookmarkStart w:id="35" w:name="_Toc143698081"/>
      <w:r>
        <w:rPr>
          <w:rFonts w:hint="eastAsia" w:ascii="黑体" w:eastAsia="黑体"/>
          <w:b w:val="0"/>
          <w:color w:val="auto"/>
          <w:highlight w:val="none"/>
        </w:rPr>
        <w:t>三、支出决算情况说明</w:t>
      </w:r>
      <w:bookmarkEnd w:id="33"/>
      <w:bookmarkEnd w:id="34"/>
      <w:bookmarkEnd w:id="35"/>
      <w:r>
        <w:rPr>
          <w:rFonts w:hint="eastAsia" w:ascii="黑体" w:eastAsia="黑体"/>
          <w:b w:val="0"/>
          <w:color w:val="auto"/>
          <w:highlight w:val="none"/>
          <w:lang w:eastAsia="zh-CN"/>
        </w:rPr>
        <w:tab/>
      </w:r>
    </w:p>
    <w:p>
      <w:pPr>
        <w:spacing w:line="600" w:lineRule="exact"/>
        <w:ind w:firstLine="640" w:firstLineChars="200"/>
        <w:outlineLvl w:val="1"/>
        <w:rPr>
          <w:rFonts w:ascii="仿宋" w:hAnsi="仿宋" w:eastAsia="仿宋"/>
          <w:color w:val="auto"/>
          <w:sz w:val="32"/>
          <w:szCs w:val="32"/>
          <w:highlight w:val="none"/>
        </w:rPr>
      </w:pPr>
      <w:bookmarkStart w:id="36" w:name="_Toc143698082"/>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114.48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113.98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99.56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0.44</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6"/>
    </w:p>
    <w:p>
      <w:pPr>
        <w:spacing w:line="600" w:lineRule="exact"/>
        <w:ind w:firstLine="640"/>
        <w:rPr>
          <w:rFonts w:ascii="仿宋" w:hAnsi="仿宋" w:eastAsia="仿宋"/>
          <w:color w:val="auto"/>
          <w:sz w:val="32"/>
          <w:szCs w:val="32"/>
          <w:highlight w:val="none"/>
          <w:shd w:val="pct10" w:color="auto" w:fill="FFFFFF"/>
        </w:rPr>
      </w:pPr>
    </w:p>
    <w:p>
      <w:pPr>
        <w:spacing w:line="240" w:lineRule="auto"/>
        <w:ind w:firstLine="1440" w:firstLineChars="450"/>
        <w:rPr>
          <w:rFonts w:hint="eastAsia" w:ascii="仿宋" w:hAnsi="仿宋" w:eastAsia="仿宋"/>
          <w:color w:val="auto"/>
          <w:sz w:val="32"/>
          <w:szCs w:val="32"/>
          <w:highlight w:val="none"/>
        </w:rPr>
      </w:pPr>
    </w:p>
    <w:p>
      <w:pPr>
        <w:spacing w:line="240" w:lineRule="auto"/>
        <w:ind w:firstLine="1440" w:firstLineChars="450"/>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drawing>
          <wp:anchor distT="0" distB="0" distL="114300" distR="114300" simplePos="0" relativeHeight="251661312" behindDoc="0" locked="0" layoutInCell="1" allowOverlap="1">
            <wp:simplePos x="0" y="0"/>
            <wp:positionH relativeFrom="column">
              <wp:posOffset>285750</wp:posOffset>
            </wp:positionH>
            <wp:positionV relativeFrom="paragraph">
              <wp:posOffset>11430</wp:posOffset>
            </wp:positionV>
            <wp:extent cx="4648200" cy="3476625"/>
            <wp:effectExtent l="0" t="0" r="0" b="9525"/>
            <wp:wrapTopAndBottom/>
            <wp:docPr id="12" name="图片 12" descr="捕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捕获2"/>
                    <pic:cNvPicPr>
                      <a:picLocks noChangeAspect="1"/>
                    </pic:cNvPicPr>
                  </pic:nvPicPr>
                  <pic:blipFill>
                    <a:blip r:embed="rId8"/>
                    <a:stretch>
                      <a:fillRect/>
                    </a:stretch>
                  </pic:blipFill>
                  <pic:spPr>
                    <a:xfrm>
                      <a:off x="0" y="0"/>
                      <a:ext cx="4648200" cy="3476625"/>
                    </a:xfrm>
                    <a:prstGeom prst="rect">
                      <a:avLst/>
                    </a:prstGeom>
                  </pic:spPr>
                </pic:pic>
              </a:graphicData>
            </a:graphic>
          </wp:anchor>
        </w:drawing>
      </w:r>
      <w:r>
        <w:rPr>
          <w:rFonts w:hint="eastAsia" w:ascii="仿宋" w:hAnsi="仿宋" w:eastAsia="仿宋"/>
          <w:color w:val="auto"/>
          <w:sz w:val="32"/>
          <w:szCs w:val="32"/>
          <w:highlight w:val="none"/>
        </w:rPr>
        <w:t>（图3：支出决算结构图）</w:t>
      </w:r>
      <w:bookmarkStart w:id="37" w:name="_Toc15396606"/>
      <w:bookmarkStart w:id="38" w:name="_Toc15377208"/>
    </w:p>
    <w:p>
      <w:pPr>
        <w:pStyle w:val="3"/>
        <w:ind w:firstLine="640" w:firstLineChars="200"/>
        <w:rPr>
          <w:rFonts w:ascii="黑体" w:eastAsia="黑体"/>
          <w:b w:val="0"/>
          <w:color w:val="auto"/>
          <w:highlight w:val="none"/>
        </w:rPr>
      </w:pPr>
      <w:bookmarkStart w:id="39" w:name="_Toc143698083"/>
      <w:r>
        <w:rPr>
          <w:rFonts w:hint="eastAsia" w:ascii="黑体" w:eastAsia="黑体"/>
          <w:b w:val="0"/>
          <w:color w:val="auto"/>
          <w:highlight w:val="none"/>
        </w:rPr>
        <w:t>四、财政拨款收入支出决算总体情况说明</w:t>
      </w:r>
      <w:bookmarkEnd w:id="37"/>
      <w:bookmarkEnd w:id="38"/>
      <w:bookmarkEnd w:id="39"/>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114.48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8.22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同比</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7.74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职工</w:t>
      </w:r>
      <w:r>
        <w:rPr>
          <w:rFonts w:hint="eastAsia" w:ascii="仿宋" w:hAnsi="仿宋" w:eastAsia="仿宋"/>
          <w:color w:val="auto"/>
          <w:sz w:val="32"/>
          <w:szCs w:val="32"/>
          <w:highlight w:val="none"/>
          <w:lang w:eastAsia="zh-CN"/>
        </w:rPr>
        <w:t>基本</w:t>
      </w:r>
      <w:r>
        <w:rPr>
          <w:rFonts w:hint="eastAsia" w:ascii="仿宋" w:hAnsi="仿宋" w:eastAsia="仿宋"/>
          <w:color w:val="auto"/>
          <w:sz w:val="32"/>
          <w:szCs w:val="32"/>
          <w:highlight w:val="none"/>
        </w:rPr>
        <w:t>养老保险、</w:t>
      </w:r>
      <w:r>
        <w:rPr>
          <w:rFonts w:hint="eastAsia" w:ascii="仿宋" w:hAnsi="仿宋" w:eastAsia="仿宋"/>
          <w:color w:val="auto"/>
          <w:sz w:val="32"/>
          <w:szCs w:val="32"/>
          <w:highlight w:val="none"/>
          <w:lang w:eastAsia="zh-CN"/>
        </w:rPr>
        <w:t>基本</w:t>
      </w:r>
      <w:r>
        <w:rPr>
          <w:rFonts w:hint="eastAsia" w:ascii="仿宋" w:hAnsi="仿宋" w:eastAsia="仿宋"/>
          <w:color w:val="auto"/>
          <w:sz w:val="32"/>
          <w:szCs w:val="32"/>
          <w:highlight w:val="none"/>
        </w:rPr>
        <w:t>医疗保险、其它社会保险、</w:t>
      </w:r>
      <w:r>
        <w:rPr>
          <w:rFonts w:hint="eastAsia" w:ascii="仿宋" w:hAnsi="仿宋" w:eastAsia="仿宋"/>
          <w:color w:val="auto"/>
          <w:sz w:val="32"/>
          <w:szCs w:val="32"/>
          <w:highlight w:val="none"/>
          <w:lang w:eastAsia="zh-CN"/>
        </w:rPr>
        <w:t>住房</w:t>
      </w:r>
      <w:r>
        <w:rPr>
          <w:rFonts w:hint="eastAsia" w:ascii="仿宋" w:hAnsi="仿宋" w:eastAsia="仿宋"/>
          <w:color w:val="auto"/>
          <w:sz w:val="32"/>
          <w:szCs w:val="32"/>
          <w:highlight w:val="none"/>
        </w:rPr>
        <w:t>公积金等基数调整</w:t>
      </w:r>
      <w:r>
        <w:rPr>
          <w:rFonts w:hint="eastAsia" w:ascii="仿宋" w:hAnsi="仿宋" w:eastAsia="仿宋"/>
          <w:color w:val="auto"/>
          <w:sz w:val="32"/>
          <w:szCs w:val="32"/>
          <w:highlight w:val="none"/>
          <w:lang w:eastAsia="zh-CN"/>
        </w:rPr>
        <w:t>导致</w:t>
      </w:r>
      <w:r>
        <w:rPr>
          <w:rFonts w:hint="eastAsia" w:ascii="仿宋" w:hAnsi="仿宋" w:eastAsia="仿宋"/>
          <w:color w:val="auto"/>
          <w:sz w:val="32"/>
          <w:szCs w:val="32"/>
          <w:highlight w:val="none"/>
        </w:rPr>
        <w:t>人员经费上浮。</w:t>
      </w:r>
    </w:p>
    <w:p>
      <w:pPr>
        <w:spacing w:line="240" w:lineRule="auto"/>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455795" cy="3319145"/>
            <wp:effectExtent l="0" t="0" r="1905" b="14605"/>
            <wp:docPr id="3" name="图片 3" descr="捕获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捕获3"/>
                    <pic:cNvPicPr>
                      <a:picLocks noChangeAspect="1"/>
                    </pic:cNvPicPr>
                  </pic:nvPicPr>
                  <pic:blipFill>
                    <a:blip r:embed="rId9"/>
                    <a:stretch>
                      <a:fillRect/>
                    </a:stretch>
                  </pic:blipFill>
                  <pic:spPr>
                    <a:xfrm>
                      <a:off x="0" y="0"/>
                      <a:ext cx="4455795" cy="3319145"/>
                    </a:xfrm>
                    <a:prstGeom prst="rect">
                      <a:avLst/>
                    </a:prstGeom>
                  </pic:spPr>
                </pic:pic>
              </a:graphicData>
            </a:graphic>
          </wp:inline>
        </w:drawing>
      </w:r>
    </w:p>
    <w:p>
      <w:pPr>
        <w:spacing w:line="600" w:lineRule="exact"/>
        <w:jc w:val="center"/>
        <w:rPr>
          <w:rFonts w:ascii="黑体" w:hAnsi="黑体" w:eastAsia="黑体"/>
          <w:color w:val="auto"/>
          <w:sz w:val="32"/>
          <w:szCs w:val="32"/>
          <w:highlight w:val="none"/>
        </w:rPr>
      </w:pPr>
      <w:r>
        <w:rPr>
          <w:rFonts w:hint="eastAsia" w:ascii="仿宋" w:hAnsi="仿宋" w:eastAsia="仿宋"/>
          <w:color w:val="auto"/>
          <w:sz w:val="32"/>
          <w:szCs w:val="32"/>
          <w:highlight w:val="none"/>
        </w:rPr>
        <w:t>（图4：财政拨款收、支决算总计变动情况）</w:t>
      </w:r>
      <w:bookmarkStart w:id="40" w:name="_Toc15396607"/>
      <w:bookmarkStart w:id="41" w:name="_Toc15377209"/>
    </w:p>
    <w:p>
      <w:pPr>
        <w:pStyle w:val="3"/>
        <w:ind w:firstLine="627" w:firstLineChars="196"/>
        <w:rPr>
          <w:rStyle w:val="12"/>
          <w:rFonts w:ascii="黑体" w:hAnsi="仿宋" w:eastAsia="黑体" w:cs="Times New Roman"/>
          <w:b/>
          <w:bCs/>
          <w:color w:val="auto"/>
          <w:highlight w:val="none"/>
        </w:rPr>
      </w:pPr>
      <w:bookmarkStart w:id="42" w:name="_Toc143698084"/>
      <w:r>
        <w:rPr>
          <w:rFonts w:hint="eastAsia" w:ascii="黑体" w:eastAsia="黑体"/>
          <w:b w:val="0"/>
          <w:color w:val="auto"/>
          <w:highlight w:val="none"/>
        </w:rPr>
        <w:t>五、一般公共预算财政拨款支出决算情况说明</w:t>
      </w:r>
      <w:bookmarkEnd w:id="40"/>
      <w:bookmarkEnd w:id="41"/>
      <w:bookmarkEnd w:id="42"/>
    </w:p>
    <w:p>
      <w:pPr>
        <w:spacing w:line="600" w:lineRule="exact"/>
        <w:ind w:firstLine="642" w:firstLineChars="200"/>
        <w:outlineLvl w:val="2"/>
        <w:rPr>
          <w:rFonts w:ascii="仿宋" w:hAnsi="仿宋" w:eastAsia="仿宋"/>
          <w:b/>
          <w:color w:val="auto"/>
          <w:sz w:val="32"/>
          <w:szCs w:val="32"/>
          <w:highlight w:val="none"/>
        </w:rPr>
      </w:pPr>
      <w:bookmarkStart w:id="43" w:name="_Toc143698085"/>
      <w:bookmarkStart w:id="44" w:name="_Toc15377210"/>
      <w:r>
        <w:rPr>
          <w:rFonts w:hint="eastAsia" w:ascii="仿宋" w:hAnsi="仿宋" w:eastAsia="仿宋"/>
          <w:b/>
          <w:color w:val="auto"/>
          <w:sz w:val="32"/>
          <w:szCs w:val="32"/>
          <w:highlight w:val="none"/>
        </w:rPr>
        <w:t>（一）一般公共预算财政拨款支出决算总体情况</w:t>
      </w:r>
      <w:bookmarkEnd w:id="43"/>
      <w:bookmarkEnd w:id="44"/>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114.48</w:t>
      </w:r>
      <w:r>
        <w:rPr>
          <w:rFonts w:hint="eastAsia" w:ascii="仿宋" w:hAnsi="仿宋" w:eastAsia="仿宋"/>
          <w:color w:val="auto"/>
          <w:sz w:val="32"/>
          <w:szCs w:val="32"/>
          <w:highlight w:val="none"/>
        </w:rPr>
        <w:t>万元，占本年支出合计的100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年相比，一般公共预算财政拨款支出增加</w:t>
      </w:r>
      <w:r>
        <w:rPr>
          <w:rFonts w:hint="eastAsia" w:ascii="仿宋" w:hAnsi="仿宋" w:eastAsia="仿宋"/>
          <w:color w:val="auto"/>
          <w:sz w:val="32"/>
          <w:szCs w:val="32"/>
          <w:highlight w:val="none"/>
          <w:lang w:val="en-US" w:eastAsia="zh-CN"/>
        </w:rPr>
        <w:t>8.22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同比</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7.74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。主要变动原因是年</w:t>
      </w:r>
      <w:r>
        <w:rPr>
          <w:rFonts w:hint="eastAsia" w:ascii="仿宋" w:hAnsi="仿宋" w:eastAsia="仿宋"/>
          <w:color w:val="auto"/>
          <w:sz w:val="32"/>
          <w:szCs w:val="32"/>
          <w:highlight w:val="none"/>
          <w:lang w:eastAsia="zh-CN"/>
        </w:rPr>
        <w:t>度</w:t>
      </w:r>
      <w:r>
        <w:rPr>
          <w:rFonts w:hint="eastAsia" w:ascii="仿宋" w:hAnsi="仿宋" w:eastAsia="仿宋"/>
          <w:color w:val="auto"/>
          <w:sz w:val="32"/>
          <w:szCs w:val="32"/>
          <w:highlight w:val="none"/>
        </w:rPr>
        <w:t>职工</w:t>
      </w:r>
      <w:r>
        <w:rPr>
          <w:rFonts w:hint="eastAsia" w:ascii="仿宋" w:hAnsi="仿宋" w:eastAsia="仿宋"/>
          <w:color w:val="auto"/>
          <w:sz w:val="32"/>
          <w:szCs w:val="32"/>
          <w:highlight w:val="none"/>
          <w:lang w:eastAsia="zh-CN"/>
        </w:rPr>
        <w:t>基本</w:t>
      </w:r>
      <w:r>
        <w:rPr>
          <w:rFonts w:hint="eastAsia" w:ascii="仿宋" w:hAnsi="仿宋" w:eastAsia="仿宋"/>
          <w:color w:val="auto"/>
          <w:sz w:val="32"/>
          <w:szCs w:val="32"/>
          <w:highlight w:val="none"/>
        </w:rPr>
        <w:t>养老保险、</w:t>
      </w:r>
      <w:r>
        <w:rPr>
          <w:rFonts w:hint="eastAsia" w:ascii="仿宋" w:hAnsi="仿宋" w:eastAsia="仿宋"/>
          <w:color w:val="auto"/>
          <w:sz w:val="32"/>
          <w:szCs w:val="32"/>
          <w:highlight w:val="none"/>
          <w:lang w:eastAsia="zh-CN"/>
        </w:rPr>
        <w:t>基本</w:t>
      </w:r>
      <w:r>
        <w:rPr>
          <w:rFonts w:hint="eastAsia" w:ascii="仿宋" w:hAnsi="仿宋" w:eastAsia="仿宋"/>
          <w:color w:val="auto"/>
          <w:sz w:val="32"/>
          <w:szCs w:val="32"/>
          <w:highlight w:val="none"/>
        </w:rPr>
        <w:t>医疗保险、其它社会保险、</w:t>
      </w:r>
      <w:r>
        <w:rPr>
          <w:rFonts w:hint="eastAsia" w:ascii="仿宋" w:hAnsi="仿宋" w:eastAsia="仿宋"/>
          <w:color w:val="auto"/>
          <w:sz w:val="32"/>
          <w:szCs w:val="32"/>
          <w:highlight w:val="none"/>
          <w:lang w:eastAsia="zh-CN"/>
        </w:rPr>
        <w:t>住房</w:t>
      </w:r>
      <w:r>
        <w:rPr>
          <w:rFonts w:hint="eastAsia" w:ascii="仿宋" w:hAnsi="仿宋" w:eastAsia="仿宋"/>
          <w:color w:val="auto"/>
          <w:sz w:val="32"/>
          <w:szCs w:val="32"/>
          <w:highlight w:val="none"/>
        </w:rPr>
        <w:t>公积金等基数调整</w:t>
      </w:r>
      <w:r>
        <w:rPr>
          <w:rFonts w:hint="eastAsia" w:ascii="仿宋" w:hAnsi="仿宋" w:eastAsia="仿宋"/>
          <w:color w:val="auto"/>
          <w:sz w:val="32"/>
          <w:szCs w:val="32"/>
          <w:highlight w:val="none"/>
          <w:lang w:eastAsia="zh-CN"/>
        </w:rPr>
        <w:t>导致</w:t>
      </w:r>
      <w:r>
        <w:rPr>
          <w:rFonts w:hint="eastAsia" w:ascii="仿宋" w:hAnsi="仿宋" w:eastAsia="仿宋"/>
          <w:color w:val="auto"/>
          <w:sz w:val="32"/>
          <w:szCs w:val="32"/>
          <w:highlight w:val="none"/>
        </w:rPr>
        <w:t>人员经费上浮。</w:t>
      </w:r>
    </w:p>
    <w:p>
      <w:pPr>
        <w:spacing w:line="24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drawing>
          <wp:anchor distT="0" distB="0" distL="114300" distR="114300" simplePos="0" relativeHeight="251660288" behindDoc="0" locked="0" layoutInCell="1" allowOverlap="1">
            <wp:simplePos x="0" y="0"/>
            <wp:positionH relativeFrom="column">
              <wp:posOffset>6350</wp:posOffset>
            </wp:positionH>
            <wp:positionV relativeFrom="paragraph">
              <wp:posOffset>81915</wp:posOffset>
            </wp:positionV>
            <wp:extent cx="5210175" cy="3590925"/>
            <wp:effectExtent l="0" t="0" r="9525" b="9525"/>
            <wp:wrapTopAndBottom/>
            <wp:docPr id="5" name="图片 5" descr="捕获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捕获4"/>
                    <pic:cNvPicPr>
                      <a:picLocks noChangeAspect="1"/>
                    </pic:cNvPicPr>
                  </pic:nvPicPr>
                  <pic:blipFill>
                    <a:blip r:embed="rId10"/>
                    <a:stretch>
                      <a:fillRect/>
                    </a:stretch>
                  </pic:blipFill>
                  <pic:spPr>
                    <a:xfrm>
                      <a:off x="0" y="0"/>
                      <a:ext cx="5210175" cy="3590925"/>
                    </a:xfrm>
                    <a:prstGeom prst="rect">
                      <a:avLst/>
                    </a:prstGeom>
                  </pic:spPr>
                </pic:pic>
              </a:graphicData>
            </a:graphic>
          </wp:anchor>
        </w:drawing>
      </w:r>
      <w:r>
        <w:rPr>
          <w:rFonts w:hint="eastAsia" w:ascii="仿宋" w:hAnsi="仿宋" w:eastAsia="仿宋"/>
          <w:color w:val="auto"/>
          <w:sz w:val="32"/>
          <w:szCs w:val="32"/>
          <w:highlight w:val="none"/>
        </w:rPr>
        <w:t>（图5：一般公共预算财政拨款支出决算变动情况）</w:t>
      </w:r>
    </w:p>
    <w:p>
      <w:pPr>
        <w:spacing w:line="600" w:lineRule="exact"/>
        <w:ind w:firstLine="642" w:firstLineChars="200"/>
        <w:outlineLvl w:val="2"/>
        <w:rPr>
          <w:rFonts w:ascii="仿宋" w:hAnsi="仿宋" w:eastAsia="仿宋"/>
          <w:b/>
          <w:color w:val="auto"/>
          <w:sz w:val="32"/>
          <w:szCs w:val="32"/>
          <w:highlight w:val="none"/>
        </w:rPr>
      </w:pPr>
      <w:bookmarkStart w:id="45" w:name="_Toc143698086"/>
      <w:bookmarkStart w:id="46" w:name="_Toc15377211"/>
      <w:r>
        <w:rPr>
          <w:rFonts w:hint="eastAsia" w:ascii="仿宋" w:hAnsi="仿宋" w:eastAsia="仿宋"/>
          <w:b/>
          <w:color w:val="auto"/>
          <w:sz w:val="32"/>
          <w:szCs w:val="32"/>
          <w:highlight w:val="none"/>
        </w:rPr>
        <w:t>（二）一般公共预算财政拨款支出决算结构情况</w:t>
      </w:r>
      <w:bookmarkEnd w:id="45"/>
      <w:bookmarkEnd w:id="46"/>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114.48</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104.36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91.16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eastAsia="zh-CN"/>
        </w:rPr>
        <w:t>卫生健康支出</w:t>
      </w:r>
      <w:r>
        <w:rPr>
          <w:rFonts w:hint="eastAsia" w:ascii="仿宋" w:hAnsi="仿宋" w:eastAsia="仿宋"/>
          <w:color w:val="auto"/>
          <w:sz w:val="32"/>
          <w:szCs w:val="32"/>
          <w:highlight w:val="none"/>
          <w:lang w:val="en-US" w:eastAsia="zh-CN"/>
        </w:rPr>
        <w:t>4.56万元，占3.98%。</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5.57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4.87%</w:t>
      </w:r>
      <w:r>
        <w:rPr>
          <w:rFonts w:hint="eastAsia" w:ascii="仿宋" w:hAnsi="仿宋" w:eastAsia="仿宋"/>
          <w:color w:val="auto"/>
          <w:sz w:val="32"/>
          <w:szCs w:val="32"/>
          <w:highlight w:val="none"/>
        </w:rPr>
        <w:t>。</w:t>
      </w:r>
    </w:p>
    <w:p>
      <w:pPr>
        <w:spacing w:line="240" w:lineRule="auto"/>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drawing>
          <wp:inline distT="0" distB="0" distL="114300" distR="114300">
            <wp:extent cx="3669665" cy="2642235"/>
            <wp:effectExtent l="0" t="0" r="6985" b="5715"/>
            <wp:docPr id="14" name="图片 14" descr="捕获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捕获5"/>
                    <pic:cNvPicPr>
                      <a:picLocks noChangeAspect="1"/>
                    </pic:cNvPicPr>
                  </pic:nvPicPr>
                  <pic:blipFill>
                    <a:blip r:embed="rId11"/>
                    <a:stretch>
                      <a:fillRect/>
                    </a:stretch>
                  </pic:blipFill>
                  <pic:spPr>
                    <a:xfrm>
                      <a:off x="0" y="0"/>
                      <a:ext cx="3669665" cy="2642235"/>
                    </a:xfrm>
                    <a:prstGeom prst="rect">
                      <a:avLst/>
                    </a:prstGeom>
                  </pic:spPr>
                </pic:pic>
              </a:graphicData>
            </a:graphic>
          </wp:inline>
        </w:drawing>
      </w:r>
    </w:p>
    <w:p>
      <w:pPr>
        <w:spacing w:line="24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2" w:firstLineChars="200"/>
        <w:outlineLvl w:val="2"/>
        <w:rPr>
          <w:rFonts w:ascii="仿宋" w:hAnsi="仿宋" w:eastAsia="仿宋"/>
          <w:b/>
          <w:color w:val="auto"/>
          <w:sz w:val="32"/>
          <w:szCs w:val="32"/>
          <w:highlight w:val="none"/>
        </w:rPr>
      </w:pPr>
      <w:bookmarkStart w:id="47" w:name="_Toc15377212"/>
      <w:bookmarkStart w:id="48" w:name="_Toc143698087"/>
      <w:r>
        <w:rPr>
          <w:rFonts w:hint="eastAsia" w:ascii="仿宋" w:hAnsi="仿宋" w:eastAsia="仿宋"/>
          <w:b/>
          <w:color w:val="auto"/>
          <w:sz w:val="32"/>
          <w:szCs w:val="32"/>
          <w:highlight w:val="none"/>
        </w:rPr>
        <w:t>（三）一般公共预算财政拨款支出决算具体情况</w:t>
      </w:r>
      <w:bookmarkEnd w:id="47"/>
      <w:bookmarkEnd w:id="48"/>
    </w:p>
    <w:p>
      <w:pPr>
        <w:spacing w:line="600" w:lineRule="exact"/>
        <w:ind w:firstLine="642" w:firstLineChars="200"/>
        <w:outlineLvl w:val="2"/>
        <w:rPr>
          <w:rFonts w:ascii="仿宋" w:hAnsi="仿宋" w:eastAsia="仿宋"/>
          <w:color w:val="auto"/>
          <w:sz w:val="32"/>
          <w:szCs w:val="32"/>
          <w:highlight w:val="none"/>
        </w:rPr>
      </w:pPr>
      <w:bookmarkStart w:id="49" w:name="_Toc15378460"/>
      <w:bookmarkStart w:id="50" w:name="_Toc15377213"/>
      <w:bookmarkStart w:id="51" w:name="_Toc15377444"/>
      <w:bookmarkStart w:id="52" w:name="_Toc143698088"/>
      <w:r>
        <w:rPr>
          <w:rFonts w:hint="eastAsia" w:ascii="仿宋" w:hAnsi="仿宋" w:eastAsia="仿宋"/>
          <w:b/>
          <w:color w:val="auto"/>
          <w:sz w:val="32"/>
          <w:szCs w:val="32"/>
          <w:highlight w:val="none"/>
        </w:rPr>
        <w:t>202</w:t>
      </w:r>
      <w:r>
        <w:rPr>
          <w:rFonts w:hint="eastAsia" w:ascii="仿宋" w:hAnsi="仿宋" w:eastAsia="仿宋"/>
          <w:b/>
          <w:color w:val="auto"/>
          <w:sz w:val="32"/>
          <w:szCs w:val="32"/>
          <w:highlight w:val="none"/>
          <w:lang w:val="en-US" w:eastAsia="zh-CN"/>
        </w:rPr>
        <w:t>3</w:t>
      </w:r>
      <w:r>
        <w:rPr>
          <w:rFonts w:hint="eastAsia" w:ascii="仿宋" w:hAnsi="仿宋" w:eastAsia="仿宋"/>
          <w:b/>
          <w:color w:val="auto"/>
          <w:sz w:val="32"/>
          <w:szCs w:val="32"/>
          <w:highlight w:val="none"/>
        </w:rPr>
        <w:t>年一般公共预算支出决算数为</w:t>
      </w:r>
      <w:r>
        <w:rPr>
          <w:rFonts w:hint="eastAsia" w:ascii="仿宋" w:hAnsi="仿宋" w:eastAsia="仿宋"/>
          <w:b/>
          <w:color w:val="auto"/>
          <w:sz w:val="32"/>
          <w:szCs w:val="32"/>
          <w:highlight w:val="none"/>
          <w:lang w:val="en-US" w:eastAsia="zh-CN"/>
        </w:rPr>
        <w:t>114.48</w:t>
      </w:r>
      <w:r>
        <w:rPr>
          <w:rFonts w:hint="eastAsia" w:ascii="仿宋" w:hAnsi="仿宋" w:eastAsia="仿宋"/>
          <w:b/>
          <w:color w:val="auto"/>
          <w:sz w:val="32"/>
          <w:szCs w:val="32"/>
          <w:highlight w:val="none"/>
          <w:lang w:eastAsia="zh-CN"/>
        </w:rPr>
        <w:t>万元</w:t>
      </w:r>
      <w:r>
        <w:rPr>
          <w:rFonts w:hint="eastAsia" w:ascii="仿宋" w:hAnsi="仿宋" w:eastAsia="仿宋"/>
          <w:color w:val="auto"/>
          <w:sz w:val="32"/>
          <w:szCs w:val="32"/>
          <w:highlight w:val="none"/>
        </w:rPr>
        <w:t>，</w:t>
      </w:r>
      <w:r>
        <w:rPr>
          <w:rStyle w:val="10"/>
          <w:rFonts w:hint="eastAsia" w:ascii="仿宋" w:hAnsi="仿宋" w:eastAsia="仿宋"/>
          <w:bCs/>
          <w:color w:val="auto"/>
          <w:sz w:val="32"/>
          <w:szCs w:val="32"/>
          <w:highlight w:val="none"/>
        </w:rPr>
        <w:t>完成预算100</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。其中：</w:t>
      </w:r>
      <w:bookmarkEnd w:id="49"/>
      <w:bookmarkEnd w:id="50"/>
      <w:bookmarkEnd w:id="51"/>
      <w:bookmarkEnd w:id="52"/>
    </w:p>
    <w:p>
      <w:pPr>
        <w:spacing w:line="600" w:lineRule="exact"/>
        <w:ind w:firstLine="642" w:firstLineChars="200"/>
        <w:rPr>
          <w:rStyle w:val="10"/>
          <w:rFonts w:ascii="仿宋" w:hAnsi="仿宋" w:eastAsia="仿宋"/>
          <w:b w:val="0"/>
          <w:bCs/>
          <w:color w:val="auto"/>
          <w:sz w:val="32"/>
          <w:szCs w:val="32"/>
          <w:highlight w:val="none"/>
        </w:rPr>
      </w:pPr>
      <w:r>
        <w:rPr>
          <w:rStyle w:val="10"/>
          <w:rFonts w:hint="eastAsia" w:ascii="仿宋" w:hAnsi="仿宋" w:eastAsia="仿宋"/>
          <w:bCs/>
          <w:color w:val="auto"/>
          <w:sz w:val="32"/>
          <w:szCs w:val="32"/>
          <w:highlight w:val="none"/>
        </w:rPr>
        <w:t>1</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社会保障和就业（类）人力资源和社会保障管理事务（款）劳动人事争议调解仲裁（项）</w:t>
      </w:r>
      <w:r>
        <w:rPr>
          <w:rStyle w:val="10"/>
          <w:rFonts w:ascii="仿宋" w:hAnsi="仿宋" w:eastAsia="仿宋"/>
          <w:bCs/>
          <w:color w:val="auto"/>
          <w:sz w:val="32"/>
          <w:szCs w:val="32"/>
          <w:highlight w:val="none"/>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76.62</w:t>
      </w:r>
      <w:r>
        <w:rPr>
          <w:rStyle w:val="10"/>
          <w:rFonts w:hint="eastAsia" w:ascii="仿宋" w:hAnsi="仿宋" w:eastAsia="仿宋"/>
          <w:b w:val="0"/>
          <w:bCs/>
          <w:color w:val="auto"/>
          <w:sz w:val="32"/>
          <w:szCs w:val="32"/>
          <w:highlight w:val="none"/>
        </w:rPr>
        <w:t>万元，完成预算100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p>
    <w:p>
      <w:pPr>
        <w:spacing w:line="600" w:lineRule="exact"/>
        <w:ind w:firstLine="642" w:firstLineChars="200"/>
        <w:rPr>
          <w:rStyle w:val="10"/>
          <w:rFonts w:hint="eastAsia" w:ascii="仿宋" w:hAnsi="仿宋" w:eastAsia="仿宋"/>
          <w:b w:val="0"/>
          <w:bCs/>
          <w:color w:val="auto"/>
          <w:sz w:val="32"/>
          <w:szCs w:val="32"/>
          <w:highlight w:val="none"/>
        </w:rPr>
      </w:pPr>
      <w:r>
        <w:rPr>
          <w:rStyle w:val="10"/>
          <w:rFonts w:hint="eastAsia" w:ascii="仿宋" w:hAnsi="仿宋" w:eastAsia="仿宋"/>
          <w:bCs/>
          <w:color w:val="auto"/>
          <w:sz w:val="32"/>
          <w:szCs w:val="32"/>
          <w:highlight w:val="none"/>
        </w:rPr>
        <w:t>2.社会保障和就业（类）行政事业单位养老支出（款）事业单位离退休（项）</w:t>
      </w:r>
      <w:r>
        <w:rPr>
          <w:rStyle w:val="10"/>
          <w:rFonts w:ascii="仿宋" w:hAnsi="仿宋" w:eastAsia="仿宋"/>
          <w:bCs/>
          <w:color w:val="auto"/>
          <w:sz w:val="32"/>
          <w:szCs w:val="32"/>
          <w:highlight w:val="none"/>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9.69</w:t>
      </w:r>
      <w:r>
        <w:rPr>
          <w:rStyle w:val="10"/>
          <w:rFonts w:hint="eastAsia" w:ascii="仿宋" w:hAnsi="仿宋" w:eastAsia="仿宋"/>
          <w:b w:val="0"/>
          <w:bCs/>
          <w:color w:val="auto"/>
          <w:sz w:val="32"/>
          <w:szCs w:val="32"/>
          <w:highlight w:val="none"/>
        </w:rPr>
        <w:t>万元，完成预算100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p>
    <w:p>
      <w:pPr>
        <w:spacing w:line="600" w:lineRule="exact"/>
        <w:ind w:firstLine="642" w:firstLineChars="200"/>
        <w:rPr>
          <w:rStyle w:val="10"/>
          <w:rFonts w:hint="eastAsia" w:ascii="仿宋" w:hAnsi="仿宋" w:eastAsia="仿宋"/>
          <w:b w:val="0"/>
          <w:bCs/>
          <w:color w:val="auto"/>
          <w:sz w:val="32"/>
          <w:szCs w:val="32"/>
          <w:highlight w:val="none"/>
        </w:rPr>
      </w:pPr>
      <w:r>
        <w:rPr>
          <w:rStyle w:val="10"/>
          <w:rFonts w:hint="eastAsia" w:ascii="仿宋" w:hAnsi="仿宋" w:eastAsia="仿宋"/>
          <w:bCs/>
          <w:color w:val="auto"/>
          <w:sz w:val="32"/>
          <w:szCs w:val="32"/>
          <w:highlight w:val="none"/>
        </w:rPr>
        <w:t>3.社会保障和就业（类）行政事业单位养老支出（款）</w:t>
      </w:r>
      <w:r>
        <w:rPr>
          <w:rStyle w:val="10"/>
          <w:rFonts w:hint="eastAsia" w:ascii="仿宋" w:hAnsi="仿宋" w:eastAsia="仿宋"/>
          <w:bCs/>
          <w:color w:val="auto"/>
          <w:sz w:val="32"/>
          <w:szCs w:val="32"/>
          <w:highlight w:val="none"/>
          <w:lang w:eastAsia="zh-CN"/>
        </w:rPr>
        <w:t>机关事业单位基本养老保险缴费支出</w:t>
      </w:r>
      <w:r>
        <w:rPr>
          <w:rStyle w:val="10"/>
          <w:rFonts w:hint="eastAsia" w:ascii="仿宋" w:hAnsi="仿宋" w:eastAsia="仿宋"/>
          <w:bCs/>
          <w:color w:val="auto"/>
          <w:sz w:val="32"/>
          <w:szCs w:val="32"/>
          <w:highlight w:val="none"/>
        </w:rPr>
        <w:t>（项）</w:t>
      </w:r>
      <w:r>
        <w:rPr>
          <w:rStyle w:val="10"/>
          <w:rFonts w:ascii="仿宋" w:hAnsi="仿宋" w:eastAsia="仿宋"/>
          <w:bCs/>
          <w:color w:val="auto"/>
          <w:sz w:val="32"/>
          <w:szCs w:val="32"/>
          <w:highlight w:val="none"/>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9.04</w:t>
      </w:r>
      <w:r>
        <w:rPr>
          <w:rStyle w:val="10"/>
          <w:rFonts w:hint="eastAsia" w:ascii="仿宋" w:hAnsi="仿宋" w:eastAsia="仿宋"/>
          <w:b w:val="0"/>
          <w:bCs/>
          <w:color w:val="auto"/>
          <w:sz w:val="32"/>
          <w:szCs w:val="32"/>
          <w:highlight w:val="none"/>
        </w:rPr>
        <w:t>万元，完成预算100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p>
    <w:p>
      <w:pPr>
        <w:spacing w:line="600" w:lineRule="exact"/>
        <w:ind w:firstLine="642" w:firstLineChars="200"/>
        <w:rPr>
          <w:rStyle w:val="10"/>
          <w:rFonts w:hint="eastAsia" w:ascii="仿宋" w:hAnsi="仿宋" w:eastAsia="仿宋"/>
          <w:b w:val="0"/>
          <w:bCs/>
          <w:color w:val="auto"/>
          <w:sz w:val="32"/>
          <w:szCs w:val="32"/>
          <w:highlight w:val="none"/>
        </w:rPr>
      </w:pPr>
      <w:r>
        <w:rPr>
          <w:rStyle w:val="10"/>
          <w:rFonts w:hint="eastAsia" w:ascii="仿宋" w:hAnsi="仿宋" w:eastAsia="仿宋"/>
          <w:bCs/>
          <w:color w:val="auto"/>
          <w:sz w:val="32"/>
          <w:szCs w:val="32"/>
          <w:highlight w:val="none"/>
          <w:lang w:val="en-US" w:eastAsia="zh-CN"/>
        </w:rPr>
        <w:t>4</w:t>
      </w:r>
      <w:r>
        <w:rPr>
          <w:rStyle w:val="10"/>
          <w:rFonts w:hint="eastAsia" w:ascii="仿宋" w:hAnsi="仿宋" w:eastAsia="仿宋"/>
          <w:bCs/>
          <w:color w:val="auto"/>
          <w:sz w:val="32"/>
          <w:szCs w:val="32"/>
          <w:highlight w:val="none"/>
        </w:rPr>
        <w:t>.社会保障和就业（类）行政事业单位养老支出（款）</w:t>
      </w:r>
      <w:r>
        <w:rPr>
          <w:rStyle w:val="10"/>
          <w:rFonts w:hint="eastAsia" w:ascii="仿宋" w:hAnsi="仿宋" w:eastAsia="仿宋"/>
          <w:bCs/>
          <w:color w:val="auto"/>
          <w:sz w:val="32"/>
          <w:szCs w:val="32"/>
          <w:highlight w:val="none"/>
          <w:lang w:eastAsia="zh-CN"/>
        </w:rPr>
        <w:t>机关事业单位职业年金缴费支出</w:t>
      </w:r>
      <w:r>
        <w:rPr>
          <w:rStyle w:val="10"/>
          <w:rFonts w:hint="eastAsia" w:ascii="仿宋" w:hAnsi="仿宋" w:eastAsia="仿宋"/>
          <w:bCs/>
          <w:color w:val="auto"/>
          <w:sz w:val="32"/>
          <w:szCs w:val="32"/>
          <w:highlight w:val="none"/>
        </w:rPr>
        <w:t>（项）</w:t>
      </w:r>
      <w:r>
        <w:rPr>
          <w:rStyle w:val="10"/>
          <w:rFonts w:ascii="仿宋" w:hAnsi="仿宋" w:eastAsia="仿宋"/>
          <w:bCs/>
          <w:color w:val="auto"/>
          <w:sz w:val="32"/>
          <w:szCs w:val="32"/>
          <w:highlight w:val="none"/>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9</w:t>
      </w:r>
      <w:r>
        <w:rPr>
          <w:rStyle w:val="10"/>
          <w:rFonts w:hint="eastAsia" w:ascii="仿宋" w:hAnsi="仿宋" w:eastAsia="仿宋"/>
          <w:b w:val="0"/>
          <w:bCs/>
          <w:color w:val="auto"/>
          <w:sz w:val="32"/>
          <w:szCs w:val="32"/>
          <w:highlight w:val="none"/>
        </w:rPr>
        <w:t>万元，完成预算100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p>
    <w:p>
      <w:pPr>
        <w:spacing w:line="600" w:lineRule="exact"/>
        <w:ind w:firstLine="642" w:firstLineChars="200"/>
        <w:rPr>
          <w:rStyle w:val="10"/>
          <w:rFonts w:ascii="仿宋" w:hAnsi="仿宋" w:eastAsia="仿宋"/>
          <w:b w:val="0"/>
          <w:bCs/>
          <w:color w:val="auto"/>
          <w:sz w:val="32"/>
          <w:szCs w:val="32"/>
          <w:highlight w:val="none"/>
        </w:rPr>
      </w:pPr>
      <w:r>
        <w:rPr>
          <w:rStyle w:val="10"/>
          <w:rFonts w:hint="eastAsia" w:ascii="仿宋" w:hAnsi="仿宋" w:eastAsia="仿宋"/>
          <w:bCs/>
          <w:color w:val="auto"/>
          <w:sz w:val="32"/>
          <w:szCs w:val="32"/>
          <w:highlight w:val="none"/>
          <w:lang w:val="en-US" w:eastAsia="zh-CN"/>
        </w:rPr>
        <w:t>5</w:t>
      </w:r>
      <w:r>
        <w:rPr>
          <w:rStyle w:val="10"/>
          <w:rFonts w:hint="eastAsia" w:ascii="仿宋" w:hAnsi="仿宋" w:eastAsia="仿宋"/>
          <w:bCs/>
          <w:color w:val="auto"/>
          <w:sz w:val="32"/>
          <w:szCs w:val="32"/>
          <w:highlight w:val="none"/>
        </w:rPr>
        <w:t>.</w:t>
      </w:r>
      <w:r>
        <w:rPr>
          <w:rStyle w:val="10"/>
          <w:rFonts w:hint="eastAsia" w:ascii="仿宋" w:hAnsi="仿宋" w:eastAsia="仿宋"/>
          <w:bCs/>
          <w:color w:val="auto"/>
          <w:sz w:val="32"/>
          <w:szCs w:val="32"/>
          <w:highlight w:val="none"/>
          <w:lang w:eastAsia="zh-CN"/>
        </w:rPr>
        <w:t>卫生健康支出</w:t>
      </w:r>
      <w:r>
        <w:rPr>
          <w:rStyle w:val="10"/>
          <w:rFonts w:hint="eastAsia" w:ascii="仿宋" w:hAnsi="仿宋" w:eastAsia="仿宋"/>
          <w:bCs/>
          <w:color w:val="auto"/>
          <w:sz w:val="32"/>
          <w:szCs w:val="32"/>
          <w:highlight w:val="none"/>
        </w:rPr>
        <w:t>（类）</w:t>
      </w:r>
      <w:r>
        <w:rPr>
          <w:rStyle w:val="10"/>
          <w:rFonts w:hint="eastAsia" w:ascii="仿宋" w:hAnsi="仿宋" w:eastAsia="仿宋"/>
          <w:bCs/>
          <w:color w:val="auto"/>
          <w:sz w:val="32"/>
          <w:szCs w:val="32"/>
          <w:highlight w:val="none"/>
          <w:lang w:eastAsia="zh-CN"/>
        </w:rPr>
        <w:t>行政事业单位医疗</w:t>
      </w:r>
      <w:r>
        <w:rPr>
          <w:rStyle w:val="10"/>
          <w:rFonts w:hint="eastAsia" w:ascii="仿宋" w:hAnsi="仿宋" w:eastAsia="仿宋"/>
          <w:bCs/>
          <w:color w:val="auto"/>
          <w:sz w:val="32"/>
          <w:szCs w:val="32"/>
          <w:highlight w:val="none"/>
        </w:rPr>
        <w:t>（款）</w:t>
      </w:r>
      <w:r>
        <w:rPr>
          <w:rStyle w:val="10"/>
          <w:rFonts w:hint="eastAsia" w:ascii="仿宋" w:hAnsi="仿宋" w:eastAsia="仿宋"/>
          <w:bCs/>
          <w:color w:val="auto"/>
          <w:sz w:val="32"/>
          <w:szCs w:val="32"/>
          <w:highlight w:val="none"/>
          <w:lang w:eastAsia="zh-CN"/>
        </w:rPr>
        <w:t>事业单位医疗</w:t>
      </w:r>
      <w:r>
        <w:rPr>
          <w:rStyle w:val="10"/>
          <w:rFonts w:hint="eastAsia" w:ascii="仿宋" w:hAnsi="仿宋" w:eastAsia="仿宋"/>
          <w:bCs/>
          <w:color w:val="auto"/>
          <w:sz w:val="32"/>
          <w:szCs w:val="32"/>
          <w:highlight w:val="none"/>
        </w:rPr>
        <w:t>支出（项）</w:t>
      </w:r>
      <w:r>
        <w:rPr>
          <w:rStyle w:val="10"/>
          <w:rFonts w:ascii="仿宋" w:hAnsi="仿宋" w:eastAsia="仿宋"/>
          <w:bCs/>
          <w:color w:val="auto"/>
          <w:sz w:val="32"/>
          <w:szCs w:val="32"/>
          <w:highlight w:val="none"/>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4.56</w:t>
      </w:r>
      <w:r>
        <w:rPr>
          <w:rStyle w:val="10"/>
          <w:rFonts w:hint="eastAsia" w:ascii="仿宋" w:hAnsi="仿宋" w:eastAsia="仿宋"/>
          <w:b w:val="0"/>
          <w:bCs/>
          <w:color w:val="auto"/>
          <w:sz w:val="32"/>
          <w:szCs w:val="32"/>
          <w:highlight w:val="none"/>
        </w:rPr>
        <w:t>万元，完成预算</w:t>
      </w:r>
      <w:r>
        <w:rPr>
          <w:rStyle w:val="10"/>
          <w:rFonts w:ascii="仿宋" w:hAnsi="仿宋" w:eastAsia="仿宋"/>
          <w:b w:val="0"/>
          <w:bCs/>
          <w:color w:val="auto"/>
          <w:sz w:val="32"/>
          <w:szCs w:val="32"/>
          <w:highlight w:val="none"/>
        </w:rPr>
        <w:t>100%</w:t>
      </w:r>
      <w:r>
        <w:rPr>
          <w:rStyle w:val="10"/>
          <w:rFonts w:hint="eastAsia" w:ascii="仿宋" w:hAnsi="仿宋" w:eastAsia="仿宋"/>
          <w:b w:val="0"/>
          <w:bCs/>
          <w:color w:val="auto"/>
          <w:sz w:val="32"/>
          <w:szCs w:val="32"/>
          <w:highlight w:val="none"/>
        </w:rPr>
        <w:t>，决算数等于预算数。</w:t>
      </w:r>
    </w:p>
    <w:p>
      <w:pPr>
        <w:spacing w:line="600" w:lineRule="exact"/>
        <w:ind w:firstLine="642" w:firstLineChars="200"/>
        <w:rPr>
          <w:rFonts w:ascii="仿宋" w:hAnsi="仿宋" w:eastAsia="仿宋"/>
          <w:b/>
          <w:color w:val="auto"/>
          <w:sz w:val="32"/>
          <w:szCs w:val="32"/>
          <w:highlight w:val="none"/>
        </w:rPr>
      </w:pPr>
      <w:r>
        <w:rPr>
          <w:rStyle w:val="10"/>
          <w:rFonts w:hint="eastAsia" w:ascii="仿宋" w:hAnsi="仿宋" w:eastAsia="仿宋"/>
          <w:bCs/>
          <w:color w:val="auto"/>
          <w:sz w:val="32"/>
          <w:szCs w:val="32"/>
          <w:highlight w:val="none"/>
          <w:lang w:val="en-US" w:eastAsia="zh-CN"/>
        </w:rPr>
        <w:t>6</w:t>
      </w:r>
      <w:r>
        <w:rPr>
          <w:rStyle w:val="10"/>
          <w:rFonts w:hint="eastAsia" w:ascii="仿宋" w:hAnsi="仿宋" w:eastAsia="仿宋"/>
          <w:bCs/>
          <w:color w:val="auto"/>
          <w:sz w:val="32"/>
          <w:szCs w:val="32"/>
          <w:highlight w:val="none"/>
        </w:rPr>
        <w:t>.住房保障支出（类）住房改革支出（款）住房公积金（项）</w:t>
      </w:r>
      <w:r>
        <w:rPr>
          <w:rStyle w:val="10"/>
          <w:rFonts w:ascii="仿宋" w:hAnsi="仿宋" w:eastAsia="仿宋"/>
          <w:bCs/>
          <w:color w:val="auto"/>
          <w:sz w:val="32"/>
          <w:szCs w:val="32"/>
          <w:highlight w:val="none"/>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5.57</w:t>
      </w:r>
      <w:r>
        <w:rPr>
          <w:rStyle w:val="10"/>
          <w:rFonts w:hint="eastAsia" w:ascii="仿宋" w:hAnsi="仿宋" w:eastAsia="仿宋"/>
          <w:b w:val="0"/>
          <w:bCs/>
          <w:color w:val="auto"/>
          <w:sz w:val="32"/>
          <w:szCs w:val="32"/>
          <w:highlight w:val="none"/>
        </w:rPr>
        <w:t>万元，完成预算</w:t>
      </w:r>
      <w:r>
        <w:rPr>
          <w:rStyle w:val="10"/>
          <w:rFonts w:ascii="仿宋" w:hAnsi="仿宋" w:eastAsia="仿宋"/>
          <w:b w:val="0"/>
          <w:bCs/>
          <w:color w:val="auto"/>
          <w:sz w:val="32"/>
          <w:szCs w:val="32"/>
          <w:highlight w:val="none"/>
        </w:rPr>
        <w:t>100%</w:t>
      </w:r>
      <w:r>
        <w:rPr>
          <w:rStyle w:val="10"/>
          <w:rFonts w:hint="eastAsia" w:ascii="仿宋" w:hAnsi="仿宋" w:eastAsia="仿宋"/>
          <w:b w:val="0"/>
          <w:bCs/>
          <w:color w:val="auto"/>
          <w:sz w:val="32"/>
          <w:szCs w:val="32"/>
          <w:highlight w:val="none"/>
        </w:rPr>
        <w:t>，决算数等于预算数。</w:t>
      </w:r>
    </w:p>
    <w:p>
      <w:pPr>
        <w:pStyle w:val="3"/>
        <w:ind w:firstLine="627" w:firstLineChars="196"/>
        <w:rPr>
          <w:rStyle w:val="12"/>
          <w:rFonts w:ascii="黑体" w:eastAsia="黑体"/>
          <w:b/>
          <w:bCs w:val="0"/>
          <w:color w:val="auto"/>
          <w:highlight w:val="none"/>
        </w:rPr>
      </w:pPr>
      <w:bookmarkStart w:id="53" w:name="_Toc15377214"/>
      <w:bookmarkStart w:id="54" w:name="_Toc143698089"/>
      <w:bookmarkStart w:id="55" w:name="_Toc15396608"/>
      <w:r>
        <w:rPr>
          <w:rFonts w:hint="eastAsia" w:ascii="黑体" w:eastAsia="黑体"/>
          <w:b w:val="0"/>
          <w:color w:val="auto"/>
          <w:highlight w:val="none"/>
        </w:rPr>
        <w:t>六、一般公共预算财政拨款基本支出决算情况说明</w:t>
      </w:r>
      <w:bookmarkEnd w:id="53"/>
      <w:bookmarkEnd w:id="54"/>
      <w:bookmarkEnd w:id="55"/>
      <w:r>
        <w:rPr>
          <w:rStyle w:val="12"/>
          <w:rFonts w:hint="eastAsia" w:ascii="黑体" w:hAnsi="黑体" w:eastAsia="黑体"/>
          <w:b/>
          <w:bCs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113.98</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106.48</w:t>
      </w:r>
      <w:r>
        <w:rPr>
          <w:rFonts w:hint="eastAsia" w:ascii="仿宋" w:hAnsi="仿宋" w:eastAsia="仿宋"/>
          <w:color w:val="auto"/>
          <w:sz w:val="32"/>
          <w:szCs w:val="32"/>
          <w:highlight w:val="none"/>
        </w:rPr>
        <w:t>万元，主要包括：基本工资、津贴补贴、奖金、绩效工资、机关事业单位基本养老保险缴费、</w:t>
      </w:r>
      <w:r>
        <w:rPr>
          <w:rFonts w:hint="eastAsia" w:ascii="仿宋" w:hAnsi="仿宋" w:eastAsia="仿宋"/>
          <w:color w:val="auto"/>
          <w:sz w:val="32"/>
          <w:szCs w:val="32"/>
          <w:highlight w:val="none"/>
          <w:lang w:eastAsia="zh-CN"/>
        </w:rPr>
        <w:t>职业年金缴费、</w:t>
      </w:r>
      <w:r>
        <w:rPr>
          <w:rFonts w:hint="eastAsia" w:ascii="仿宋" w:hAnsi="仿宋" w:eastAsia="仿宋"/>
          <w:color w:val="auto"/>
          <w:sz w:val="32"/>
          <w:szCs w:val="32"/>
          <w:highlight w:val="none"/>
        </w:rPr>
        <w:t>职工基本医疗保险缴费、公务员医疗补助缴费、其它社会保险缴费、</w:t>
      </w:r>
      <w:r>
        <w:rPr>
          <w:rFonts w:hint="eastAsia" w:ascii="仿宋" w:hAnsi="仿宋" w:eastAsia="仿宋"/>
          <w:color w:val="auto"/>
          <w:sz w:val="32"/>
          <w:szCs w:val="32"/>
          <w:highlight w:val="none"/>
          <w:lang w:eastAsia="zh-CN"/>
        </w:rPr>
        <w:t>退休费、生活补助、</w:t>
      </w:r>
      <w:r>
        <w:rPr>
          <w:rFonts w:hint="eastAsia" w:ascii="仿宋" w:hAnsi="仿宋" w:eastAsia="仿宋"/>
          <w:color w:val="auto"/>
          <w:sz w:val="32"/>
          <w:szCs w:val="32"/>
          <w:highlight w:val="none"/>
        </w:rPr>
        <w:t>住房公积金、其他工资福利支出、其他对个人和家庭的补助支出等。</w:t>
      </w:r>
    </w:p>
    <w:p>
      <w:pPr>
        <w:spacing w:line="600" w:lineRule="exact"/>
        <w:rPr>
          <w:rFonts w:hint="eastAsia" w:ascii="黑体" w:eastAsia="黑体"/>
          <w:b w:val="0"/>
          <w:color w:val="auto"/>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7.5</w:t>
      </w:r>
      <w:r>
        <w:rPr>
          <w:rFonts w:hint="eastAsia" w:ascii="仿宋" w:hAnsi="仿宋" w:eastAsia="仿宋"/>
          <w:color w:val="auto"/>
          <w:sz w:val="32"/>
          <w:szCs w:val="32"/>
          <w:highlight w:val="none"/>
        </w:rPr>
        <w:t>万元，主要包括：办公费、邮电费、差旅费、工会经费、福利费、公务用车运行维护费、其他商品和服务支出等。</w:t>
      </w:r>
      <w:bookmarkStart w:id="56" w:name="_Toc143698090"/>
      <w:bookmarkStart w:id="57" w:name="_Toc15396609"/>
      <w:bookmarkStart w:id="58" w:name="_Toc15377215"/>
    </w:p>
    <w:p>
      <w:pPr>
        <w:pStyle w:val="3"/>
        <w:ind w:firstLine="640" w:firstLineChars="200"/>
        <w:rPr>
          <w:rFonts w:ascii="黑体" w:hAnsi="黑体" w:eastAsia="黑体"/>
          <w:b w:val="0"/>
          <w:color w:val="auto"/>
          <w:highlight w:val="none"/>
        </w:rPr>
      </w:pPr>
      <w:r>
        <w:rPr>
          <w:rFonts w:hint="eastAsia" w:ascii="黑体" w:eastAsia="黑体"/>
          <w:b w:val="0"/>
          <w:color w:val="auto"/>
          <w:highlight w:val="none"/>
        </w:rPr>
        <w:t>七、财政拨款“三公”经费支出决算情况说明</w:t>
      </w:r>
      <w:bookmarkEnd w:id="56"/>
      <w:bookmarkEnd w:id="57"/>
      <w:bookmarkEnd w:id="58"/>
    </w:p>
    <w:p>
      <w:pPr>
        <w:spacing w:line="600" w:lineRule="exact"/>
        <w:ind w:firstLine="640"/>
        <w:outlineLvl w:val="2"/>
        <w:rPr>
          <w:rFonts w:ascii="仿宋" w:hAnsi="仿宋" w:eastAsia="仿宋"/>
          <w:b/>
          <w:color w:val="auto"/>
          <w:sz w:val="32"/>
          <w:szCs w:val="32"/>
          <w:highlight w:val="none"/>
        </w:rPr>
      </w:pPr>
      <w:bookmarkStart w:id="59" w:name="_Toc143698091"/>
      <w:bookmarkStart w:id="60" w:name="_Toc15377216"/>
      <w:r>
        <w:rPr>
          <w:rFonts w:hint="eastAsia" w:ascii="仿宋" w:hAnsi="仿宋" w:eastAsia="仿宋"/>
          <w:b/>
          <w:color w:val="auto"/>
          <w:sz w:val="32"/>
          <w:szCs w:val="32"/>
          <w:highlight w:val="none"/>
        </w:rPr>
        <w:t>（一）“三公”经费财政拨款支出决算总体情况说明</w:t>
      </w:r>
      <w:bookmarkEnd w:id="59"/>
      <w:bookmarkEnd w:id="60"/>
    </w:p>
    <w:p>
      <w:pPr>
        <w:spacing w:line="600" w:lineRule="exact"/>
        <w:ind w:firstLine="640"/>
        <w:rPr>
          <w:rFonts w:hint="eastAsia" w:ascii="仿宋" w:hAnsi="仿宋" w:eastAsia="仿宋_GB2312"/>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1.17</w:t>
      </w:r>
      <w:r>
        <w:rPr>
          <w:rFonts w:hint="eastAsia" w:ascii="仿宋" w:hAnsi="仿宋" w:eastAsia="仿宋"/>
          <w:color w:val="auto"/>
          <w:sz w:val="32"/>
          <w:szCs w:val="32"/>
          <w:highlight w:val="none"/>
        </w:rPr>
        <w:t>万元，完成预算100</w:t>
      </w:r>
      <w:r>
        <w:rPr>
          <w:rFonts w:ascii="仿宋" w:hAnsi="仿宋" w:eastAsia="仿宋"/>
          <w:color w:val="auto"/>
          <w:sz w:val="32"/>
          <w:szCs w:val="32"/>
          <w:highlight w:val="none"/>
        </w:rPr>
        <w:t>%</w:t>
      </w:r>
      <w:r>
        <w:rPr>
          <w:rFonts w:hint="eastAsia" w:ascii="仿宋" w:hAnsi="仿宋" w:eastAsia="仿宋"/>
          <w:color w:val="auto"/>
          <w:sz w:val="32"/>
          <w:szCs w:val="32"/>
          <w:highlight w:val="none"/>
        </w:rPr>
        <w:t>，较上年</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rPr>
        <w:t>0.3</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同比减少</w:t>
      </w:r>
      <w:r>
        <w:rPr>
          <w:rFonts w:hint="eastAsia" w:ascii="仿宋" w:hAnsi="仿宋" w:eastAsia="仿宋"/>
          <w:color w:val="auto"/>
          <w:sz w:val="32"/>
          <w:szCs w:val="32"/>
          <w:highlight w:val="none"/>
          <w:lang w:val="en-US" w:eastAsia="zh-CN"/>
        </w:rPr>
        <w:t>24.03</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主要原因是</w:t>
      </w:r>
      <w:r>
        <w:rPr>
          <w:rFonts w:hint="eastAsia" w:ascii="仿宋_GB2312" w:hAnsi="仿宋" w:eastAsia="仿宋_GB2312"/>
          <w:color w:val="auto"/>
          <w:sz w:val="32"/>
          <w:szCs w:val="32"/>
          <w:highlight w:val="none"/>
          <w:lang w:eastAsia="zh-CN"/>
        </w:rPr>
        <w:t>落实公车改革相关政策，坚持厉行节约，保障高效，压减公务用车运行维护费</w:t>
      </w:r>
      <w:r>
        <w:rPr>
          <w:rFonts w:hint="eastAsia" w:ascii="仿宋_GB2312" w:eastAsia="仿宋_GB2312"/>
          <w:color w:val="auto"/>
          <w:sz w:val="32"/>
          <w:szCs w:val="32"/>
          <w:highlight w:val="none"/>
          <w:lang w:eastAsia="zh-CN"/>
        </w:rPr>
        <w:t>。</w:t>
      </w:r>
    </w:p>
    <w:p>
      <w:pPr>
        <w:spacing w:line="600" w:lineRule="exact"/>
        <w:ind w:firstLine="640"/>
        <w:outlineLvl w:val="2"/>
        <w:rPr>
          <w:rFonts w:ascii="仿宋" w:hAnsi="仿宋" w:eastAsia="仿宋"/>
          <w:b/>
          <w:color w:val="auto"/>
          <w:sz w:val="32"/>
          <w:szCs w:val="32"/>
          <w:highlight w:val="none"/>
        </w:rPr>
      </w:pPr>
      <w:bookmarkStart w:id="61" w:name="_Toc15377217"/>
      <w:bookmarkStart w:id="62" w:name="_Toc143698092"/>
      <w:r>
        <w:rPr>
          <w:rFonts w:hint="eastAsia" w:ascii="仿宋" w:hAnsi="仿宋" w:eastAsia="仿宋"/>
          <w:b/>
          <w:color w:val="auto"/>
          <w:sz w:val="32"/>
          <w:szCs w:val="32"/>
          <w:highlight w:val="none"/>
        </w:rPr>
        <w:t>（二）“三公”经费财政拨款支出决算具体情况说明</w:t>
      </w:r>
      <w:bookmarkEnd w:id="61"/>
      <w:bookmarkEnd w:id="62"/>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年“三公”经费财政拨款支出决算中，因公出国（境）费支出决算0万元，占0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1.17</w:t>
      </w:r>
      <w:r>
        <w:rPr>
          <w:rFonts w:hint="eastAsia" w:ascii="仿宋" w:hAnsi="仿宋" w:eastAsia="仿宋"/>
          <w:color w:val="auto"/>
          <w:sz w:val="32"/>
          <w:szCs w:val="32"/>
          <w:highlight w:val="none"/>
        </w:rPr>
        <w:t>万元，占100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；公务接待费支出决算0万元，占0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240" w:lineRule="auto"/>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276725" cy="2762250"/>
            <wp:effectExtent l="0" t="0" r="9525" b="0"/>
            <wp:docPr id="8" name="图片 8" descr="捕获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捕获6"/>
                    <pic:cNvPicPr>
                      <a:picLocks noChangeAspect="1"/>
                    </pic:cNvPicPr>
                  </pic:nvPicPr>
                  <pic:blipFill>
                    <a:blip r:embed="rId12"/>
                    <a:stretch>
                      <a:fillRect/>
                    </a:stretch>
                  </pic:blipFill>
                  <pic:spPr>
                    <a:xfrm>
                      <a:off x="0" y="0"/>
                      <a:ext cx="4276725" cy="2762250"/>
                    </a:xfrm>
                    <a:prstGeom prst="rect">
                      <a:avLst/>
                    </a:prstGeom>
                  </pic:spPr>
                </pic:pic>
              </a:graphicData>
            </a:graphic>
          </wp:inline>
        </w:drawing>
      </w:r>
    </w:p>
    <w:p>
      <w:pPr>
        <w:spacing w:line="600" w:lineRule="exact"/>
        <w:ind w:firstLine="64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rPr>
        <w:t>0万元，</w:t>
      </w:r>
      <w:r>
        <w:rPr>
          <w:rStyle w:val="10"/>
          <w:rFonts w:hint="eastAsia" w:ascii="仿宋" w:hAnsi="仿宋" w:eastAsia="仿宋"/>
          <w:b w:val="0"/>
          <w:bCs/>
          <w:color w:val="auto"/>
          <w:sz w:val="32"/>
          <w:szCs w:val="32"/>
          <w:highlight w:val="none"/>
        </w:rPr>
        <w:t>完成预算0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全年安排因公出国（境）团组0次，出国（境）0人。因公出国（境）支出决算与20</w:t>
      </w:r>
      <w:r>
        <w:rPr>
          <w:rFonts w:hint="eastAsia" w:ascii="仿宋_GB2312" w:eastAsia="仿宋_GB2312"/>
          <w:color w:val="auto"/>
          <w:sz w:val="32"/>
          <w:szCs w:val="32"/>
          <w:highlight w:val="none"/>
          <w:lang w:val="en-US" w:eastAsia="zh-CN"/>
        </w:rPr>
        <w:t>22年</w:t>
      </w:r>
      <w:r>
        <w:rPr>
          <w:rFonts w:hint="eastAsia" w:ascii="仿宋_GB2312" w:eastAsia="仿宋_GB2312"/>
          <w:color w:val="auto"/>
          <w:sz w:val="32"/>
          <w:szCs w:val="32"/>
          <w:highlight w:val="none"/>
        </w:rPr>
        <w:t>持平。主要原因是202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年均未产生此项费用。</w:t>
      </w:r>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开支内容：无。</w:t>
      </w:r>
    </w:p>
    <w:p>
      <w:pPr>
        <w:numPr>
          <w:ilvl w:val="0"/>
          <w:numId w:val="2"/>
        </w:numPr>
        <w:spacing w:line="600" w:lineRule="exact"/>
        <w:ind w:firstLine="640"/>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1.17</w:t>
      </w:r>
      <w:r>
        <w:rPr>
          <w:rFonts w:hint="eastAsia" w:ascii="仿宋_GB2312" w:eastAsia="仿宋_GB2312"/>
          <w:color w:val="auto"/>
          <w:sz w:val="32"/>
          <w:szCs w:val="32"/>
          <w:highlight w:val="none"/>
        </w:rPr>
        <w:t>万元,</w:t>
      </w:r>
      <w:r>
        <w:rPr>
          <w:rStyle w:val="10"/>
          <w:rFonts w:hint="eastAsia" w:ascii="仿宋" w:hAnsi="仿宋" w:eastAsia="仿宋"/>
          <w:b w:val="0"/>
          <w:bCs/>
          <w:color w:val="auto"/>
          <w:sz w:val="32"/>
          <w:szCs w:val="32"/>
          <w:highlight w:val="none"/>
        </w:rPr>
        <w:t>完成预算100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0.37</w:t>
      </w:r>
      <w:r>
        <w:rPr>
          <w:rFonts w:hint="eastAsia" w:ascii="仿宋_GB2312" w:eastAsia="仿宋_GB2312"/>
          <w:color w:val="auto"/>
          <w:sz w:val="32"/>
          <w:szCs w:val="32"/>
          <w:highlight w:val="none"/>
        </w:rPr>
        <w:t>万元，</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lang w:val="en-US" w:eastAsia="zh-CN"/>
        </w:rPr>
        <w:t>24.03</w:t>
      </w:r>
      <w:r>
        <w:rPr>
          <w:rFonts w:hint="eastAsia" w:ascii="仿宋" w:hAnsi="仿宋" w:eastAsia="仿宋"/>
          <w:color w:val="auto"/>
          <w:sz w:val="32"/>
          <w:szCs w:val="32"/>
          <w:highlight w:val="none"/>
        </w:rPr>
        <w:t>%</w:t>
      </w:r>
      <w:r>
        <w:rPr>
          <w:rFonts w:hint="eastAsia" w:ascii="仿宋_GB2312" w:eastAsia="仿宋_GB2312"/>
          <w:color w:val="auto"/>
          <w:sz w:val="32"/>
          <w:szCs w:val="32"/>
          <w:highlight w:val="none"/>
        </w:rPr>
        <w:t>。</w:t>
      </w:r>
      <w:r>
        <w:rPr>
          <w:rFonts w:hint="eastAsia" w:ascii="仿宋" w:hAnsi="仿宋" w:eastAsia="仿宋"/>
          <w:color w:val="auto"/>
          <w:sz w:val="32"/>
          <w:szCs w:val="32"/>
          <w:highlight w:val="none"/>
          <w:lang w:eastAsia="zh-CN"/>
        </w:rPr>
        <w:t>主要原因是</w:t>
      </w:r>
      <w:r>
        <w:rPr>
          <w:rFonts w:hint="eastAsia" w:ascii="仿宋_GB2312" w:hAnsi="仿宋" w:eastAsia="仿宋_GB2312"/>
          <w:color w:val="auto"/>
          <w:sz w:val="32"/>
          <w:szCs w:val="32"/>
          <w:highlight w:val="none"/>
          <w:lang w:eastAsia="zh-CN"/>
        </w:rPr>
        <w:t>落实公车改革相关政策，坚持厉行节约，保障高效，压减公务用车运行维护费</w:t>
      </w:r>
      <w:r>
        <w:rPr>
          <w:rFonts w:hint="eastAsia" w:ascii="仿宋_GB2312" w:eastAsia="仿宋_GB2312"/>
          <w:color w:val="auto"/>
          <w:sz w:val="32"/>
          <w:szCs w:val="32"/>
          <w:highlight w:val="none"/>
          <w:lang w:eastAsia="zh-CN"/>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rPr>
        <w:t>0万元。全年按规定更新购置公务用车0辆，其中：轿车0辆、金额0万元，越野车0辆、金额0万元，载客汽车0辆、金额0万元。截至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月底，单位共有公务用车1辆，其中：轿车1辆、越野车0辆、载客汽车0辆。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万元。主要用于劳动人事争议仲裁案件处理等所需的公务用车燃料费、维修费、过路过桥费、保险费等支出。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rPr>
        <w:t>0万元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2023年</w:t>
      </w:r>
      <w:r>
        <w:rPr>
          <w:rFonts w:hint="eastAsia" w:ascii="仿宋_GB2312" w:eastAsia="仿宋_GB2312"/>
          <w:color w:val="auto"/>
          <w:sz w:val="32"/>
          <w:szCs w:val="32"/>
          <w:highlight w:val="none"/>
        </w:rPr>
        <w:t>未</w:t>
      </w:r>
      <w:r>
        <w:rPr>
          <w:rFonts w:hint="eastAsia" w:ascii="仿宋_GB2312" w:eastAsia="仿宋_GB2312"/>
          <w:color w:val="auto"/>
          <w:sz w:val="32"/>
          <w:szCs w:val="32"/>
          <w:highlight w:val="none"/>
          <w:lang w:eastAsia="zh-CN"/>
        </w:rPr>
        <w:t>产生</w:t>
      </w:r>
      <w:r>
        <w:rPr>
          <w:rFonts w:hint="eastAsia" w:ascii="仿宋_GB2312" w:eastAsia="仿宋_GB2312"/>
          <w:color w:val="auto"/>
          <w:sz w:val="32"/>
          <w:szCs w:val="32"/>
          <w:highlight w:val="none"/>
        </w:rPr>
        <w:t>接待</w:t>
      </w:r>
      <w:r>
        <w:rPr>
          <w:rFonts w:hint="eastAsia" w:ascii="仿宋_GB2312" w:eastAsia="仿宋_GB2312"/>
          <w:color w:val="auto"/>
          <w:sz w:val="32"/>
          <w:szCs w:val="32"/>
          <w:highlight w:val="none"/>
          <w:lang w:eastAsia="zh-CN"/>
        </w:rPr>
        <w:t>事宜</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rPr>
        <w:t>0</w:t>
      </w:r>
      <w:r>
        <w:rPr>
          <w:rFonts w:hint="eastAsia" w:ascii="仿宋_GB2312" w:eastAsia="仿宋_GB2312"/>
          <w:color w:val="auto"/>
          <w:sz w:val="32"/>
          <w:szCs w:val="32"/>
          <w:highlight w:val="none"/>
        </w:rPr>
        <w:t>万元，国内公务接待0批次，0人次（不包括陪同人员），共计支出0万元。</w:t>
      </w:r>
    </w:p>
    <w:p>
      <w:pPr>
        <w:spacing w:line="600" w:lineRule="exact"/>
        <w:ind w:firstLine="642"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rPr>
        <w:t>0</w:t>
      </w:r>
      <w:r>
        <w:rPr>
          <w:rFonts w:hint="eastAsia" w:ascii="仿宋_GB2312" w:eastAsia="仿宋_GB2312"/>
          <w:color w:val="auto"/>
          <w:sz w:val="32"/>
          <w:szCs w:val="32"/>
          <w:highlight w:val="none"/>
        </w:rPr>
        <w:t>万元，未产生外事接待事宜。外事接待0批次，0人次（不包括陪同人员），共计支出0万元。</w:t>
      </w:r>
      <w:bookmarkStart w:id="63" w:name="_Toc15396610"/>
      <w:bookmarkStart w:id="64" w:name="_Toc15377218"/>
    </w:p>
    <w:p>
      <w:pPr>
        <w:pStyle w:val="3"/>
        <w:ind w:firstLine="627" w:firstLineChars="196"/>
        <w:rPr>
          <w:rStyle w:val="12"/>
          <w:rFonts w:ascii="黑体" w:hAnsi="黑体" w:eastAsia="黑体"/>
          <w:b/>
          <w:bCs w:val="0"/>
          <w:color w:val="auto"/>
          <w:highlight w:val="none"/>
        </w:rPr>
      </w:pPr>
      <w:bookmarkStart w:id="65" w:name="_Toc143698093"/>
      <w:r>
        <w:rPr>
          <w:rFonts w:hint="eastAsia" w:ascii="黑体" w:eastAsia="黑体"/>
          <w:b w:val="0"/>
          <w:color w:val="auto"/>
          <w:highlight w:val="none"/>
        </w:rPr>
        <w:t>八、政府性基金预算支出决算情况说明</w:t>
      </w:r>
      <w:bookmarkEnd w:id="63"/>
      <w:bookmarkEnd w:id="64"/>
      <w:bookmarkEnd w:id="65"/>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年政府性基金预算财政拨款支出0万元。</w:t>
      </w:r>
    </w:p>
    <w:p>
      <w:pPr>
        <w:pStyle w:val="3"/>
        <w:ind w:firstLine="627" w:firstLineChars="196"/>
        <w:rPr>
          <w:rFonts w:ascii="黑体" w:eastAsia="黑体"/>
          <w:b w:val="0"/>
          <w:color w:val="auto"/>
          <w:highlight w:val="none"/>
        </w:rPr>
      </w:pPr>
      <w:bookmarkStart w:id="66" w:name="_Toc15377219"/>
      <w:bookmarkStart w:id="67" w:name="_Toc143698094"/>
      <w:bookmarkStart w:id="68" w:name="_Toc15396611"/>
      <w:r>
        <w:rPr>
          <w:rFonts w:hint="eastAsia" w:ascii="黑体" w:eastAsia="黑体"/>
          <w:b w:val="0"/>
          <w:color w:val="auto"/>
          <w:highlight w:val="none"/>
        </w:rPr>
        <w:t>九、国有资本经营预算支出决算情况说明</w:t>
      </w:r>
      <w:bookmarkEnd w:id="66"/>
      <w:bookmarkEnd w:id="67"/>
      <w:bookmarkEnd w:id="6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年国有资本经营预算财政拨款支出0万元。</w:t>
      </w:r>
    </w:p>
    <w:p>
      <w:pPr>
        <w:pStyle w:val="3"/>
        <w:ind w:firstLine="627" w:firstLineChars="196"/>
        <w:rPr>
          <w:rFonts w:ascii="黑体" w:eastAsia="黑体"/>
          <w:b w:val="0"/>
          <w:color w:val="auto"/>
          <w:highlight w:val="none"/>
        </w:rPr>
      </w:pPr>
      <w:bookmarkStart w:id="69" w:name="_Toc143698095"/>
      <w:bookmarkStart w:id="70" w:name="_Toc15396612"/>
      <w:bookmarkStart w:id="71" w:name="_Toc15377221"/>
      <w:r>
        <w:rPr>
          <w:rFonts w:hint="eastAsia" w:ascii="黑体" w:hAnsi="方正小标宋简体" w:eastAsia="黑体" w:cs="方正小标宋简体"/>
          <w:b w:val="0"/>
          <w:color w:val="auto"/>
          <w:highlight w:val="none"/>
        </w:rPr>
        <w:t>十、</w:t>
      </w:r>
      <w:r>
        <w:rPr>
          <w:rFonts w:hint="eastAsia" w:ascii="黑体" w:eastAsia="黑体"/>
          <w:b w:val="0"/>
          <w:color w:val="auto"/>
          <w:highlight w:val="none"/>
        </w:rPr>
        <w:t>其他重要事项的情况说明</w:t>
      </w:r>
      <w:bookmarkEnd w:id="69"/>
      <w:bookmarkEnd w:id="70"/>
      <w:bookmarkEnd w:id="71"/>
    </w:p>
    <w:p>
      <w:pPr>
        <w:spacing w:line="600" w:lineRule="exact"/>
        <w:ind w:firstLine="642" w:firstLineChars="200"/>
        <w:outlineLvl w:val="2"/>
        <w:rPr>
          <w:rFonts w:ascii="仿宋" w:hAnsi="仿宋" w:eastAsia="仿宋"/>
          <w:color w:val="auto"/>
          <w:sz w:val="32"/>
          <w:szCs w:val="32"/>
          <w:highlight w:val="none"/>
        </w:rPr>
      </w:pPr>
      <w:bookmarkStart w:id="72" w:name="_Toc15377222"/>
      <w:bookmarkStart w:id="73" w:name="_Toc143698096"/>
      <w:r>
        <w:rPr>
          <w:rFonts w:hint="eastAsia" w:ascii="仿宋" w:hAnsi="仿宋" w:eastAsia="仿宋"/>
          <w:b/>
          <w:color w:val="auto"/>
          <w:sz w:val="32"/>
          <w:szCs w:val="32"/>
          <w:highlight w:val="none"/>
        </w:rPr>
        <w:t>（一）机关运行经费支出情况</w:t>
      </w:r>
      <w:bookmarkEnd w:id="72"/>
      <w:bookmarkEnd w:id="73"/>
    </w:p>
    <w:p>
      <w:pPr>
        <w:spacing w:line="600" w:lineRule="exact"/>
        <w:ind w:firstLine="640" w:firstLineChars="20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年，机关运行经费支出0万元，与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年持平。主要原因是没有机关运行经费</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4" w:name="_Toc15377223"/>
      <w:bookmarkStart w:id="75" w:name="_Toc143698097"/>
      <w:r>
        <w:rPr>
          <w:rFonts w:hint="eastAsia" w:ascii="仿宋" w:hAnsi="仿宋" w:eastAsia="仿宋"/>
          <w:b/>
          <w:color w:val="auto"/>
          <w:sz w:val="32"/>
          <w:szCs w:val="32"/>
          <w:highlight w:val="none"/>
        </w:rPr>
        <w:t>（二）政府采购支出情况</w:t>
      </w:r>
      <w:bookmarkEnd w:id="74"/>
      <w:bookmarkEnd w:id="75"/>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年，攀枝花市劳动人事争议仲裁院政府采购支出总额0万元，其中：政府采购货物支出0万元、政府采购工程支出0万元、政府采购服务支出0万元。授予中小企业合同金额0万元，占政府采购支出总额的0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，其中：授予小微企业合同金额0万元，占政府采购支出总额的0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6" w:name="_Toc15377224"/>
      <w:bookmarkStart w:id="77" w:name="_Toc143698098"/>
      <w:r>
        <w:rPr>
          <w:rFonts w:hint="eastAsia" w:ascii="仿宋" w:hAnsi="仿宋" w:eastAsia="仿宋"/>
          <w:b/>
          <w:color w:val="auto"/>
          <w:sz w:val="32"/>
          <w:szCs w:val="32"/>
          <w:highlight w:val="none"/>
        </w:rPr>
        <w:t>（三）国有资产占有使用情况</w:t>
      </w:r>
      <w:bookmarkEnd w:id="76"/>
      <w:bookmarkEnd w:id="77"/>
    </w:p>
    <w:p>
      <w:pPr>
        <w:autoSpaceDE w:val="0"/>
        <w:autoSpaceDN w:val="0"/>
        <w:adjustRightInd w:val="0"/>
        <w:spacing w:line="600" w:lineRule="exact"/>
        <w:ind w:firstLine="640" w:firstLineChars="200"/>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日，攀枝花市劳动人事争议仲裁院共有车辆1辆，其中：主要领导干部用车0辆、机要通信用车0辆、应急保障用车0辆、其他用车1辆，其他用车主要是用于仲裁文书送达、公务出行等。单价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万元以上专用设备0台（套）。</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78" w:name="_Toc143698099"/>
      <w:r>
        <w:rPr>
          <w:rFonts w:hint="eastAsia" w:ascii="仿宋" w:hAnsi="仿宋" w:eastAsia="仿宋"/>
          <w:b/>
          <w:color w:val="auto"/>
          <w:sz w:val="32"/>
          <w:szCs w:val="32"/>
          <w:highlight w:val="none"/>
        </w:rPr>
        <w:t>（四）预算绩效管理情况</w:t>
      </w:r>
      <w:bookmarkEnd w:id="78"/>
    </w:p>
    <w:p>
      <w:pPr>
        <w:pStyle w:val="4"/>
        <w:spacing w:before="93"/>
        <w:ind w:firstLine="640" w:firstLineChars="200"/>
        <w:rPr>
          <w:color w:val="auto"/>
          <w:highlight w:val="none"/>
        </w:rPr>
      </w:pPr>
      <w:r>
        <w:rPr>
          <w:rFonts w:hint="eastAsia" w:hAnsi="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3</w:t>
      </w:r>
      <w:r>
        <w:rPr>
          <w:rFonts w:hint="eastAsia" w:hAnsi="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0</w:t>
      </w:r>
      <w:r>
        <w:rPr>
          <w:rFonts w:hint="eastAsia" w:hAnsi="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1</w:t>
      </w:r>
      <w:r>
        <w:rPr>
          <w:rFonts w:hint="eastAsia" w:hAnsi="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w:t>
      </w:r>
      <w:r>
        <w:rPr>
          <w:rFonts w:hint="eastAsia" w:hAnsi="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1</w:t>
      </w:r>
      <w:r>
        <w:rPr>
          <w:rFonts w:hint="eastAsia" w:hAnsi="仿宋_GB2312" w:cs="仿宋_GB2312"/>
          <w:color w:val="auto"/>
          <w:sz w:val="32"/>
          <w:szCs w:val="32"/>
          <w:highlight w:val="none"/>
        </w:rPr>
        <w:t>个项目开展绩效自评，绩效自评表详见第四部分附件。</w:t>
      </w:r>
    </w:p>
    <w:p>
      <w:pPr>
        <w:pStyle w:val="2"/>
        <w:jc w:val="center"/>
        <w:rPr>
          <w:rFonts w:ascii="黑体" w:eastAsia="黑体"/>
          <w:b w:val="0"/>
          <w:color w:val="auto"/>
          <w:highlight w:val="none"/>
        </w:rPr>
      </w:pPr>
      <w:bookmarkStart w:id="79" w:name="_Toc15377225"/>
      <w:bookmarkStart w:id="80" w:name="_Toc143698100"/>
      <w:bookmarkStart w:id="81" w:name="_Toc15396613"/>
      <w:r>
        <w:rPr>
          <w:rFonts w:hint="eastAsia" w:ascii="黑体" w:eastAsia="黑体"/>
          <w:b w:val="0"/>
          <w:color w:val="auto"/>
          <w:highlight w:val="none"/>
        </w:rPr>
        <w:t>第三部</w:t>
      </w:r>
      <w:r>
        <w:rPr>
          <w:rFonts w:hint="eastAsia" w:ascii="黑体" w:eastAsia="黑体"/>
          <w:b w:val="0"/>
          <w:color w:val="auto"/>
          <w:highlight w:val="none"/>
          <w:lang w:eastAsia="zh-CN"/>
        </w:rPr>
        <w:t>分</w:t>
      </w:r>
      <w:r>
        <w:rPr>
          <w:rFonts w:hint="eastAsia" w:ascii="黑体" w:eastAsia="黑体"/>
          <w:b w:val="0"/>
          <w:color w:val="auto"/>
          <w:highlight w:val="none"/>
        </w:rPr>
        <w:t xml:space="preserve"> 名词解释</w:t>
      </w:r>
      <w:bookmarkEnd w:id="79"/>
      <w:bookmarkEnd w:id="80"/>
      <w:bookmarkEnd w:id="81"/>
    </w:p>
    <w:p>
      <w:pPr>
        <w:pStyle w:val="1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财政拨款收入：指单位从同级财政部门取得的财政预算资金，主要是一般财政拨款收入。</w:t>
      </w:r>
    </w:p>
    <w:p>
      <w:pPr>
        <w:pStyle w:val="1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其他收入：指单位取得的除上述收入以外的各项收入。主要是银行利息收入。</w:t>
      </w:r>
    </w:p>
    <w:p>
      <w:pPr>
        <w:pStyle w:val="1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p>
    <w:p>
      <w:pPr>
        <w:pStyle w:val="1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 xml:space="preserve"> 社会保障和就业（类）人力资源和社会保障管理事务（款）劳动人事争议调解仲裁（项）：指反映仲裁机构实体化建设、办案经费，调解仲裁能力建设等支出。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社会保障和就业（类）行政事业单位养老支出（款）机关事业单位基本养老保险缴费支出（项）：指反映行政事业单位按人力资源和社会保障部、财政部规定的基本工资和津贴补贴以及规定比例为职工缴纳的机关事业单位基本养老保险。</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事业单位医疗</w:t>
      </w:r>
      <w:r>
        <w:rPr>
          <w:rFonts w:hint="eastAsia" w:ascii="仿宋_GB2312" w:eastAsia="仿宋_GB2312"/>
          <w:color w:val="auto"/>
          <w:sz w:val="32"/>
          <w:szCs w:val="32"/>
          <w:highlight w:val="none"/>
        </w:rPr>
        <w:t>支出（项）</w:t>
      </w:r>
      <w:r>
        <w:rPr>
          <w:rFonts w:hint="eastAsia" w:ascii="仿宋_GB2312" w:eastAsia="仿宋_GB2312"/>
          <w:color w:val="auto"/>
          <w:sz w:val="32"/>
          <w:szCs w:val="32"/>
          <w:highlight w:val="none"/>
          <w:lang w:eastAsia="zh-CN"/>
        </w:rPr>
        <w:t>：指反映财政部门安排的事业单位基本医疗保险缴费经费。</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 xml:space="preserve"> 住房保障（类）住房改革支出（款）住房公积金（项）：指反映行政事业单位按人力资源和社会保障部、财政部规定的基本工资和津贴补贴以及规定比例为职工缴纳的住房公积金。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 xml:space="preserve"> 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hAnsi="Calibri" w:eastAsia="仿宋_GB2312" w:cs="仿宋"/>
          <w:color w:val="auto"/>
          <w:kern w:val="0"/>
          <w:sz w:val="32"/>
          <w:szCs w:val="32"/>
          <w:highlight w:val="none"/>
          <w:lang w:val="en-US" w:eastAsia="zh-CN"/>
        </w:rPr>
        <w:t>10</w:t>
      </w:r>
      <w:r>
        <w:rPr>
          <w:rFonts w:ascii="仿宋_GB2312" w:hAnsi="Calibri" w:eastAsia="仿宋_GB2312" w:cs="仿宋"/>
          <w:color w:val="auto"/>
          <w:kern w:val="0"/>
          <w:sz w:val="32"/>
          <w:szCs w:val="32"/>
          <w:highlight w:val="none"/>
        </w:rPr>
        <w:t>.</w:t>
      </w:r>
      <w:r>
        <w:rPr>
          <w:rFonts w:hint="eastAsia" w:ascii="仿宋_GB2312" w:hAnsi="Calibri" w:eastAsia="仿宋_GB2312" w:cs="仿宋"/>
          <w:color w:val="auto"/>
          <w:kern w:val="0"/>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jc w:val="center"/>
        <w:rPr>
          <w:rFonts w:ascii="仿宋_GB2312" w:hAnsi="仿宋_GB2312" w:eastAsia="仿宋_GB2312" w:cs="仿宋_GB2312"/>
          <w:color w:val="auto"/>
          <w:sz w:val="32"/>
          <w:szCs w:val="32"/>
          <w:highlight w:val="none"/>
        </w:rPr>
      </w:pPr>
      <w:bookmarkStart w:id="82" w:name="_Toc15377226"/>
      <w:r>
        <w:rPr>
          <w:rFonts w:ascii="宋体"/>
          <w:color w:val="auto"/>
          <w:highlight w:val="none"/>
        </w:rPr>
        <w:br w:type="page"/>
      </w:r>
      <w:bookmarkStart w:id="83" w:name="_Toc143698101"/>
      <w:bookmarkStart w:id="84" w:name="_Toc15396614"/>
      <w:r>
        <w:rPr>
          <w:rFonts w:hint="eastAsia" w:ascii="黑体" w:eastAsia="黑体"/>
          <w:b w:val="0"/>
          <w:color w:val="auto"/>
          <w:highlight w:val="none"/>
        </w:rPr>
        <w:t>第四部分 附件</w:t>
      </w:r>
      <w:bookmarkEnd w:id="83"/>
      <w:bookmarkEnd w:id="84"/>
    </w:p>
    <w:p>
      <w:pPr>
        <w:ind w:firstLine="640" w:firstLineChars="200"/>
        <w:rPr>
          <w:rFonts w:hint="eastAsia" w:ascii="仿宋_GB2312" w:hAnsi="Calibri" w:eastAsia="仿宋_GB2312" w:cs="仿宋"/>
          <w:color w:val="auto"/>
          <w:kern w:val="0"/>
          <w:sz w:val="32"/>
          <w:szCs w:val="32"/>
          <w:highlight w:val="none"/>
          <w:lang w:eastAsia="zh-CN"/>
        </w:rPr>
      </w:pPr>
      <w:bookmarkStart w:id="85" w:name="_Toc143698102"/>
      <w:bookmarkStart w:id="86" w:name="_Toc15396618"/>
      <w:r>
        <w:rPr>
          <w:rFonts w:hint="eastAsia" w:ascii="仿宋_GB2312" w:hAnsi="Calibri" w:eastAsia="仿宋_GB2312" w:cs="仿宋"/>
          <w:color w:val="auto"/>
          <w:kern w:val="0"/>
          <w:sz w:val="32"/>
          <w:szCs w:val="32"/>
          <w:highlight w:val="none"/>
          <w:lang w:eastAsia="zh-CN"/>
        </w:rPr>
        <w:t>见附件</w:t>
      </w:r>
      <w:r>
        <w:rPr>
          <w:rFonts w:hint="eastAsia" w:ascii="仿宋_GB2312" w:hAnsi="Calibri" w:eastAsia="仿宋_GB2312" w:cs="仿宋"/>
          <w:color w:val="auto"/>
          <w:kern w:val="0"/>
          <w:sz w:val="32"/>
          <w:szCs w:val="32"/>
          <w:highlight w:val="none"/>
          <w:lang w:val="en-US" w:eastAsia="zh-CN"/>
        </w:rPr>
        <w:t>1攀枝花市劳动人事争议仲裁院</w:t>
      </w:r>
      <w:r>
        <w:rPr>
          <w:rFonts w:hint="eastAsia" w:ascii="仿宋_GB2312" w:hAnsi="Calibri" w:eastAsia="仿宋_GB2312" w:cs="仿宋"/>
          <w:color w:val="auto"/>
          <w:kern w:val="0"/>
          <w:sz w:val="32"/>
          <w:szCs w:val="32"/>
          <w:highlight w:val="none"/>
        </w:rPr>
        <w:t>部门预算项目支出绩效自评表（202</w:t>
      </w:r>
      <w:r>
        <w:rPr>
          <w:rFonts w:hint="eastAsia" w:ascii="仿宋_GB2312" w:hAnsi="Calibri" w:eastAsia="仿宋_GB2312" w:cs="仿宋"/>
          <w:color w:val="auto"/>
          <w:kern w:val="0"/>
          <w:sz w:val="32"/>
          <w:szCs w:val="32"/>
          <w:highlight w:val="none"/>
          <w:lang w:val="en-US" w:eastAsia="zh-CN"/>
        </w:rPr>
        <w:t>3</w:t>
      </w:r>
      <w:r>
        <w:rPr>
          <w:rFonts w:hint="eastAsia" w:ascii="仿宋_GB2312" w:hAnsi="Calibri" w:eastAsia="仿宋_GB2312" w:cs="仿宋"/>
          <w:color w:val="auto"/>
          <w:kern w:val="0"/>
          <w:sz w:val="32"/>
          <w:szCs w:val="32"/>
          <w:highlight w:val="none"/>
        </w:rPr>
        <w:t>年度）</w:t>
      </w:r>
      <w:bookmarkEnd w:id="85"/>
    </w:p>
    <w:p>
      <w:pPr>
        <w:spacing w:line="600" w:lineRule="exact"/>
        <w:jc w:val="left"/>
        <w:outlineLvl w:val="0"/>
        <w:rPr>
          <w:rFonts w:ascii="仿宋_GB2312" w:hAnsi="Calibri" w:eastAsia="仿宋_GB2312" w:cs="仿宋"/>
          <w:color w:val="auto"/>
          <w:kern w:val="0"/>
          <w:sz w:val="32"/>
          <w:szCs w:val="32"/>
          <w:highlight w:val="none"/>
        </w:rPr>
      </w:pPr>
    </w:p>
    <w:p>
      <w:pPr>
        <w:pStyle w:val="4"/>
        <w:spacing w:before="93"/>
        <w:rPr>
          <w:rFonts w:hAnsi="Calibri" w:cs="仿宋"/>
          <w:color w:val="auto"/>
          <w:sz w:val="32"/>
          <w:szCs w:val="32"/>
          <w:highlight w:val="none"/>
        </w:rPr>
      </w:pPr>
    </w:p>
    <w:p>
      <w:pPr>
        <w:pStyle w:val="4"/>
        <w:spacing w:before="93"/>
        <w:rPr>
          <w:rFonts w:hAnsi="Calibri" w:cs="仿宋"/>
          <w:color w:val="auto"/>
          <w:sz w:val="32"/>
          <w:szCs w:val="32"/>
          <w:highlight w:val="none"/>
        </w:rPr>
      </w:pPr>
    </w:p>
    <w:p>
      <w:pPr>
        <w:pStyle w:val="4"/>
        <w:spacing w:before="93"/>
        <w:rPr>
          <w:rFonts w:hAnsi="Calibri" w:cs="仿宋"/>
          <w:color w:val="auto"/>
          <w:sz w:val="32"/>
          <w:szCs w:val="32"/>
          <w:highlight w:val="none"/>
        </w:rPr>
      </w:pPr>
    </w:p>
    <w:p>
      <w:pPr>
        <w:pStyle w:val="4"/>
        <w:spacing w:before="93"/>
        <w:rPr>
          <w:rFonts w:hAnsi="Calibri" w:cs="仿宋"/>
          <w:color w:val="auto"/>
          <w:sz w:val="32"/>
          <w:szCs w:val="32"/>
          <w:highlight w:val="none"/>
        </w:rPr>
      </w:pPr>
    </w:p>
    <w:p>
      <w:pPr>
        <w:pStyle w:val="4"/>
        <w:spacing w:before="93"/>
        <w:rPr>
          <w:rFonts w:hAnsi="Calibri" w:cs="仿宋"/>
          <w:color w:val="auto"/>
          <w:sz w:val="32"/>
          <w:szCs w:val="32"/>
          <w:highlight w:val="none"/>
        </w:rPr>
      </w:pPr>
    </w:p>
    <w:p>
      <w:pPr>
        <w:pStyle w:val="4"/>
        <w:spacing w:before="93"/>
        <w:rPr>
          <w:rFonts w:hAnsi="Calibri" w:cs="仿宋"/>
          <w:color w:val="auto"/>
          <w:sz w:val="32"/>
          <w:szCs w:val="32"/>
          <w:highlight w:val="none"/>
        </w:rPr>
      </w:pPr>
    </w:p>
    <w:p>
      <w:pPr>
        <w:pStyle w:val="2"/>
        <w:jc w:val="center"/>
        <w:rPr>
          <w:rFonts w:ascii="黑体" w:hAnsi="仿宋" w:eastAsia="黑体"/>
          <w:b w:val="0"/>
          <w:color w:val="auto"/>
          <w:highlight w:val="none"/>
        </w:rPr>
      </w:pPr>
      <w:bookmarkStart w:id="101" w:name="_GoBack"/>
      <w:bookmarkEnd w:id="101"/>
      <w:bookmarkStart w:id="87" w:name="_Toc143698104"/>
      <w:r>
        <w:rPr>
          <w:rFonts w:hint="eastAsia" w:ascii="黑体" w:eastAsia="黑体"/>
          <w:b w:val="0"/>
          <w:color w:val="auto"/>
          <w:highlight w:val="none"/>
        </w:rPr>
        <w:t>第五部分 附表</w:t>
      </w:r>
      <w:bookmarkEnd w:id="82"/>
      <w:bookmarkEnd w:id="86"/>
      <w:bookmarkEnd w:id="87"/>
      <w:bookmarkStart w:id="88" w:name="_Toc15396619"/>
    </w:p>
    <w:bookmarkEnd w:id="88"/>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14"/>
          <w:rFonts w:hint="eastAsia" w:ascii="仿宋" w:hAnsi="仿宋" w:eastAsia="仿宋"/>
          <w:b w:val="0"/>
          <w:bCs w:val="0"/>
          <w:color w:val="auto"/>
          <w:highlight w:val="none"/>
        </w:rPr>
        <w:t>入支出决算总表</w:t>
      </w:r>
    </w:p>
    <w:p>
      <w:pPr>
        <w:pStyle w:val="3"/>
        <w:rPr>
          <w:rFonts w:ascii="仿宋" w:hAnsi="仿宋" w:eastAsia="仿宋"/>
          <w:color w:val="auto"/>
          <w:highlight w:val="none"/>
        </w:rPr>
      </w:pPr>
      <w:bookmarkStart w:id="89" w:name="_Toc15396620"/>
      <w:r>
        <w:rPr>
          <w:rFonts w:hint="eastAsia" w:ascii="仿宋" w:hAnsi="仿宋" w:eastAsia="仿宋"/>
          <w:b w:val="0"/>
          <w:color w:val="auto"/>
          <w:highlight w:val="none"/>
        </w:rPr>
        <w:t>二、收</w:t>
      </w:r>
      <w:r>
        <w:rPr>
          <w:rStyle w:val="14"/>
          <w:rFonts w:hint="eastAsia" w:ascii="仿宋" w:hAnsi="仿宋" w:eastAsia="仿宋"/>
          <w:b w:val="0"/>
          <w:bCs w:val="0"/>
          <w:color w:val="auto"/>
          <w:highlight w:val="none"/>
        </w:rPr>
        <w:t>入决算表</w:t>
      </w:r>
      <w:bookmarkEnd w:id="89"/>
    </w:p>
    <w:p>
      <w:pPr>
        <w:pStyle w:val="3"/>
        <w:rPr>
          <w:rFonts w:ascii="仿宋" w:hAnsi="仿宋" w:eastAsia="仿宋"/>
          <w:color w:val="auto"/>
          <w:highlight w:val="none"/>
        </w:rPr>
      </w:pPr>
      <w:bookmarkStart w:id="90" w:name="_Toc15396621"/>
      <w:r>
        <w:rPr>
          <w:rStyle w:val="14"/>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4"/>
          <w:rFonts w:hint="eastAsia" w:ascii="仿宋" w:hAnsi="仿宋" w:eastAsia="仿宋"/>
          <w:b w:val="0"/>
          <w:bCs w:val="0"/>
          <w:color w:val="auto"/>
          <w:highlight w:val="none"/>
        </w:rPr>
        <w:t>出决算表</w:t>
      </w:r>
      <w:bookmarkEnd w:id="90"/>
    </w:p>
    <w:p>
      <w:pPr>
        <w:pStyle w:val="3"/>
        <w:rPr>
          <w:rFonts w:ascii="仿宋" w:hAnsi="仿宋" w:eastAsia="仿宋"/>
          <w:b w:val="0"/>
          <w:color w:val="auto"/>
          <w:highlight w:val="none"/>
        </w:rPr>
      </w:pPr>
      <w:bookmarkStart w:id="91" w:name="_Toc15396622"/>
      <w:r>
        <w:rPr>
          <w:rStyle w:val="14"/>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4"/>
          <w:rFonts w:hint="eastAsia" w:ascii="仿宋" w:hAnsi="仿宋" w:eastAsia="仿宋"/>
          <w:b w:val="0"/>
          <w:bCs w:val="0"/>
          <w:color w:val="auto"/>
          <w:highlight w:val="none"/>
        </w:rPr>
        <w:t>政拨款收入支出决算总表</w:t>
      </w:r>
      <w:bookmarkEnd w:id="91"/>
    </w:p>
    <w:p>
      <w:pPr>
        <w:pStyle w:val="3"/>
        <w:rPr>
          <w:rStyle w:val="14"/>
          <w:rFonts w:ascii="仿宋" w:hAnsi="仿宋" w:eastAsia="仿宋"/>
          <w:b w:val="0"/>
          <w:bCs w:val="0"/>
          <w:color w:val="auto"/>
          <w:highlight w:val="none"/>
        </w:rPr>
      </w:pPr>
      <w:bookmarkStart w:id="92" w:name="_Toc15396623"/>
      <w:r>
        <w:rPr>
          <w:rStyle w:val="14"/>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4"/>
          <w:rFonts w:hint="eastAsia" w:ascii="仿宋" w:hAnsi="仿宋" w:eastAsia="仿宋"/>
          <w:b w:val="0"/>
          <w:bCs w:val="0"/>
          <w:color w:val="auto"/>
          <w:highlight w:val="none"/>
        </w:rPr>
        <w:t>政拨款支出决算明细表</w:t>
      </w:r>
      <w:bookmarkEnd w:id="92"/>
      <w:bookmarkStart w:id="93" w:name="_Toc15396624"/>
    </w:p>
    <w:p>
      <w:pPr>
        <w:pStyle w:val="3"/>
        <w:rPr>
          <w:rFonts w:ascii="仿宋" w:hAnsi="仿宋" w:eastAsia="仿宋"/>
          <w:color w:val="auto"/>
          <w:highlight w:val="none"/>
        </w:rPr>
      </w:pPr>
      <w:r>
        <w:rPr>
          <w:rStyle w:val="14"/>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4"/>
          <w:rFonts w:hint="eastAsia" w:ascii="仿宋" w:hAnsi="仿宋" w:eastAsia="仿宋"/>
          <w:b w:val="0"/>
          <w:bCs w:val="0"/>
          <w:color w:val="auto"/>
          <w:highlight w:val="none"/>
        </w:rPr>
        <w:t>般公共预算财政拨款支出决算表</w:t>
      </w:r>
      <w:bookmarkEnd w:id="93"/>
    </w:p>
    <w:p>
      <w:pPr>
        <w:pStyle w:val="3"/>
        <w:rPr>
          <w:rFonts w:ascii="仿宋" w:hAnsi="仿宋" w:eastAsia="仿宋"/>
          <w:color w:val="auto"/>
          <w:highlight w:val="none"/>
        </w:rPr>
      </w:pPr>
      <w:bookmarkStart w:id="94" w:name="_Toc15396625"/>
      <w:r>
        <w:rPr>
          <w:rStyle w:val="14"/>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4"/>
          <w:rFonts w:hint="eastAsia" w:ascii="仿宋" w:hAnsi="仿宋" w:eastAsia="仿宋"/>
          <w:b w:val="0"/>
          <w:bCs w:val="0"/>
          <w:color w:val="auto"/>
          <w:highlight w:val="none"/>
        </w:rPr>
        <w:t>般公共预算财政拨款支出决算明细表</w:t>
      </w:r>
      <w:bookmarkEnd w:id="94"/>
    </w:p>
    <w:p>
      <w:pPr>
        <w:pStyle w:val="3"/>
        <w:rPr>
          <w:rFonts w:ascii="仿宋" w:hAnsi="仿宋" w:eastAsia="仿宋"/>
          <w:color w:val="auto"/>
          <w:highlight w:val="none"/>
        </w:rPr>
      </w:pPr>
      <w:bookmarkStart w:id="95" w:name="_Toc15396626"/>
      <w:r>
        <w:rPr>
          <w:rStyle w:val="14"/>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4"/>
          <w:rFonts w:hint="eastAsia" w:ascii="仿宋" w:hAnsi="仿宋" w:eastAsia="仿宋"/>
          <w:b w:val="0"/>
          <w:bCs w:val="0"/>
          <w:color w:val="auto"/>
          <w:highlight w:val="none"/>
        </w:rPr>
        <w:t>般公共预算财政拨款基本支出决算表</w:t>
      </w:r>
      <w:bookmarkEnd w:id="95"/>
    </w:p>
    <w:p>
      <w:pPr>
        <w:pStyle w:val="3"/>
        <w:rPr>
          <w:rFonts w:ascii="仿宋" w:hAnsi="仿宋" w:eastAsia="仿宋"/>
          <w:color w:val="auto"/>
          <w:highlight w:val="none"/>
        </w:rPr>
      </w:pPr>
      <w:bookmarkStart w:id="96" w:name="_Toc15396627"/>
      <w:r>
        <w:rPr>
          <w:rStyle w:val="14"/>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4"/>
          <w:rFonts w:hint="eastAsia" w:ascii="仿宋" w:hAnsi="仿宋" w:eastAsia="仿宋"/>
          <w:b w:val="0"/>
          <w:bCs w:val="0"/>
          <w:color w:val="auto"/>
          <w:highlight w:val="none"/>
        </w:rPr>
        <w:t>般公共预算财政拨款项目支出决算表</w:t>
      </w:r>
      <w:bookmarkEnd w:id="96"/>
    </w:p>
    <w:p>
      <w:pPr>
        <w:pStyle w:val="3"/>
        <w:rPr>
          <w:rFonts w:ascii="仿宋" w:hAnsi="仿宋" w:eastAsia="仿宋"/>
          <w:color w:val="auto"/>
          <w:highlight w:val="none"/>
        </w:rPr>
      </w:pPr>
      <w:bookmarkStart w:id="97" w:name="_Toc15396628"/>
      <w:r>
        <w:rPr>
          <w:rStyle w:val="14"/>
          <w:rFonts w:hint="eastAsia" w:ascii="仿宋" w:hAnsi="仿宋" w:eastAsia="仿宋"/>
          <w:b w:val="0"/>
          <w:bCs w:val="0"/>
          <w:color w:val="auto"/>
          <w:highlight w:val="none"/>
        </w:rPr>
        <w:t>十、</w:t>
      </w:r>
      <w:bookmarkEnd w:id="97"/>
      <w:r>
        <w:rPr>
          <w:rFonts w:hint="eastAsia" w:ascii="仿宋" w:hAnsi="仿宋" w:eastAsia="仿宋"/>
          <w:b w:val="0"/>
          <w:color w:val="auto"/>
          <w:highlight w:val="none"/>
        </w:rPr>
        <w:t>政</w:t>
      </w:r>
      <w:r>
        <w:rPr>
          <w:rStyle w:val="14"/>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98" w:name="_Toc15396629"/>
      <w:r>
        <w:rPr>
          <w:rStyle w:val="14"/>
          <w:rFonts w:hint="eastAsia" w:ascii="仿宋" w:hAnsi="仿宋" w:eastAsia="仿宋"/>
          <w:b w:val="0"/>
          <w:bCs w:val="0"/>
          <w:color w:val="auto"/>
          <w:highlight w:val="none"/>
        </w:rPr>
        <w:t>十一、</w:t>
      </w:r>
      <w:bookmarkEnd w:id="98"/>
      <w:r>
        <w:rPr>
          <w:rFonts w:hint="eastAsia" w:ascii="仿宋" w:hAnsi="仿宋" w:eastAsia="仿宋"/>
          <w:b w:val="0"/>
          <w:color w:val="auto"/>
          <w:highlight w:val="none"/>
        </w:rPr>
        <w:t>国</w:t>
      </w:r>
      <w:r>
        <w:rPr>
          <w:rStyle w:val="14"/>
          <w:rFonts w:hint="eastAsia" w:ascii="仿宋" w:hAnsi="仿宋" w:eastAsia="仿宋"/>
          <w:b w:val="0"/>
          <w:bCs w:val="0"/>
          <w:color w:val="auto"/>
          <w:highlight w:val="none"/>
        </w:rPr>
        <w:t>有资本经营预算财政拨款收入支出决算表</w:t>
      </w:r>
    </w:p>
    <w:p>
      <w:pPr>
        <w:pStyle w:val="3"/>
        <w:rPr>
          <w:rFonts w:ascii="仿宋" w:hAnsi="仿宋" w:eastAsia="仿宋"/>
          <w:color w:val="auto"/>
          <w:highlight w:val="none"/>
        </w:rPr>
      </w:pPr>
      <w:bookmarkStart w:id="99" w:name="_Toc15396630"/>
      <w:r>
        <w:rPr>
          <w:rStyle w:val="14"/>
          <w:rFonts w:hint="eastAsia" w:ascii="仿宋" w:hAnsi="仿宋" w:eastAsia="仿宋"/>
          <w:b w:val="0"/>
          <w:bCs w:val="0"/>
          <w:color w:val="auto"/>
          <w:highlight w:val="none"/>
        </w:rPr>
        <w:t>十二、</w:t>
      </w:r>
      <w:bookmarkEnd w:id="99"/>
      <w:r>
        <w:rPr>
          <w:rStyle w:val="14"/>
          <w:rFonts w:hint="eastAsia" w:ascii="仿宋" w:hAnsi="仿宋" w:eastAsia="仿宋"/>
          <w:b w:val="0"/>
          <w:bCs w:val="0"/>
          <w:color w:val="auto"/>
          <w:highlight w:val="none"/>
        </w:rPr>
        <w:t>国有资本经营预算财政拨款支出决算表</w:t>
      </w:r>
    </w:p>
    <w:p>
      <w:pPr>
        <w:pStyle w:val="3"/>
        <w:rPr>
          <w:color w:val="auto"/>
          <w:highlight w:val="none"/>
        </w:rPr>
      </w:pPr>
      <w:bookmarkStart w:id="100" w:name="_Toc15396631"/>
      <w:r>
        <w:rPr>
          <w:rStyle w:val="14"/>
          <w:rFonts w:hint="eastAsia" w:ascii="仿宋" w:hAnsi="仿宋" w:eastAsia="仿宋"/>
          <w:b w:val="0"/>
          <w:bCs w:val="0"/>
          <w:color w:val="auto"/>
          <w:highlight w:val="none"/>
        </w:rPr>
        <w:t>十三、</w:t>
      </w:r>
      <w:bookmarkEnd w:id="100"/>
      <w:r>
        <w:rPr>
          <w:rStyle w:val="14"/>
          <w:rFonts w:hint="eastAsia" w:ascii="仿宋" w:hAnsi="仿宋" w:eastAsia="仿宋"/>
          <w:b w:val="0"/>
          <w:bCs w:val="0"/>
          <w:color w:val="auto"/>
          <w:highlight w:val="none"/>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99263"/>
    <w:multiLevelType w:val="singleLevel"/>
    <w:tmpl w:val="4AF99263"/>
    <w:lvl w:ilvl="0" w:tentative="0">
      <w:start w:val="2"/>
      <w:numFmt w:val="chineseCounting"/>
      <w:suff w:val="nothing"/>
      <w:lvlText w:val="%1、"/>
      <w:lvlJc w:val="left"/>
      <w:rPr>
        <w:rFonts w:hint="eastAsia"/>
      </w:rPr>
    </w:lvl>
  </w:abstractNum>
  <w:abstractNum w:abstractNumId="1">
    <w:nsid w:val="5C814B9E"/>
    <w:multiLevelType w:val="singleLevel"/>
    <w:tmpl w:val="5C814B9E"/>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3357E"/>
    <w:rsid w:val="09810862"/>
    <w:rsid w:val="0DAC42D2"/>
    <w:rsid w:val="1AF3357E"/>
    <w:rsid w:val="250F295D"/>
    <w:rsid w:val="255E40DD"/>
    <w:rsid w:val="25A84373"/>
    <w:rsid w:val="33711933"/>
    <w:rsid w:val="3F6F3299"/>
    <w:rsid w:val="513008C7"/>
    <w:rsid w:val="52686F53"/>
    <w:rsid w:val="596A69D3"/>
    <w:rsid w:val="5E95554F"/>
    <w:rsid w:val="793D4288"/>
    <w:rsid w:val="7D6F7D28"/>
    <w:rsid w:val="7F7E31B7"/>
    <w:rsid w:val="7FD16E6D"/>
    <w:rsid w:val="A7D90B89"/>
    <w:rsid w:val="BEFF4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character" w:styleId="10">
    <w:name w:val="Strong"/>
    <w:basedOn w:val="9"/>
    <w:qFormat/>
    <w:uiPriority w:val="99"/>
    <w:rPr>
      <w:b/>
    </w:rPr>
  </w:style>
  <w:style w:type="character" w:customStyle="1" w:styleId="11">
    <w:name w:val="标题 1 Char"/>
    <w:basedOn w:val="9"/>
    <w:link w:val="2"/>
    <w:qFormat/>
    <w:uiPriority w:val="9"/>
    <w:rPr>
      <w:b/>
      <w:bCs/>
      <w:kern w:val="44"/>
      <w:sz w:val="44"/>
      <w:szCs w:val="44"/>
    </w:rPr>
  </w:style>
  <w:style w:type="character" w:customStyle="1" w:styleId="12">
    <w:name w:val="标题 2 Char"/>
    <w:basedOn w:val="9"/>
    <w:link w:val="3"/>
    <w:qFormat/>
    <w:uiPriority w:val="9"/>
    <w:rPr>
      <w:rFonts w:asciiTheme="majorHAnsi" w:hAnsiTheme="majorHAnsi" w:eastAsiaTheme="majorEastAsia" w:cstheme="majorBidi"/>
      <w:b/>
      <w:bCs/>
      <w:sz w:val="32"/>
      <w:szCs w:val="32"/>
    </w:rPr>
  </w:style>
  <w:style w:type="paragraph" w:customStyle="1" w:styleId="1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4">
    <w:name w:val="标题 2 字符"/>
    <w:basedOn w:val="9"/>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38</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2024-09-06T08:16:00Z</dcterms:created>
  <dc:creator>Administrator</dc:creator>
  <cp:lastModifiedBy>蔓蔓倾予</cp:lastModifiedBy>
  <cp:lastPrinted>2024-09-10T04:55:00Z</cp:lastPrinted>
  <dcterms:modified xsi:type="dcterms:W3CDTF">2024-09-20T08:51:45Z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34FACA6DC8EA39BF33AFDE66706DCD24</vt:lpwstr>
  </property>
</Properties>
</file>