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78441"/>
      <w:bookmarkStart w:id="1" w:name="_Toc15396475"/>
      <w:bookmarkStart w:id="2" w:name="_Toc15396597"/>
      <w:bookmarkStart w:id="3" w:name="_Toc15377193"/>
      <w:bookmarkStart w:id="4" w:name="_Toc15377425"/>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14" w:name="_GoBack"/>
      <w:bookmarkStart w:id="6" w:name="_Toc8664"/>
      <w:r>
        <w:rPr>
          <w:rFonts w:hint="eastAsia" w:ascii="方正小标宋简体" w:hAnsi="方正小标宋简体" w:eastAsia="方正小标宋简体" w:cs="方正小标宋简体"/>
          <w:sz w:val="72"/>
          <w:szCs w:val="72"/>
        </w:rPr>
        <w:t>2022年度</w:t>
      </w:r>
      <w:bookmarkEnd w:id="0"/>
      <w:bookmarkEnd w:id="1"/>
      <w:bookmarkEnd w:id="2"/>
      <w:bookmarkEnd w:id="3"/>
      <w:bookmarkEnd w:id="4"/>
      <w:bookmarkEnd w:id="6"/>
    </w:p>
    <w:bookmarkEnd w:id="5"/>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7" w:name="_Toc12033"/>
      <w:bookmarkStart w:id="8" w:name="_Toc15378442"/>
      <w:bookmarkStart w:id="9" w:name="_Toc15377194"/>
      <w:bookmarkStart w:id="10" w:name="_Toc15396476"/>
      <w:bookmarkStart w:id="11" w:name="_Toc15396598"/>
      <w:bookmarkStart w:id="12" w:name="_Toc15306268"/>
      <w:bookmarkStart w:id="13" w:name="_Toc15377426"/>
      <w:r>
        <w:rPr>
          <w:rFonts w:hint="eastAsia" w:ascii="方正小标宋简体" w:hAnsi="方正小标宋简体" w:eastAsia="方正小标宋简体" w:cs="方正小标宋简体"/>
          <w:sz w:val="72"/>
          <w:szCs w:val="72"/>
        </w:rPr>
        <w:t>攀枝花市就业创业促进中心部门决算</w:t>
      </w:r>
      <w:bookmarkEnd w:id="7"/>
      <w:bookmarkEnd w:id="8"/>
      <w:bookmarkEnd w:id="9"/>
      <w:bookmarkEnd w:id="10"/>
      <w:bookmarkEnd w:id="11"/>
      <w:bookmarkEnd w:id="12"/>
      <w:bookmarkEnd w:id="13"/>
    </w:p>
    <w:p>
      <w:pPr>
        <w:pStyle w:val="3"/>
        <w:jc w:val="center"/>
        <w:rPr>
          <w:rFonts w:ascii="黑体" w:hAnsi="黑体" w:eastAsia="黑体"/>
          <w:b w:val="0"/>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titlePg/>
          <w:docGrid w:type="lines" w:linePitch="312" w:charSpace="0"/>
        </w:sectPr>
      </w:pPr>
      <w:bookmarkStart w:id="14" w:name="_Toc15377196"/>
      <w:bookmarkStart w:id="15" w:name="_Toc15396599"/>
    </w:p>
    <w:bookmarkEnd w:id="114"/>
    <w:p>
      <w:pPr>
        <w:pStyle w:val="3"/>
        <w:jc w:val="center"/>
        <w:rPr>
          <w:rFonts w:ascii="黑体" w:hAnsi="黑体" w:eastAsia="黑体"/>
          <w:b w:val="0"/>
        </w:rPr>
      </w:pPr>
      <w:r>
        <w:rPr>
          <w:rFonts w:hint="eastAsia" w:ascii="黑体" w:hAnsi="黑体" w:eastAsia="黑体"/>
          <w:b w:val="0"/>
        </w:rPr>
        <w:t>目录</w:t>
      </w:r>
    </w:p>
    <w:p>
      <w:pPr>
        <w:jc w:val="center"/>
      </w:pPr>
      <w:r>
        <w:rPr>
          <w:rFonts w:hint="eastAsia"/>
        </w:rPr>
        <w:t>公开时间：2023年9月</w:t>
      </w:r>
      <w:r>
        <w:rPr>
          <w:rFonts w:hint="eastAsia"/>
          <w:lang w:val="en-US" w:eastAsia="zh-CN"/>
        </w:rPr>
        <w:t>18</w:t>
      </w:r>
      <w:r>
        <w:rPr>
          <w:rFonts w:hint="eastAsia"/>
        </w:rPr>
        <w:t>日</w:t>
      </w:r>
      <w:r>
        <w:rPr>
          <w:rFonts w:hint="eastAsia" w:ascii="黑体" w:hAnsi="黑体" w:eastAsia="黑体"/>
          <w:sz w:val="28"/>
          <w:szCs w:val="28"/>
        </w:rPr>
        <w:fldChar w:fldCharType="begin"/>
      </w:r>
      <w:r>
        <w:rPr>
          <w:rFonts w:hint="eastAsia" w:ascii="黑体" w:hAnsi="黑体" w:eastAsia="黑体"/>
        </w:rPr>
        <w:instrText xml:space="preserve">TOC \o "1-3" \h \u </w:instrText>
      </w:r>
      <w:r>
        <w:rPr>
          <w:rFonts w:hint="eastAsia" w:ascii="黑体" w:hAnsi="黑体" w:eastAsia="黑体"/>
          <w:sz w:val="28"/>
          <w:szCs w:val="28"/>
        </w:rPr>
        <w:fldChar w:fldCharType="separate"/>
      </w:r>
    </w:p>
    <w:p>
      <w:pPr>
        <w:pStyle w:val="13"/>
        <w:tabs>
          <w:tab w:val="right" w:leader="dot" w:pos="8306"/>
          <w:tab w:val="clear" w:pos="8296"/>
        </w:tabs>
        <w:rPr>
          <w:rFonts w:ascii="仿宋_GB2312" w:hAnsi="仿宋_GB2312" w:eastAsia="仿宋_GB2312" w:cs="仿宋_GB2312"/>
          <w:sz w:val="24"/>
          <w:szCs w:val="24"/>
        </w:rPr>
      </w:pPr>
      <w:r>
        <w:fldChar w:fldCharType="begin"/>
      </w:r>
      <w:r>
        <w:instrText xml:space="preserve"> HYPERLINK \l "_Toc19006" </w:instrText>
      </w:r>
      <w:r>
        <w:fldChar w:fldCharType="separate"/>
      </w:r>
      <w:r>
        <w:rPr>
          <w:rFonts w:hint="eastAsia" w:ascii="仿宋_GB2312" w:hAnsi="仿宋_GB2312" w:eastAsia="仿宋_GB2312" w:cs="仿宋_GB2312"/>
          <w:sz w:val="24"/>
          <w:szCs w:val="24"/>
        </w:rPr>
        <w:t>第一部分 部门概况</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_Toc19006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4"/>
        <w:tabs>
          <w:tab w:val="right" w:leader="dot" w:pos="8306"/>
          <w:tab w:val="clear" w:pos="8296"/>
        </w:tabs>
        <w:ind w:left="0" w:leftChars="0"/>
        <w:rPr>
          <w:rFonts w:ascii="仿宋_GB2312" w:hAnsi="仿宋_GB2312" w:eastAsia="仿宋_GB2312" w:cs="仿宋_GB2312"/>
          <w:sz w:val="24"/>
        </w:rPr>
      </w:pPr>
      <w:r>
        <w:fldChar w:fldCharType="begin"/>
      </w:r>
      <w:r>
        <w:instrText xml:space="preserve"> HYPERLINK \l "_Toc847" </w:instrText>
      </w:r>
      <w:r>
        <w:fldChar w:fldCharType="separate"/>
      </w:r>
      <w:r>
        <w:rPr>
          <w:rFonts w:hint="eastAsia" w:ascii="仿宋_GB2312" w:hAnsi="仿宋_GB2312" w:eastAsia="仿宋_GB2312" w:cs="仿宋_GB2312"/>
          <w:sz w:val="24"/>
        </w:rPr>
        <w:t>一、 部门职责</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_Toc847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1</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14"/>
        <w:tabs>
          <w:tab w:val="right" w:leader="dot" w:pos="8306"/>
          <w:tab w:val="clear" w:pos="8296"/>
        </w:tabs>
        <w:ind w:left="0" w:leftChars="0"/>
        <w:rPr>
          <w:rFonts w:ascii="仿宋_GB2312" w:hAnsi="仿宋_GB2312" w:eastAsia="仿宋_GB2312" w:cs="仿宋_GB2312"/>
          <w:sz w:val="24"/>
        </w:rPr>
      </w:pPr>
      <w:r>
        <w:fldChar w:fldCharType="begin"/>
      </w:r>
      <w:r>
        <w:instrText xml:space="preserve"> HYPERLINK \l "_Toc32500" </w:instrText>
      </w:r>
      <w:r>
        <w:fldChar w:fldCharType="separate"/>
      </w:r>
      <w:r>
        <w:rPr>
          <w:rFonts w:hint="eastAsia" w:ascii="仿宋_GB2312" w:hAnsi="仿宋_GB2312" w:eastAsia="仿宋_GB2312" w:cs="仿宋_GB2312"/>
          <w:sz w:val="24"/>
        </w:rPr>
        <w:t>二、机构设置</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_Toc32500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2</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13"/>
        <w:tabs>
          <w:tab w:val="right" w:leader="dot" w:pos="8306"/>
          <w:tab w:val="clear" w:pos="8296"/>
        </w:tabs>
        <w:rPr>
          <w:rFonts w:ascii="仿宋_GB2312" w:hAnsi="仿宋_GB2312" w:eastAsia="仿宋_GB2312" w:cs="仿宋_GB2312"/>
          <w:sz w:val="24"/>
          <w:szCs w:val="24"/>
        </w:rPr>
      </w:pPr>
      <w:r>
        <w:fldChar w:fldCharType="begin"/>
      </w:r>
      <w:r>
        <w:instrText xml:space="preserve"> HYPERLINK \l "_Toc492" </w:instrText>
      </w:r>
      <w:r>
        <w:fldChar w:fldCharType="separate"/>
      </w:r>
      <w:r>
        <w:rPr>
          <w:rFonts w:hint="eastAsia" w:ascii="仿宋_GB2312" w:hAnsi="仿宋_GB2312" w:eastAsia="仿宋_GB2312" w:cs="仿宋_GB2312"/>
          <w:sz w:val="24"/>
          <w:szCs w:val="24"/>
        </w:rPr>
        <w:t>第二部分 2022年度</w:t>
      </w:r>
      <w:r>
        <w:rPr>
          <w:rFonts w:hint="eastAsia" w:ascii="仿宋_GB2312" w:hAnsi="仿宋_GB2312" w:eastAsia="仿宋_GB2312" w:cs="仿宋_GB2312"/>
          <w:bCs/>
          <w:sz w:val="24"/>
          <w:szCs w:val="24"/>
        </w:rPr>
        <w:t>部门决算情况说明</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_Toc492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4"/>
        <w:tabs>
          <w:tab w:val="right" w:leader="dot" w:pos="8306"/>
          <w:tab w:val="clear" w:pos="8296"/>
        </w:tabs>
        <w:ind w:left="0" w:leftChars="0"/>
        <w:rPr>
          <w:rFonts w:ascii="仿宋_GB2312" w:hAnsi="仿宋_GB2312" w:eastAsia="仿宋_GB2312" w:cs="仿宋_GB2312"/>
          <w:sz w:val="24"/>
        </w:rPr>
      </w:pPr>
      <w:r>
        <w:fldChar w:fldCharType="begin"/>
      </w:r>
      <w:r>
        <w:instrText xml:space="preserve"> HYPERLINK \l "_Toc6140" </w:instrText>
      </w:r>
      <w:r>
        <w:fldChar w:fldCharType="separate"/>
      </w:r>
      <w:r>
        <w:rPr>
          <w:rFonts w:hint="eastAsia" w:ascii="仿宋_GB2312" w:hAnsi="仿宋_GB2312" w:eastAsia="仿宋_GB2312" w:cs="仿宋_GB2312"/>
          <w:sz w:val="24"/>
        </w:rPr>
        <w:t>一、 收入支出决算总体情况说明</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_Toc6140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3</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14"/>
        <w:tabs>
          <w:tab w:val="right" w:leader="dot" w:pos="8306"/>
          <w:tab w:val="clear" w:pos="8296"/>
        </w:tabs>
        <w:ind w:left="0" w:leftChars="0"/>
        <w:rPr>
          <w:rFonts w:ascii="仿宋_GB2312" w:hAnsi="仿宋_GB2312" w:eastAsia="仿宋_GB2312" w:cs="仿宋_GB2312"/>
          <w:sz w:val="24"/>
        </w:rPr>
      </w:pPr>
      <w:r>
        <w:fldChar w:fldCharType="begin"/>
      </w:r>
      <w:r>
        <w:instrText xml:space="preserve"> HYPERLINK \l "_Toc14039" </w:instrText>
      </w:r>
      <w:r>
        <w:fldChar w:fldCharType="separate"/>
      </w:r>
      <w:r>
        <w:rPr>
          <w:rFonts w:hint="eastAsia" w:ascii="仿宋_GB2312" w:hAnsi="仿宋_GB2312" w:eastAsia="仿宋_GB2312" w:cs="仿宋_GB2312"/>
          <w:sz w:val="24"/>
        </w:rPr>
        <w:t>二、 收入决算情况说明</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_Toc14039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3</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14"/>
        <w:tabs>
          <w:tab w:val="right" w:leader="dot" w:pos="8306"/>
          <w:tab w:val="clear" w:pos="8296"/>
        </w:tabs>
        <w:ind w:left="0" w:leftChars="0"/>
        <w:rPr>
          <w:rFonts w:ascii="仿宋_GB2312" w:hAnsi="仿宋_GB2312" w:eastAsia="仿宋_GB2312" w:cs="仿宋_GB2312"/>
          <w:sz w:val="24"/>
        </w:rPr>
      </w:pPr>
      <w:r>
        <w:fldChar w:fldCharType="begin"/>
      </w:r>
      <w:r>
        <w:instrText xml:space="preserve"> HYPERLINK \l "_Toc15699" </w:instrText>
      </w:r>
      <w:r>
        <w:fldChar w:fldCharType="separate"/>
      </w:r>
      <w:r>
        <w:rPr>
          <w:rFonts w:hint="eastAsia" w:ascii="仿宋_GB2312" w:hAnsi="仿宋_GB2312" w:eastAsia="仿宋_GB2312" w:cs="仿宋_GB2312"/>
          <w:sz w:val="24"/>
        </w:rPr>
        <w:t>三、 支出决算情况说明</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_Toc15699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4</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14"/>
        <w:tabs>
          <w:tab w:val="right" w:leader="dot" w:pos="8306"/>
          <w:tab w:val="clear" w:pos="8296"/>
        </w:tabs>
        <w:ind w:left="0" w:leftChars="0"/>
        <w:rPr>
          <w:rFonts w:ascii="仿宋_GB2312" w:hAnsi="仿宋_GB2312" w:eastAsia="仿宋_GB2312" w:cs="仿宋_GB2312"/>
          <w:sz w:val="24"/>
        </w:rPr>
      </w:pPr>
      <w:r>
        <w:fldChar w:fldCharType="begin"/>
      </w:r>
      <w:r>
        <w:instrText xml:space="preserve"> HYPERLINK \l "_Toc1658" </w:instrText>
      </w:r>
      <w:r>
        <w:fldChar w:fldCharType="separate"/>
      </w:r>
      <w:r>
        <w:rPr>
          <w:rFonts w:hint="eastAsia" w:ascii="仿宋_GB2312" w:hAnsi="仿宋_GB2312" w:eastAsia="仿宋_GB2312" w:cs="仿宋_GB2312"/>
          <w:sz w:val="24"/>
        </w:rPr>
        <w:t>四、财政拨款收入支出决算总体情况说明</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_Toc1658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5</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14"/>
        <w:tabs>
          <w:tab w:val="right" w:leader="dot" w:pos="8306"/>
          <w:tab w:val="clear" w:pos="8296"/>
        </w:tabs>
        <w:ind w:left="0" w:leftChars="0"/>
        <w:rPr>
          <w:rFonts w:ascii="仿宋_GB2312" w:hAnsi="仿宋_GB2312" w:eastAsia="仿宋_GB2312" w:cs="仿宋_GB2312"/>
          <w:sz w:val="24"/>
        </w:rPr>
      </w:pPr>
      <w:r>
        <w:fldChar w:fldCharType="begin"/>
      </w:r>
      <w:r>
        <w:instrText xml:space="preserve"> HYPERLINK \l "_Toc5632" </w:instrText>
      </w:r>
      <w:r>
        <w:fldChar w:fldCharType="separate"/>
      </w:r>
      <w:r>
        <w:rPr>
          <w:rFonts w:hint="eastAsia" w:ascii="仿宋_GB2312" w:hAnsi="仿宋_GB2312" w:eastAsia="仿宋_GB2312" w:cs="仿宋_GB2312"/>
          <w:sz w:val="24"/>
        </w:rPr>
        <w:t>五、一般公共预算财政拨款支出决算情况说明</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_Toc5632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6</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8"/>
        <w:tabs>
          <w:tab w:val="right" w:leader="dot" w:pos="8306"/>
          <w:tab w:val="clear" w:pos="8296"/>
        </w:tabs>
        <w:ind w:left="0" w:leftChars="0"/>
        <w:rPr>
          <w:rFonts w:ascii="仿宋_GB2312" w:hAnsi="仿宋_GB2312" w:eastAsia="仿宋_GB2312" w:cs="仿宋_GB2312"/>
          <w:sz w:val="24"/>
        </w:rPr>
      </w:pPr>
      <w:r>
        <w:fldChar w:fldCharType="begin"/>
      </w:r>
      <w:r>
        <w:instrText xml:space="preserve"> HYPERLINK \l "_Toc4908" </w:instrText>
      </w:r>
      <w:r>
        <w:fldChar w:fldCharType="separate"/>
      </w:r>
      <w:r>
        <w:rPr>
          <w:rFonts w:hint="eastAsia" w:ascii="仿宋_GB2312" w:hAnsi="仿宋_GB2312" w:eastAsia="仿宋_GB2312" w:cs="仿宋_GB2312"/>
          <w:sz w:val="24"/>
        </w:rPr>
        <w:t>（一）一般公共预算财政拨款支出决算总体情况</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_Toc4908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6</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8"/>
        <w:tabs>
          <w:tab w:val="right" w:leader="dot" w:pos="8306"/>
          <w:tab w:val="clear" w:pos="8296"/>
        </w:tabs>
        <w:ind w:left="0" w:leftChars="0"/>
        <w:rPr>
          <w:rFonts w:ascii="仿宋_GB2312" w:hAnsi="仿宋_GB2312" w:eastAsia="仿宋_GB2312" w:cs="仿宋_GB2312"/>
          <w:sz w:val="24"/>
        </w:rPr>
      </w:pPr>
      <w:r>
        <w:fldChar w:fldCharType="begin"/>
      </w:r>
      <w:r>
        <w:instrText xml:space="preserve"> HYPERLINK \l "_Toc30943" </w:instrText>
      </w:r>
      <w:r>
        <w:fldChar w:fldCharType="separate"/>
      </w:r>
      <w:r>
        <w:rPr>
          <w:rFonts w:hint="eastAsia" w:ascii="仿宋_GB2312" w:hAnsi="仿宋_GB2312" w:eastAsia="仿宋_GB2312" w:cs="仿宋_GB2312"/>
          <w:sz w:val="24"/>
        </w:rPr>
        <w:t>（二）一般公共预算财政拨款支出决算结构情况</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_Toc30943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6</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8"/>
        <w:tabs>
          <w:tab w:val="right" w:leader="dot" w:pos="8306"/>
          <w:tab w:val="clear" w:pos="8296"/>
        </w:tabs>
        <w:ind w:left="0" w:leftChars="0"/>
        <w:rPr>
          <w:rFonts w:ascii="仿宋_GB2312" w:hAnsi="仿宋_GB2312" w:eastAsia="仿宋_GB2312" w:cs="仿宋_GB2312"/>
          <w:sz w:val="24"/>
        </w:rPr>
      </w:pPr>
      <w:r>
        <w:fldChar w:fldCharType="begin"/>
      </w:r>
      <w:r>
        <w:instrText xml:space="preserve"> HYPERLINK \l "_Toc20174" </w:instrText>
      </w:r>
      <w:r>
        <w:fldChar w:fldCharType="separate"/>
      </w:r>
      <w:r>
        <w:rPr>
          <w:rFonts w:hint="eastAsia" w:ascii="仿宋_GB2312" w:hAnsi="仿宋_GB2312" w:eastAsia="仿宋_GB2312" w:cs="仿宋_GB2312"/>
          <w:sz w:val="24"/>
        </w:rPr>
        <w:t>（三）一般公共预算财政拨款支出决算具体情况</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_Toc20174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7</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14"/>
        <w:tabs>
          <w:tab w:val="right" w:leader="dot" w:pos="8306"/>
          <w:tab w:val="clear" w:pos="8296"/>
        </w:tabs>
        <w:ind w:left="0" w:leftChars="0"/>
        <w:rPr>
          <w:rFonts w:ascii="仿宋_GB2312" w:hAnsi="仿宋_GB2312" w:eastAsia="仿宋_GB2312" w:cs="仿宋_GB2312"/>
          <w:sz w:val="24"/>
        </w:rPr>
      </w:pPr>
      <w:r>
        <w:fldChar w:fldCharType="begin"/>
      </w:r>
      <w:r>
        <w:instrText xml:space="preserve"> HYPERLINK \l "_Toc23647" </w:instrText>
      </w:r>
      <w:r>
        <w:fldChar w:fldCharType="separate"/>
      </w:r>
      <w:r>
        <w:rPr>
          <w:rFonts w:hint="eastAsia" w:ascii="仿宋_GB2312" w:hAnsi="仿宋_GB2312" w:eastAsia="仿宋_GB2312" w:cs="仿宋_GB2312"/>
          <w:sz w:val="24"/>
        </w:rPr>
        <w:t>六、一般公共预算财政拨款基本支出决算情况说明</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_Toc23647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8</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14"/>
        <w:tabs>
          <w:tab w:val="right" w:leader="dot" w:pos="8306"/>
          <w:tab w:val="clear" w:pos="8296"/>
        </w:tabs>
        <w:ind w:left="0" w:leftChars="0"/>
        <w:rPr>
          <w:rFonts w:ascii="仿宋_GB2312" w:hAnsi="仿宋_GB2312" w:eastAsia="仿宋_GB2312" w:cs="仿宋_GB2312"/>
          <w:sz w:val="24"/>
        </w:rPr>
      </w:pPr>
      <w:r>
        <w:fldChar w:fldCharType="begin"/>
      </w:r>
      <w:r>
        <w:instrText xml:space="preserve"> HYPERLINK \l "_Toc10049" </w:instrText>
      </w:r>
      <w:r>
        <w:fldChar w:fldCharType="separate"/>
      </w:r>
      <w:r>
        <w:rPr>
          <w:rFonts w:hint="eastAsia" w:ascii="仿宋_GB2312" w:hAnsi="仿宋_GB2312" w:eastAsia="仿宋_GB2312" w:cs="仿宋_GB2312"/>
          <w:sz w:val="24"/>
        </w:rPr>
        <w:t>七、财政拨款“三公”经费支出决算情况说明</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_Toc10049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8</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8"/>
        <w:tabs>
          <w:tab w:val="right" w:leader="dot" w:pos="8306"/>
          <w:tab w:val="clear" w:pos="8296"/>
        </w:tabs>
        <w:ind w:left="0" w:leftChars="0"/>
        <w:rPr>
          <w:rFonts w:ascii="仿宋_GB2312" w:hAnsi="仿宋_GB2312" w:eastAsia="仿宋_GB2312" w:cs="仿宋_GB2312"/>
          <w:sz w:val="24"/>
        </w:rPr>
      </w:pPr>
      <w:r>
        <w:rPr>
          <w:rFonts w:hint="eastAsia" w:ascii="仿宋_GB2312" w:hAnsi="仿宋_GB2312" w:eastAsia="仿宋_GB2312" w:cs="仿宋_GB2312"/>
          <w:sz w:val="24"/>
        </w:rPr>
        <w:t>（一）</w:t>
      </w:r>
      <w:r>
        <w:fldChar w:fldCharType="begin"/>
      </w:r>
      <w:r>
        <w:instrText xml:space="preserve"> HYPERLINK \l "_Toc22262" </w:instrText>
      </w:r>
      <w:r>
        <w:fldChar w:fldCharType="separate"/>
      </w:r>
      <w:r>
        <w:rPr>
          <w:rFonts w:hint="eastAsia" w:ascii="仿宋_GB2312" w:hAnsi="仿宋_GB2312" w:eastAsia="仿宋_GB2312" w:cs="仿宋_GB2312"/>
          <w:sz w:val="24"/>
        </w:rPr>
        <w:t>“三公”经费财政拨款支出决算总体情况说明</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_Toc22262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8</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8"/>
        <w:tabs>
          <w:tab w:val="right" w:leader="dot" w:pos="8306"/>
          <w:tab w:val="clear" w:pos="8296"/>
        </w:tabs>
        <w:ind w:left="0" w:leftChars="0"/>
        <w:rPr>
          <w:rFonts w:ascii="仿宋_GB2312" w:hAnsi="仿宋_GB2312" w:eastAsia="仿宋_GB2312" w:cs="仿宋_GB2312"/>
          <w:sz w:val="24"/>
        </w:rPr>
      </w:pPr>
      <w:r>
        <w:fldChar w:fldCharType="begin"/>
      </w:r>
      <w:r>
        <w:instrText xml:space="preserve"> HYPERLINK \l "_Toc13750" </w:instrText>
      </w:r>
      <w:r>
        <w:fldChar w:fldCharType="separate"/>
      </w:r>
      <w:r>
        <w:rPr>
          <w:rFonts w:hint="eastAsia" w:ascii="仿宋_GB2312" w:hAnsi="仿宋_GB2312" w:eastAsia="仿宋_GB2312" w:cs="仿宋_GB2312"/>
          <w:sz w:val="24"/>
        </w:rPr>
        <w:t>（二）“三公”经费财政拨款支出决算具体情况说明</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_Toc13750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9</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14"/>
        <w:tabs>
          <w:tab w:val="right" w:leader="dot" w:pos="8306"/>
          <w:tab w:val="clear" w:pos="8296"/>
        </w:tabs>
        <w:ind w:left="0" w:leftChars="0"/>
        <w:rPr>
          <w:rFonts w:ascii="仿宋_GB2312" w:hAnsi="仿宋_GB2312" w:eastAsia="仿宋_GB2312" w:cs="仿宋_GB2312"/>
          <w:sz w:val="24"/>
        </w:rPr>
      </w:pPr>
      <w:r>
        <w:fldChar w:fldCharType="begin"/>
      </w:r>
      <w:r>
        <w:instrText xml:space="preserve"> HYPERLINK \l "_Toc13065" </w:instrText>
      </w:r>
      <w:r>
        <w:fldChar w:fldCharType="separate"/>
      </w:r>
      <w:r>
        <w:rPr>
          <w:rFonts w:hint="eastAsia" w:ascii="仿宋_GB2312" w:hAnsi="仿宋_GB2312" w:eastAsia="仿宋_GB2312" w:cs="仿宋_GB2312"/>
          <w:sz w:val="24"/>
        </w:rPr>
        <w:t>八、政府性基金预算支出决算情况说明</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_Toc13065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10</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14"/>
        <w:tabs>
          <w:tab w:val="right" w:leader="dot" w:pos="8306"/>
          <w:tab w:val="clear" w:pos="8296"/>
        </w:tabs>
        <w:ind w:left="0" w:leftChars="0"/>
        <w:rPr>
          <w:rFonts w:ascii="仿宋_GB2312" w:hAnsi="仿宋_GB2312" w:eastAsia="仿宋_GB2312" w:cs="仿宋_GB2312"/>
          <w:sz w:val="24"/>
        </w:rPr>
      </w:pPr>
      <w:r>
        <w:fldChar w:fldCharType="begin"/>
      </w:r>
      <w:r>
        <w:instrText xml:space="preserve"> HYPERLINK \l "_Toc1225" </w:instrText>
      </w:r>
      <w:r>
        <w:fldChar w:fldCharType="separate"/>
      </w:r>
      <w:r>
        <w:rPr>
          <w:rFonts w:hint="eastAsia" w:ascii="仿宋_GB2312" w:hAnsi="仿宋_GB2312" w:eastAsia="仿宋_GB2312" w:cs="仿宋_GB2312"/>
          <w:sz w:val="24"/>
        </w:rPr>
        <w:t>九、 国有资本经营预算支出决算情况说明</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_Toc1225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10</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14"/>
        <w:tabs>
          <w:tab w:val="right" w:leader="dot" w:pos="8306"/>
          <w:tab w:val="clear" w:pos="8296"/>
        </w:tabs>
        <w:ind w:left="0" w:leftChars="0"/>
        <w:rPr>
          <w:rFonts w:ascii="仿宋_GB2312" w:hAnsi="仿宋_GB2312" w:eastAsia="仿宋_GB2312" w:cs="仿宋_GB2312"/>
          <w:sz w:val="24"/>
        </w:rPr>
      </w:pPr>
      <w:r>
        <w:fldChar w:fldCharType="begin"/>
      </w:r>
      <w:r>
        <w:instrText xml:space="preserve"> HYPERLINK \l "_Toc12049" </w:instrText>
      </w:r>
      <w:r>
        <w:fldChar w:fldCharType="separate"/>
      </w:r>
      <w:r>
        <w:rPr>
          <w:rFonts w:hint="eastAsia" w:ascii="仿宋_GB2312" w:hAnsi="仿宋_GB2312" w:eastAsia="仿宋_GB2312" w:cs="仿宋_GB2312"/>
          <w:sz w:val="24"/>
        </w:rPr>
        <w:t>十、 其他重要事项的情况说明</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_Toc12049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10</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8"/>
        <w:tabs>
          <w:tab w:val="right" w:leader="dot" w:pos="8306"/>
          <w:tab w:val="clear" w:pos="8296"/>
        </w:tabs>
        <w:ind w:left="0" w:leftChars="0"/>
        <w:rPr>
          <w:rFonts w:ascii="仿宋_GB2312" w:hAnsi="仿宋_GB2312" w:eastAsia="仿宋_GB2312" w:cs="仿宋_GB2312"/>
          <w:sz w:val="24"/>
        </w:rPr>
      </w:pPr>
      <w:r>
        <w:fldChar w:fldCharType="begin"/>
      </w:r>
      <w:r>
        <w:instrText xml:space="preserve"> HYPERLINK \l "_Toc7052" </w:instrText>
      </w:r>
      <w:r>
        <w:fldChar w:fldCharType="separate"/>
      </w:r>
      <w:r>
        <w:rPr>
          <w:rFonts w:hint="eastAsia" w:ascii="仿宋_GB2312" w:hAnsi="仿宋_GB2312" w:eastAsia="仿宋_GB2312" w:cs="仿宋_GB2312"/>
          <w:sz w:val="24"/>
        </w:rPr>
        <w:t>（一）机关运行经费支出情况</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_Toc7052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10</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8"/>
        <w:tabs>
          <w:tab w:val="right" w:leader="dot" w:pos="8306"/>
          <w:tab w:val="clear" w:pos="8296"/>
        </w:tabs>
        <w:ind w:left="0" w:leftChars="0"/>
        <w:rPr>
          <w:rFonts w:ascii="仿宋_GB2312" w:hAnsi="仿宋_GB2312" w:eastAsia="仿宋_GB2312" w:cs="仿宋_GB2312"/>
          <w:sz w:val="24"/>
        </w:rPr>
      </w:pPr>
      <w:r>
        <w:fldChar w:fldCharType="begin"/>
      </w:r>
      <w:r>
        <w:instrText xml:space="preserve"> HYPERLINK \l "_Toc30293" </w:instrText>
      </w:r>
      <w:r>
        <w:fldChar w:fldCharType="separate"/>
      </w:r>
      <w:r>
        <w:rPr>
          <w:rFonts w:hint="eastAsia" w:ascii="仿宋_GB2312" w:hAnsi="仿宋_GB2312" w:eastAsia="仿宋_GB2312" w:cs="仿宋_GB2312"/>
          <w:sz w:val="24"/>
        </w:rPr>
        <w:t>（二）政府采购支出情况</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_Toc30293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10</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8"/>
        <w:tabs>
          <w:tab w:val="right" w:leader="dot" w:pos="8306"/>
          <w:tab w:val="clear" w:pos="8296"/>
        </w:tabs>
        <w:ind w:left="0" w:leftChars="0"/>
        <w:rPr>
          <w:rFonts w:ascii="仿宋_GB2312" w:hAnsi="仿宋_GB2312" w:eastAsia="仿宋_GB2312" w:cs="仿宋_GB2312"/>
          <w:sz w:val="24"/>
        </w:rPr>
      </w:pPr>
      <w:r>
        <w:fldChar w:fldCharType="begin"/>
      </w:r>
      <w:r>
        <w:instrText xml:space="preserve"> HYPERLINK \l "_Toc7874" </w:instrText>
      </w:r>
      <w:r>
        <w:fldChar w:fldCharType="separate"/>
      </w:r>
      <w:r>
        <w:rPr>
          <w:rFonts w:hint="eastAsia" w:ascii="仿宋_GB2312" w:hAnsi="仿宋_GB2312" w:eastAsia="仿宋_GB2312" w:cs="仿宋_GB2312"/>
          <w:sz w:val="24"/>
        </w:rPr>
        <w:t>（三）国有资产占有使用情况</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_Toc7874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11</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8"/>
        <w:tabs>
          <w:tab w:val="right" w:leader="dot" w:pos="8306"/>
          <w:tab w:val="clear" w:pos="8296"/>
        </w:tabs>
        <w:ind w:left="0" w:leftChars="0"/>
        <w:rPr>
          <w:rFonts w:ascii="仿宋_GB2312" w:hAnsi="仿宋_GB2312" w:eastAsia="仿宋_GB2312" w:cs="仿宋_GB2312"/>
          <w:sz w:val="24"/>
        </w:rPr>
      </w:pPr>
      <w:r>
        <w:fldChar w:fldCharType="begin"/>
      </w:r>
      <w:r>
        <w:instrText xml:space="preserve"> HYPERLINK \l "_Toc28368" </w:instrText>
      </w:r>
      <w:r>
        <w:fldChar w:fldCharType="separate"/>
      </w:r>
      <w:r>
        <w:rPr>
          <w:rFonts w:hint="eastAsia" w:ascii="仿宋_GB2312" w:hAnsi="仿宋_GB2312" w:eastAsia="仿宋_GB2312" w:cs="仿宋_GB2312"/>
          <w:sz w:val="24"/>
        </w:rPr>
        <w:t>（四）预算绩效管理情况</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_Toc28368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11</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13"/>
        <w:tabs>
          <w:tab w:val="right" w:leader="dot" w:pos="8306"/>
          <w:tab w:val="clear" w:pos="8296"/>
        </w:tabs>
        <w:rPr>
          <w:rFonts w:ascii="仿宋_GB2312" w:hAnsi="仿宋_GB2312" w:eastAsia="仿宋_GB2312" w:cs="仿宋_GB2312"/>
          <w:sz w:val="24"/>
          <w:szCs w:val="24"/>
        </w:rPr>
      </w:pPr>
      <w:r>
        <w:fldChar w:fldCharType="begin"/>
      </w:r>
      <w:r>
        <w:instrText xml:space="preserve"> HYPERLINK \l "_Toc1945" </w:instrText>
      </w:r>
      <w:r>
        <w:fldChar w:fldCharType="separate"/>
      </w:r>
      <w:r>
        <w:rPr>
          <w:rFonts w:hint="eastAsia" w:ascii="仿宋_GB2312" w:hAnsi="仿宋_GB2312" w:eastAsia="仿宋_GB2312" w:cs="仿宋_GB2312"/>
          <w:sz w:val="24"/>
          <w:szCs w:val="24"/>
        </w:rPr>
        <w:t>第三部分 名词解释</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_Toc1945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13</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3"/>
        <w:tabs>
          <w:tab w:val="right" w:leader="dot" w:pos="8306"/>
          <w:tab w:val="clear" w:pos="8296"/>
        </w:tabs>
        <w:rPr>
          <w:rFonts w:ascii="仿宋_GB2312" w:hAnsi="仿宋_GB2312" w:eastAsia="仿宋_GB2312" w:cs="仿宋_GB2312"/>
          <w:sz w:val="24"/>
          <w:szCs w:val="24"/>
        </w:rPr>
      </w:pPr>
      <w:r>
        <w:fldChar w:fldCharType="begin"/>
      </w:r>
      <w:r>
        <w:instrText xml:space="preserve"> HYPERLINK \l "_Toc13205" </w:instrText>
      </w:r>
      <w:r>
        <w:fldChar w:fldCharType="separate"/>
      </w:r>
      <w:r>
        <w:rPr>
          <w:rFonts w:hint="eastAsia" w:ascii="仿宋_GB2312" w:hAnsi="仿宋_GB2312" w:eastAsia="仿宋_GB2312" w:cs="仿宋_GB2312"/>
          <w:sz w:val="24"/>
          <w:szCs w:val="24"/>
        </w:rPr>
        <w:t>第四部分 附件</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_Toc13205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15</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3"/>
        <w:tabs>
          <w:tab w:val="right" w:leader="dot" w:pos="8306"/>
          <w:tab w:val="clear" w:pos="8296"/>
        </w:tabs>
        <w:rPr>
          <w:rFonts w:ascii="仿宋_GB2312" w:hAnsi="仿宋_GB2312" w:eastAsia="仿宋_GB2312" w:cs="仿宋_GB2312"/>
          <w:sz w:val="24"/>
          <w:szCs w:val="24"/>
        </w:rPr>
      </w:pPr>
      <w:r>
        <w:fldChar w:fldCharType="begin"/>
      </w:r>
      <w:r>
        <w:instrText xml:space="preserve"> HYPERLINK \l "_Toc16404" </w:instrText>
      </w:r>
      <w:r>
        <w:fldChar w:fldCharType="separate"/>
      </w:r>
      <w:r>
        <w:rPr>
          <w:rFonts w:hint="eastAsia" w:ascii="仿宋_GB2312" w:hAnsi="仿宋_GB2312" w:eastAsia="仿宋_GB2312" w:cs="仿宋_GB2312"/>
          <w:sz w:val="24"/>
          <w:szCs w:val="24"/>
        </w:rPr>
        <w:t>第五部分 附表</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PAGEREF _Toc16404 \h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32</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fldChar w:fldCharType="end"/>
      </w:r>
    </w:p>
    <w:p>
      <w:pPr>
        <w:pStyle w:val="14"/>
        <w:tabs>
          <w:tab w:val="right" w:leader="dot" w:pos="8306"/>
          <w:tab w:val="clear" w:pos="8296"/>
        </w:tabs>
        <w:ind w:left="0" w:leftChars="0"/>
        <w:rPr>
          <w:rFonts w:ascii="仿宋_GB2312" w:hAnsi="仿宋_GB2312" w:eastAsia="仿宋_GB2312" w:cs="仿宋_GB2312"/>
          <w:sz w:val="24"/>
        </w:rPr>
      </w:pPr>
      <w:r>
        <w:fldChar w:fldCharType="begin"/>
      </w:r>
      <w:r>
        <w:instrText xml:space="preserve"> HYPERLINK \l "_Toc23624" </w:instrText>
      </w:r>
      <w:r>
        <w:fldChar w:fldCharType="separate"/>
      </w:r>
      <w:r>
        <w:rPr>
          <w:rFonts w:hint="eastAsia" w:ascii="仿宋_GB2312" w:hAnsi="仿宋_GB2312" w:eastAsia="仿宋_GB2312" w:cs="仿宋_GB2312"/>
          <w:sz w:val="24"/>
        </w:rPr>
        <w:t>一、收入支出决算总表</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_Toc23624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32</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14"/>
        <w:tabs>
          <w:tab w:val="right" w:leader="dot" w:pos="8306"/>
          <w:tab w:val="clear" w:pos="8296"/>
        </w:tabs>
        <w:ind w:left="0" w:leftChars="0"/>
        <w:rPr>
          <w:rFonts w:ascii="仿宋_GB2312" w:hAnsi="仿宋_GB2312" w:eastAsia="仿宋_GB2312" w:cs="仿宋_GB2312"/>
          <w:sz w:val="24"/>
        </w:rPr>
      </w:pPr>
      <w:r>
        <w:fldChar w:fldCharType="begin"/>
      </w:r>
      <w:r>
        <w:instrText xml:space="preserve"> HYPERLINK \l "_Toc12131" </w:instrText>
      </w:r>
      <w:r>
        <w:fldChar w:fldCharType="separate"/>
      </w:r>
      <w:r>
        <w:rPr>
          <w:rFonts w:hint="eastAsia" w:ascii="仿宋_GB2312" w:hAnsi="仿宋_GB2312" w:eastAsia="仿宋_GB2312" w:cs="仿宋_GB2312"/>
          <w:sz w:val="24"/>
        </w:rPr>
        <w:t>二、收入决算表</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_Toc12131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32</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14"/>
        <w:tabs>
          <w:tab w:val="right" w:leader="dot" w:pos="8306"/>
          <w:tab w:val="clear" w:pos="8296"/>
        </w:tabs>
        <w:ind w:left="0" w:leftChars="0"/>
        <w:rPr>
          <w:rFonts w:ascii="仿宋_GB2312" w:hAnsi="仿宋_GB2312" w:eastAsia="仿宋_GB2312" w:cs="仿宋_GB2312"/>
          <w:sz w:val="24"/>
        </w:rPr>
      </w:pPr>
      <w:r>
        <w:fldChar w:fldCharType="begin"/>
      </w:r>
      <w:r>
        <w:instrText xml:space="preserve"> HYPERLINK \l "_Toc15902" </w:instrText>
      </w:r>
      <w:r>
        <w:fldChar w:fldCharType="separate"/>
      </w:r>
      <w:r>
        <w:rPr>
          <w:rFonts w:hint="eastAsia" w:ascii="仿宋_GB2312" w:hAnsi="仿宋_GB2312" w:eastAsia="仿宋_GB2312" w:cs="仿宋_GB2312"/>
          <w:sz w:val="24"/>
        </w:rPr>
        <w:t>三、支出决算表</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_Toc15902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32</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14"/>
        <w:tabs>
          <w:tab w:val="right" w:leader="dot" w:pos="8306"/>
          <w:tab w:val="clear" w:pos="8296"/>
        </w:tabs>
        <w:ind w:left="0" w:leftChars="0"/>
        <w:rPr>
          <w:rFonts w:ascii="仿宋_GB2312" w:hAnsi="仿宋_GB2312" w:eastAsia="仿宋_GB2312" w:cs="仿宋_GB2312"/>
          <w:sz w:val="24"/>
        </w:rPr>
      </w:pPr>
      <w:r>
        <w:fldChar w:fldCharType="begin"/>
      </w:r>
      <w:r>
        <w:instrText xml:space="preserve"> HYPERLINK \l "_Toc15411" </w:instrText>
      </w:r>
      <w:r>
        <w:fldChar w:fldCharType="separate"/>
      </w:r>
      <w:r>
        <w:rPr>
          <w:rFonts w:hint="eastAsia" w:ascii="仿宋_GB2312" w:hAnsi="仿宋_GB2312" w:eastAsia="仿宋_GB2312" w:cs="仿宋_GB2312"/>
          <w:sz w:val="24"/>
        </w:rPr>
        <w:t>四、财政拨款收入支出决算总表</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_Toc15411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32</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14"/>
        <w:tabs>
          <w:tab w:val="right" w:leader="dot" w:pos="8306"/>
          <w:tab w:val="clear" w:pos="8296"/>
        </w:tabs>
        <w:ind w:left="0" w:leftChars="0"/>
        <w:rPr>
          <w:rFonts w:ascii="仿宋_GB2312" w:hAnsi="仿宋_GB2312" w:eastAsia="仿宋_GB2312" w:cs="仿宋_GB2312"/>
          <w:sz w:val="24"/>
        </w:rPr>
      </w:pPr>
      <w:r>
        <w:fldChar w:fldCharType="begin"/>
      </w:r>
      <w:r>
        <w:instrText xml:space="preserve"> HYPERLINK \l "_Toc15313" </w:instrText>
      </w:r>
      <w:r>
        <w:fldChar w:fldCharType="separate"/>
      </w:r>
      <w:r>
        <w:rPr>
          <w:rFonts w:hint="eastAsia" w:ascii="仿宋_GB2312" w:hAnsi="仿宋_GB2312" w:eastAsia="仿宋_GB2312" w:cs="仿宋_GB2312"/>
          <w:sz w:val="24"/>
        </w:rPr>
        <w:t>五、财政拨款支出决算明细表</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_Toc15313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32</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14"/>
        <w:tabs>
          <w:tab w:val="right" w:leader="dot" w:pos="8306"/>
          <w:tab w:val="clear" w:pos="8296"/>
        </w:tabs>
        <w:ind w:left="0" w:leftChars="0"/>
        <w:rPr>
          <w:rFonts w:ascii="仿宋_GB2312" w:hAnsi="仿宋_GB2312" w:eastAsia="仿宋_GB2312" w:cs="仿宋_GB2312"/>
          <w:sz w:val="24"/>
        </w:rPr>
      </w:pPr>
      <w:r>
        <w:fldChar w:fldCharType="begin"/>
      </w:r>
      <w:r>
        <w:instrText xml:space="preserve"> HYPERLINK \l "_Toc9554" </w:instrText>
      </w:r>
      <w:r>
        <w:fldChar w:fldCharType="separate"/>
      </w:r>
      <w:r>
        <w:rPr>
          <w:rFonts w:hint="eastAsia" w:ascii="仿宋_GB2312" w:hAnsi="仿宋_GB2312" w:eastAsia="仿宋_GB2312" w:cs="仿宋_GB2312"/>
          <w:sz w:val="24"/>
        </w:rPr>
        <w:t>六、一般公共预算财政拨款支出决算表</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_Toc9554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32</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14"/>
        <w:tabs>
          <w:tab w:val="right" w:leader="dot" w:pos="8306"/>
          <w:tab w:val="clear" w:pos="8296"/>
        </w:tabs>
        <w:ind w:left="0" w:leftChars="0"/>
        <w:rPr>
          <w:rFonts w:ascii="仿宋_GB2312" w:hAnsi="仿宋_GB2312" w:eastAsia="仿宋_GB2312" w:cs="仿宋_GB2312"/>
          <w:sz w:val="24"/>
        </w:rPr>
      </w:pPr>
      <w:r>
        <w:fldChar w:fldCharType="begin"/>
      </w:r>
      <w:r>
        <w:instrText xml:space="preserve"> HYPERLINK \l "_Toc28147" </w:instrText>
      </w:r>
      <w:r>
        <w:fldChar w:fldCharType="separate"/>
      </w:r>
      <w:r>
        <w:rPr>
          <w:rFonts w:hint="eastAsia" w:ascii="仿宋_GB2312" w:hAnsi="仿宋_GB2312" w:eastAsia="仿宋_GB2312" w:cs="仿宋_GB2312"/>
          <w:sz w:val="24"/>
        </w:rPr>
        <w:t>七、一般公共预算财政拨款支出决算明细表</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_Toc28147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32</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14"/>
        <w:tabs>
          <w:tab w:val="right" w:leader="dot" w:pos="8306"/>
          <w:tab w:val="clear" w:pos="8296"/>
        </w:tabs>
        <w:ind w:left="0" w:leftChars="0"/>
        <w:rPr>
          <w:rFonts w:ascii="仿宋_GB2312" w:hAnsi="仿宋_GB2312" w:eastAsia="仿宋_GB2312" w:cs="仿宋_GB2312"/>
          <w:sz w:val="24"/>
        </w:rPr>
      </w:pPr>
      <w:r>
        <w:fldChar w:fldCharType="begin"/>
      </w:r>
      <w:r>
        <w:instrText xml:space="preserve"> HYPERLINK \l "_Toc2582" </w:instrText>
      </w:r>
      <w:r>
        <w:fldChar w:fldCharType="separate"/>
      </w:r>
      <w:r>
        <w:rPr>
          <w:rFonts w:hint="eastAsia" w:ascii="仿宋_GB2312" w:hAnsi="仿宋_GB2312" w:eastAsia="仿宋_GB2312" w:cs="仿宋_GB2312"/>
          <w:sz w:val="24"/>
        </w:rPr>
        <w:t>八、一般公共预算财政拨款基本支出决算表</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_Toc2582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32</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14"/>
        <w:tabs>
          <w:tab w:val="right" w:leader="dot" w:pos="8306"/>
          <w:tab w:val="clear" w:pos="8296"/>
        </w:tabs>
        <w:ind w:left="0" w:leftChars="0"/>
        <w:rPr>
          <w:rFonts w:ascii="仿宋_GB2312" w:hAnsi="仿宋_GB2312" w:eastAsia="仿宋_GB2312" w:cs="仿宋_GB2312"/>
          <w:sz w:val="24"/>
        </w:rPr>
      </w:pPr>
      <w:r>
        <w:fldChar w:fldCharType="begin"/>
      </w:r>
      <w:r>
        <w:instrText xml:space="preserve"> HYPERLINK \l "_Toc836" </w:instrText>
      </w:r>
      <w:r>
        <w:fldChar w:fldCharType="separate"/>
      </w:r>
      <w:r>
        <w:rPr>
          <w:rFonts w:hint="eastAsia" w:ascii="仿宋_GB2312" w:hAnsi="仿宋_GB2312" w:eastAsia="仿宋_GB2312" w:cs="仿宋_GB2312"/>
          <w:sz w:val="24"/>
        </w:rPr>
        <w:t>九、一般公共预算财政拨款项目支出决算表</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_Toc836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32</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14"/>
        <w:tabs>
          <w:tab w:val="right" w:leader="dot" w:pos="8306"/>
          <w:tab w:val="clear" w:pos="8296"/>
        </w:tabs>
        <w:ind w:left="0" w:leftChars="0"/>
        <w:rPr>
          <w:rFonts w:ascii="仿宋_GB2312" w:hAnsi="仿宋_GB2312" w:eastAsia="仿宋_GB2312" w:cs="仿宋_GB2312"/>
          <w:sz w:val="24"/>
        </w:rPr>
      </w:pPr>
      <w:r>
        <w:fldChar w:fldCharType="begin"/>
      </w:r>
      <w:r>
        <w:instrText xml:space="preserve"> HYPERLINK \l "_Toc24548" </w:instrText>
      </w:r>
      <w:r>
        <w:fldChar w:fldCharType="separate"/>
      </w:r>
      <w:r>
        <w:rPr>
          <w:rFonts w:hint="eastAsia" w:ascii="仿宋_GB2312" w:hAnsi="仿宋_GB2312" w:eastAsia="仿宋_GB2312" w:cs="仿宋_GB2312"/>
          <w:sz w:val="24"/>
        </w:rPr>
        <w:t>十、政府性基金预算财政拨款收入支出决算表</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_Toc24548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32</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14"/>
        <w:tabs>
          <w:tab w:val="right" w:leader="dot" w:pos="8306"/>
          <w:tab w:val="clear" w:pos="8296"/>
        </w:tabs>
        <w:ind w:left="0" w:leftChars="0"/>
        <w:rPr>
          <w:rFonts w:ascii="仿宋_GB2312" w:hAnsi="仿宋_GB2312" w:eastAsia="仿宋_GB2312" w:cs="仿宋_GB2312"/>
          <w:sz w:val="24"/>
        </w:rPr>
      </w:pPr>
      <w:r>
        <w:fldChar w:fldCharType="begin"/>
      </w:r>
      <w:r>
        <w:instrText xml:space="preserve"> HYPERLINK \l "_Toc7865" </w:instrText>
      </w:r>
      <w:r>
        <w:fldChar w:fldCharType="separate"/>
      </w:r>
      <w:r>
        <w:rPr>
          <w:rFonts w:hint="eastAsia" w:ascii="仿宋_GB2312" w:hAnsi="仿宋_GB2312" w:eastAsia="仿宋_GB2312" w:cs="仿宋_GB2312"/>
          <w:sz w:val="24"/>
        </w:rPr>
        <w:t>十一、国有资本经营预算财政拨款收入支出决算表</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_Toc7865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32</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14"/>
        <w:tabs>
          <w:tab w:val="right" w:leader="dot" w:pos="8306"/>
          <w:tab w:val="clear" w:pos="8296"/>
        </w:tabs>
        <w:rPr>
          <w:rFonts w:ascii="仿宋_GB2312" w:hAnsi="仿宋_GB2312" w:eastAsia="仿宋_GB2312" w:cs="仿宋_GB2312"/>
          <w:sz w:val="24"/>
        </w:rPr>
        <w:sectPr>
          <w:footerReference r:id="rId10" w:type="first"/>
          <w:footerReference r:id="rId9" w:type="default"/>
          <w:pgSz w:w="11906" w:h="16838"/>
          <w:pgMar w:top="1440" w:right="1800" w:bottom="1440" w:left="1800" w:header="851" w:footer="992" w:gutter="0"/>
          <w:pgNumType w:start="1"/>
          <w:cols w:space="425" w:num="1"/>
          <w:docGrid w:type="lines" w:linePitch="312" w:charSpace="0"/>
        </w:sectPr>
      </w:pPr>
    </w:p>
    <w:p>
      <w:pPr>
        <w:pStyle w:val="14"/>
        <w:tabs>
          <w:tab w:val="right" w:leader="dot" w:pos="8306"/>
          <w:tab w:val="clear" w:pos="8296"/>
        </w:tabs>
        <w:rPr>
          <w:rFonts w:ascii="仿宋_GB2312" w:hAnsi="仿宋_GB2312" w:eastAsia="仿宋_GB2312" w:cs="仿宋_GB2312"/>
          <w:sz w:val="24"/>
        </w:rPr>
      </w:pPr>
      <w:r>
        <w:fldChar w:fldCharType="begin"/>
      </w:r>
      <w:r>
        <w:instrText xml:space="preserve"> HYPERLINK \l "_Toc7312" </w:instrText>
      </w:r>
      <w:r>
        <w:fldChar w:fldCharType="separate"/>
      </w:r>
      <w:r>
        <w:rPr>
          <w:rFonts w:hint="eastAsia" w:ascii="仿宋_GB2312" w:hAnsi="仿宋_GB2312" w:eastAsia="仿宋_GB2312" w:cs="仿宋_GB2312"/>
          <w:sz w:val="24"/>
        </w:rPr>
        <w:t>十二、国有资本经营预算财政拨款支出决算表</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_Toc7312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32</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14"/>
        <w:tabs>
          <w:tab w:val="right" w:leader="dot" w:pos="8306"/>
          <w:tab w:val="clear" w:pos="8296"/>
        </w:tabs>
      </w:pPr>
      <w:r>
        <w:fldChar w:fldCharType="begin"/>
      </w:r>
      <w:r>
        <w:instrText xml:space="preserve"> HYPERLINK \l "_Toc2745" </w:instrText>
      </w:r>
      <w:r>
        <w:fldChar w:fldCharType="separate"/>
      </w:r>
      <w:r>
        <w:rPr>
          <w:rFonts w:hint="eastAsia" w:ascii="仿宋_GB2312" w:hAnsi="仿宋_GB2312" w:eastAsia="仿宋_GB2312" w:cs="仿宋_GB2312"/>
          <w:sz w:val="24"/>
        </w:rPr>
        <w:t>十三、财政拨款“三公”经费支出决算表</w:t>
      </w:r>
      <w:r>
        <w:rPr>
          <w:rFonts w:hint="eastAsia" w:ascii="仿宋_GB2312" w:hAnsi="仿宋_GB2312" w:eastAsia="仿宋_GB2312" w:cs="仿宋_GB2312"/>
          <w:sz w:val="24"/>
        </w:rPr>
        <w:tab/>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PAGEREF _Toc2745 \h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32</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fldChar w:fldCharType="end"/>
      </w:r>
    </w:p>
    <w:p>
      <w:pPr>
        <w:pStyle w:val="3"/>
        <w:rPr>
          <w:rFonts w:ascii="黑体" w:hAnsi="黑体" w:eastAsia="黑体"/>
        </w:rPr>
        <w:sectPr>
          <w:footerReference r:id="rId11" w:type="default"/>
          <w:pgSz w:w="11906" w:h="16838"/>
          <w:pgMar w:top="1440" w:right="1800" w:bottom="1440" w:left="1800" w:header="851" w:footer="992" w:gutter="0"/>
          <w:pgNumType w:start="1"/>
          <w:cols w:space="425" w:num="1"/>
          <w:docGrid w:type="lines" w:linePitch="312" w:charSpace="0"/>
        </w:sectPr>
      </w:pPr>
    </w:p>
    <w:p>
      <w:pPr>
        <w:pStyle w:val="3"/>
        <w:rPr>
          <w:rFonts w:ascii="黑体" w:hAnsi="黑体" w:eastAsia="黑体"/>
          <w:b w:val="0"/>
        </w:rPr>
      </w:pPr>
      <w:r>
        <w:rPr>
          <w:rFonts w:hint="eastAsia" w:ascii="黑体" w:hAnsi="黑体" w:eastAsia="黑体"/>
        </w:rPr>
        <w:fldChar w:fldCharType="end"/>
      </w:r>
    </w:p>
    <w:p>
      <w:pPr>
        <w:pStyle w:val="3"/>
        <w:jc w:val="center"/>
        <w:rPr>
          <w:rFonts w:ascii="黑体" w:eastAsia="黑体"/>
          <w:sz w:val="32"/>
          <w:szCs w:val="32"/>
        </w:rPr>
      </w:pPr>
      <w:bookmarkStart w:id="16" w:name="_Toc19006"/>
      <w:r>
        <w:rPr>
          <w:rFonts w:hint="eastAsia" w:ascii="黑体" w:hAnsi="黑体" w:eastAsia="黑体"/>
          <w:b w:val="0"/>
        </w:rPr>
        <w:t xml:space="preserve">第一部分 </w:t>
      </w:r>
      <w:r>
        <w:rPr>
          <w:rStyle w:val="30"/>
          <w:rFonts w:hint="eastAsia" w:ascii="黑体" w:hAnsi="黑体" w:eastAsia="黑体"/>
          <w:b w:val="0"/>
          <w:bCs w:val="0"/>
        </w:rPr>
        <w:t>部门概况</w:t>
      </w:r>
      <w:bookmarkEnd w:id="14"/>
      <w:bookmarkEnd w:id="15"/>
      <w:bookmarkEnd w:id="16"/>
    </w:p>
    <w:p>
      <w:pPr>
        <w:pStyle w:val="4"/>
        <w:spacing w:before="0" w:after="0" w:line="560" w:lineRule="exact"/>
        <w:ind w:left="-630" w:firstLine="1280" w:firstLineChars="400"/>
        <w:rPr>
          <w:rFonts w:ascii="黑体" w:hAnsi="黑体" w:eastAsia="黑体"/>
          <w:b w:val="0"/>
        </w:rPr>
      </w:pPr>
      <w:bookmarkStart w:id="17" w:name="_Toc847"/>
      <w:r>
        <w:rPr>
          <w:rFonts w:hint="eastAsia" w:ascii="黑体" w:hAnsi="黑体" w:eastAsia="黑体"/>
          <w:b w:val="0"/>
        </w:rPr>
        <w:t xml:space="preserve"> 一、部门职责</w:t>
      </w:r>
      <w:bookmarkEnd w:id="17"/>
    </w:p>
    <w:p>
      <w:pPr>
        <w:spacing w:line="560" w:lineRule="exact"/>
        <w:ind w:firstLine="640" w:firstLineChars="200"/>
        <w:rPr>
          <w:rFonts w:eastAsia="仿宋_GB2312"/>
          <w:sz w:val="32"/>
          <w:szCs w:val="32"/>
        </w:rPr>
      </w:pPr>
      <w:r>
        <w:rPr>
          <w:rFonts w:eastAsia="仿宋_GB2312"/>
          <w:sz w:val="32"/>
          <w:szCs w:val="32"/>
        </w:rPr>
        <w:t>攀枝花市就业创业促进中心是履行政府公共就业创业服务与管理、负责失业保险经办服务与管理、承担全市农民工综合服务具体事务性工作的职能部门。主要职责是：</w:t>
      </w:r>
    </w:p>
    <w:p>
      <w:pPr>
        <w:spacing w:line="560" w:lineRule="exact"/>
        <w:ind w:firstLine="640" w:firstLineChars="200"/>
        <w:rPr>
          <w:rFonts w:eastAsia="仿宋_GB2312"/>
          <w:sz w:val="32"/>
          <w:szCs w:val="32"/>
        </w:rPr>
      </w:pPr>
      <w:r>
        <w:rPr>
          <w:rFonts w:eastAsia="仿宋_GB2312"/>
          <w:sz w:val="32"/>
          <w:szCs w:val="32"/>
        </w:rPr>
        <w:t>1.贯彻执行国家、省、市有关就业创业的法律法规、方针政策，协助拟定全市就业创业促进工作规划和年度发展计划及工作措施，组织落实积极的就业、创业政策。</w:t>
      </w:r>
    </w:p>
    <w:p>
      <w:pPr>
        <w:spacing w:line="580" w:lineRule="exact"/>
        <w:ind w:firstLine="640" w:firstLineChars="200"/>
        <w:rPr>
          <w:rFonts w:eastAsia="仿宋_GB2312"/>
          <w:sz w:val="32"/>
          <w:szCs w:val="32"/>
        </w:rPr>
      </w:pPr>
      <w:r>
        <w:rPr>
          <w:rFonts w:eastAsia="仿宋_GB2312"/>
          <w:sz w:val="32"/>
          <w:szCs w:val="32"/>
        </w:rPr>
        <w:t>2.承担市就业工作领导小组交办工作，制定和完善全市城乡统筹就业工作方案和实施办法，并组织实施。</w:t>
      </w:r>
    </w:p>
    <w:p>
      <w:pPr>
        <w:spacing w:line="580" w:lineRule="exact"/>
        <w:ind w:firstLine="640" w:firstLineChars="200"/>
        <w:rPr>
          <w:rFonts w:eastAsia="仿宋_GB2312"/>
          <w:sz w:val="32"/>
          <w:szCs w:val="32"/>
        </w:rPr>
      </w:pPr>
      <w:r>
        <w:rPr>
          <w:rFonts w:eastAsia="仿宋_GB2312"/>
          <w:sz w:val="32"/>
          <w:szCs w:val="32"/>
        </w:rPr>
        <w:t>3.组织开展全市就业服务与管理工作，制定并实施全市公共就业创业服务计划。</w:t>
      </w:r>
    </w:p>
    <w:p>
      <w:pPr>
        <w:spacing w:line="580" w:lineRule="exact"/>
        <w:ind w:firstLine="640" w:firstLineChars="200"/>
        <w:rPr>
          <w:rFonts w:eastAsia="仿宋_GB2312"/>
          <w:sz w:val="32"/>
          <w:szCs w:val="32"/>
        </w:rPr>
      </w:pPr>
      <w:r>
        <w:rPr>
          <w:rFonts w:eastAsia="仿宋_GB2312"/>
          <w:sz w:val="32"/>
          <w:szCs w:val="32"/>
        </w:rPr>
        <w:t>4.负责全市公共就业创业服务体系建设。</w:t>
      </w:r>
    </w:p>
    <w:p>
      <w:pPr>
        <w:spacing w:line="580" w:lineRule="exact"/>
        <w:ind w:firstLine="640" w:firstLineChars="200"/>
        <w:rPr>
          <w:rFonts w:eastAsia="仿宋_GB2312"/>
          <w:sz w:val="32"/>
          <w:szCs w:val="32"/>
        </w:rPr>
      </w:pPr>
      <w:r>
        <w:rPr>
          <w:rFonts w:eastAsia="仿宋_GB2312"/>
          <w:sz w:val="32"/>
          <w:szCs w:val="32"/>
        </w:rPr>
        <w:t>5.负责全市就业援助工作，制定全市对就业困难人员的认定、援助方案和实施办法，并组织实施。</w:t>
      </w:r>
    </w:p>
    <w:p>
      <w:pPr>
        <w:spacing w:line="580" w:lineRule="exact"/>
        <w:ind w:firstLine="640" w:firstLineChars="200"/>
        <w:rPr>
          <w:rFonts w:eastAsia="仿宋_GB2312"/>
          <w:sz w:val="32"/>
          <w:szCs w:val="32"/>
        </w:rPr>
      </w:pPr>
      <w:r>
        <w:rPr>
          <w:rFonts w:eastAsia="仿宋_GB2312"/>
          <w:sz w:val="32"/>
          <w:szCs w:val="32"/>
        </w:rPr>
        <w:t>6.负责高校毕业生、农民工、下岗失业人员、返乡下乡人员等重点群体就业创业服务。</w:t>
      </w:r>
    </w:p>
    <w:p>
      <w:pPr>
        <w:spacing w:line="580" w:lineRule="exact"/>
        <w:ind w:firstLine="640" w:firstLineChars="200"/>
        <w:rPr>
          <w:rFonts w:eastAsia="仿宋_GB2312"/>
          <w:sz w:val="32"/>
          <w:szCs w:val="32"/>
        </w:rPr>
      </w:pPr>
      <w:r>
        <w:rPr>
          <w:rFonts w:eastAsia="仿宋_GB2312"/>
          <w:sz w:val="32"/>
          <w:szCs w:val="32"/>
        </w:rPr>
        <w:t>7.指导“攀枝花市创业服务中心”“攀枝花市创业担保贷款”工作，负责全市创业带动就业工作的组织、服务和实施。</w:t>
      </w:r>
    </w:p>
    <w:p>
      <w:pPr>
        <w:spacing w:line="580" w:lineRule="exact"/>
        <w:ind w:firstLine="640" w:firstLineChars="200"/>
        <w:rPr>
          <w:rFonts w:eastAsia="仿宋_GB2312"/>
          <w:sz w:val="32"/>
          <w:szCs w:val="32"/>
        </w:rPr>
      </w:pPr>
      <w:r>
        <w:rPr>
          <w:rFonts w:eastAsia="仿宋_GB2312"/>
          <w:sz w:val="32"/>
          <w:szCs w:val="32"/>
        </w:rPr>
        <w:t>8.负责全市就业创业培训工作，拟定培训规划并组织实施。</w:t>
      </w:r>
    </w:p>
    <w:p>
      <w:pPr>
        <w:spacing w:line="580" w:lineRule="exact"/>
        <w:ind w:firstLine="640" w:firstLineChars="200"/>
        <w:rPr>
          <w:rFonts w:eastAsia="仿宋_GB2312"/>
          <w:sz w:val="32"/>
          <w:szCs w:val="32"/>
        </w:rPr>
      </w:pPr>
      <w:r>
        <w:rPr>
          <w:rFonts w:eastAsia="仿宋_GB2312"/>
          <w:sz w:val="32"/>
          <w:szCs w:val="32"/>
        </w:rPr>
        <w:t xml:space="preserve">9.贯彻落实国家、省、市有关失业保险法律法规和方针政策，负责失业保险各项待遇的申领发放，为领取失业保险金期间失业人员代缴基本医疗保险费。 </w:t>
      </w:r>
    </w:p>
    <w:p>
      <w:pPr>
        <w:spacing w:line="580" w:lineRule="exact"/>
        <w:ind w:firstLine="640" w:firstLineChars="200"/>
        <w:rPr>
          <w:rFonts w:eastAsia="仿宋_GB2312"/>
          <w:sz w:val="32"/>
          <w:szCs w:val="32"/>
        </w:rPr>
      </w:pPr>
      <w:r>
        <w:rPr>
          <w:rFonts w:eastAsia="仿宋_GB2312"/>
          <w:sz w:val="32"/>
          <w:szCs w:val="32"/>
        </w:rPr>
        <w:t>10.负责实施失业保险针对参保人员、参保企业的阶段性普惠政策。</w:t>
      </w:r>
    </w:p>
    <w:p>
      <w:pPr>
        <w:spacing w:line="580" w:lineRule="exact"/>
        <w:ind w:firstLine="640" w:firstLineChars="200"/>
        <w:rPr>
          <w:rFonts w:eastAsia="仿宋_GB2312"/>
          <w:sz w:val="32"/>
          <w:szCs w:val="32"/>
        </w:rPr>
      </w:pPr>
      <w:r>
        <w:rPr>
          <w:rFonts w:eastAsia="仿宋_GB2312"/>
          <w:sz w:val="32"/>
          <w:szCs w:val="32"/>
        </w:rPr>
        <w:t>11.负责全市公共就业信息化建设。</w:t>
      </w:r>
    </w:p>
    <w:p>
      <w:pPr>
        <w:spacing w:line="580" w:lineRule="exact"/>
        <w:ind w:firstLine="640" w:firstLineChars="200"/>
        <w:rPr>
          <w:rFonts w:eastAsia="仿宋_GB2312"/>
          <w:sz w:val="32"/>
          <w:szCs w:val="32"/>
        </w:rPr>
      </w:pPr>
      <w:r>
        <w:rPr>
          <w:rFonts w:eastAsia="仿宋_GB2312"/>
          <w:sz w:val="32"/>
          <w:szCs w:val="32"/>
        </w:rPr>
        <w:t>12.负责对全市就业创业补助资金、失业保险基金、创业担保贷款的使用管理进行监督检查，做好风险防控工作。</w:t>
      </w:r>
    </w:p>
    <w:p>
      <w:pPr>
        <w:spacing w:line="580" w:lineRule="exact"/>
        <w:ind w:firstLine="640" w:firstLineChars="200"/>
        <w:rPr>
          <w:rFonts w:eastAsia="仿宋_GB2312"/>
          <w:sz w:val="32"/>
          <w:szCs w:val="32"/>
        </w:rPr>
      </w:pPr>
      <w:r>
        <w:rPr>
          <w:rFonts w:eastAsia="仿宋_GB2312"/>
          <w:sz w:val="32"/>
          <w:szCs w:val="32"/>
        </w:rPr>
        <w:t>13.承担全市农民工综合服务具体事务性工作。</w:t>
      </w:r>
    </w:p>
    <w:p>
      <w:pPr>
        <w:spacing w:line="580" w:lineRule="exact"/>
        <w:ind w:firstLine="640" w:firstLineChars="200"/>
        <w:rPr>
          <w:rFonts w:eastAsia="仿宋_GB2312"/>
          <w:sz w:val="32"/>
          <w:szCs w:val="32"/>
        </w:rPr>
      </w:pPr>
      <w:r>
        <w:rPr>
          <w:rFonts w:eastAsia="仿宋_GB2312"/>
          <w:sz w:val="32"/>
          <w:szCs w:val="32"/>
        </w:rPr>
        <w:t>14.行使市人力资源和社会保障局赋予的其他职权。</w:t>
      </w:r>
    </w:p>
    <w:p>
      <w:pPr>
        <w:pStyle w:val="4"/>
        <w:spacing w:before="0" w:after="0" w:line="560" w:lineRule="exact"/>
        <w:ind w:firstLine="640" w:firstLineChars="200"/>
        <w:rPr>
          <w:rStyle w:val="31"/>
          <w:b w:val="0"/>
          <w:bCs w:val="0"/>
        </w:rPr>
      </w:pPr>
      <w:bookmarkStart w:id="18" w:name="_Toc32500"/>
      <w:bookmarkStart w:id="19" w:name="_Toc15377200"/>
      <w:bookmarkStart w:id="20" w:name="_Toc15396601"/>
      <w:r>
        <w:rPr>
          <w:rFonts w:hint="eastAsia" w:ascii="黑体" w:eastAsia="黑体"/>
          <w:b w:val="0"/>
        </w:rPr>
        <w:t>二、</w:t>
      </w:r>
      <w:r>
        <w:rPr>
          <w:rFonts w:hint="eastAsia" w:ascii="黑体" w:hAnsi="黑体" w:eastAsia="黑体"/>
          <w:b w:val="0"/>
        </w:rPr>
        <w:t>机</w:t>
      </w:r>
      <w:r>
        <w:rPr>
          <w:rStyle w:val="31"/>
          <w:rFonts w:hint="eastAsia" w:ascii="黑体" w:hAnsi="黑体" w:eastAsia="黑体"/>
          <w:b w:val="0"/>
          <w:bCs w:val="0"/>
        </w:rPr>
        <w:t>构设置</w:t>
      </w:r>
      <w:bookmarkEnd w:id="18"/>
      <w:bookmarkEnd w:id="19"/>
      <w:bookmarkEnd w:id="20"/>
    </w:p>
    <w:p>
      <w:pPr>
        <w:spacing w:line="560" w:lineRule="exact"/>
        <w:ind w:firstLine="640" w:firstLineChars="200"/>
        <w:rPr>
          <w:rFonts w:eastAsia="仿宋_GB2312"/>
          <w:sz w:val="32"/>
          <w:szCs w:val="32"/>
        </w:rPr>
      </w:pPr>
      <w:r>
        <w:rPr>
          <w:rFonts w:hint="eastAsia" w:eastAsia="仿宋_GB2312"/>
          <w:sz w:val="32"/>
          <w:szCs w:val="32"/>
        </w:rPr>
        <w:t>攀枝花市就业创业促进中心下属二级单位0个，其中行政单位0个，参照公务员法管理的事业单位0个，其他事业单位0个。</w:t>
      </w:r>
    </w:p>
    <w:p>
      <w:pPr>
        <w:spacing w:line="560" w:lineRule="exact"/>
        <w:ind w:firstLine="640" w:firstLineChars="200"/>
        <w:rPr>
          <w:rFonts w:eastAsia="仿宋_GB2312"/>
          <w:sz w:val="32"/>
          <w:szCs w:val="32"/>
        </w:rPr>
      </w:pPr>
      <w:r>
        <w:rPr>
          <w:rFonts w:hint="eastAsia" w:eastAsia="仿宋_GB2312"/>
          <w:sz w:val="32"/>
          <w:szCs w:val="32"/>
        </w:rPr>
        <w:t>纳入攀枝花市就业创业促进中心2022年度部门决算编制范围的二级预算单位0个。</w:t>
      </w:r>
    </w:p>
    <w:p>
      <w:pPr>
        <w:spacing w:line="560" w:lineRule="exact"/>
        <w:ind w:firstLine="640" w:firstLineChars="200"/>
        <w:rPr>
          <w:rFonts w:eastAsia="仿宋_GB2312"/>
          <w:sz w:val="32"/>
          <w:szCs w:val="32"/>
        </w:rPr>
      </w:pPr>
      <w:r>
        <w:rPr>
          <w:rFonts w:eastAsia="仿宋_GB2312"/>
          <w:sz w:val="32"/>
          <w:szCs w:val="32"/>
        </w:rPr>
        <w:br w:type="page"/>
      </w:r>
    </w:p>
    <w:p>
      <w:pPr>
        <w:pStyle w:val="3"/>
        <w:ind w:right="440"/>
        <w:jc w:val="center"/>
        <w:rPr>
          <w:rStyle w:val="30"/>
          <w:rFonts w:ascii="黑体" w:hAnsi="黑体" w:eastAsia="黑体"/>
          <w:b w:val="0"/>
          <w:bCs/>
        </w:rPr>
      </w:pPr>
      <w:bookmarkStart w:id="21" w:name="_Toc492"/>
      <w:bookmarkStart w:id="22" w:name="_Toc15396602"/>
      <w:bookmarkStart w:id="23" w:name="_Toc15377204"/>
      <w:r>
        <w:rPr>
          <w:rFonts w:hint="eastAsia" w:ascii="黑体" w:hAnsi="黑体" w:eastAsia="黑体"/>
          <w:b w:val="0"/>
        </w:rPr>
        <w:t>第二部分 2022年度</w:t>
      </w:r>
      <w:r>
        <w:rPr>
          <w:rStyle w:val="30"/>
          <w:rFonts w:hint="eastAsia" w:ascii="黑体" w:hAnsi="黑体" w:eastAsia="黑体"/>
          <w:b w:val="0"/>
          <w:bCs/>
        </w:rPr>
        <w:t>部门决算情况说明</w:t>
      </w:r>
      <w:bookmarkEnd w:id="21"/>
      <w:bookmarkEnd w:id="22"/>
      <w:bookmarkEnd w:id="23"/>
    </w:p>
    <w:p/>
    <w:p>
      <w:pPr>
        <w:pStyle w:val="29"/>
        <w:numPr>
          <w:ilvl w:val="0"/>
          <w:numId w:val="1"/>
        </w:numPr>
        <w:spacing w:line="600" w:lineRule="exact"/>
        <w:ind w:firstLineChars="0"/>
        <w:outlineLvl w:val="1"/>
        <w:rPr>
          <w:rStyle w:val="31"/>
          <w:rFonts w:ascii="黑体" w:hAnsi="黑体" w:eastAsia="黑体"/>
          <w:b w:val="0"/>
        </w:rPr>
      </w:pPr>
      <w:bookmarkStart w:id="24" w:name="_Toc15396603"/>
      <w:bookmarkStart w:id="25" w:name="_Toc6140"/>
      <w:bookmarkStart w:id="26" w:name="_Toc15377205"/>
      <w:r>
        <w:rPr>
          <w:rFonts w:hint="eastAsia" w:ascii="黑体" w:hAnsi="黑体" w:eastAsia="黑体"/>
          <w:sz w:val="32"/>
          <w:szCs w:val="32"/>
        </w:rPr>
        <w:t>收</w:t>
      </w:r>
      <w:r>
        <w:rPr>
          <w:rStyle w:val="31"/>
          <w:rFonts w:hint="eastAsia" w:ascii="黑体" w:hAnsi="黑体" w:eastAsia="黑体"/>
          <w:b w:val="0"/>
        </w:rPr>
        <w:t>入支出决算总体情况说明</w:t>
      </w:r>
      <w:bookmarkEnd w:id="24"/>
      <w:bookmarkEnd w:id="25"/>
      <w:bookmarkEnd w:id="26"/>
    </w:p>
    <w:p>
      <w:pPr>
        <w:spacing w:line="60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2022年度收、支总计2792.82万元。与2021年相比，收、支总计各减少513.77万元，下降15.54%。主要变动原因是2022年度中央、省级就业创业补助资金下达预算数较上年有所减少，部分项目资金2022年未安排预算。</w:t>
      </w:r>
    </w:p>
    <w:p>
      <w:pPr>
        <w:pStyle w:val="2"/>
        <w:spacing w:before="93"/>
        <w:rPr>
          <w:sz w:val="32"/>
          <w:szCs w:val="32"/>
        </w:rPr>
      </w:pPr>
      <w:r>
        <w:rPr>
          <w:rFonts w:hint="eastAsia"/>
        </w:rPr>
        <w:drawing>
          <wp:inline distT="0" distB="0" distL="0" distR="0">
            <wp:extent cx="4629150" cy="2809875"/>
            <wp:effectExtent l="1905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srcRect/>
                    <a:stretch>
                      <a:fillRect/>
                    </a:stretch>
                  </pic:blipFill>
                  <pic:spPr>
                    <a:xfrm>
                      <a:off x="0" y="0"/>
                      <a:ext cx="4629150" cy="2809875"/>
                    </a:xfrm>
                    <a:prstGeom prst="rect">
                      <a:avLst/>
                    </a:prstGeom>
                    <a:noFill/>
                    <a:ln w="9525">
                      <a:noFill/>
                      <a:miter lim="800000"/>
                      <a:headEnd/>
                      <a:tailEnd/>
                    </a:ln>
                  </pic:spPr>
                </pic:pic>
              </a:graphicData>
            </a:graphic>
          </wp:inline>
        </w:drawing>
      </w:r>
    </w:p>
    <w:p>
      <w:pPr>
        <w:pStyle w:val="29"/>
        <w:numPr>
          <w:ilvl w:val="0"/>
          <w:numId w:val="1"/>
        </w:numPr>
        <w:spacing w:line="600" w:lineRule="exact"/>
        <w:ind w:firstLineChars="0"/>
        <w:outlineLvl w:val="1"/>
        <w:rPr>
          <w:rStyle w:val="31"/>
          <w:rFonts w:ascii="黑体" w:hAnsi="黑体" w:eastAsia="黑体"/>
          <w:b w:val="0"/>
        </w:rPr>
      </w:pPr>
      <w:bookmarkStart w:id="27" w:name="_Toc14039"/>
      <w:bookmarkStart w:id="28" w:name="_Toc15396604"/>
      <w:bookmarkStart w:id="29" w:name="_Toc15377206"/>
      <w:r>
        <w:rPr>
          <w:rFonts w:hint="eastAsia" w:ascii="黑体" w:hAnsi="黑体" w:eastAsia="黑体"/>
          <w:sz w:val="32"/>
          <w:szCs w:val="32"/>
        </w:rPr>
        <w:t>收</w:t>
      </w:r>
      <w:r>
        <w:rPr>
          <w:rStyle w:val="31"/>
          <w:rFonts w:hint="eastAsia" w:ascii="黑体" w:hAnsi="黑体" w:eastAsia="黑体"/>
          <w:b w:val="0"/>
        </w:rPr>
        <w:t>入决算情况说明</w:t>
      </w:r>
      <w:bookmarkEnd w:id="27"/>
      <w:bookmarkEnd w:id="28"/>
      <w:bookmarkEnd w:id="29"/>
    </w:p>
    <w:p>
      <w:pPr>
        <w:spacing w:line="60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2022年本年收入合计2755.09万元，其中：一般公共预算财政拨款收入2755.09万元，占100%；政府性基金预算财政拨款收入0万元，占0%；国有资本经营预算财政拨款收入0万元，占0%；上级补助收入0万元，占0%；事业收入0万元，占0%；经营收入0万元，占0%；附属单位上缴收入0万元，占0%；其他收入0万元，占0%。</w:t>
      </w:r>
    </w:p>
    <w:p>
      <w:pPr>
        <w:pStyle w:val="2"/>
        <w:spacing w:before="93"/>
        <w:rPr>
          <w:sz w:val="32"/>
          <w:szCs w:val="32"/>
        </w:rPr>
      </w:pPr>
      <w:r>
        <w:rPr>
          <w:rFonts w:hint="eastAsia"/>
        </w:rPr>
        <w:drawing>
          <wp:inline distT="0" distB="0" distL="0" distR="0">
            <wp:extent cx="5274310" cy="3076575"/>
            <wp:effectExtent l="19050" t="0" r="2159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29"/>
        <w:numPr>
          <w:ilvl w:val="0"/>
          <w:numId w:val="1"/>
        </w:numPr>
        <w:spacing w:line="600" w:lineRule="exact"/>
        <w:ind w:firstLineChars="0"/>
        <w:outlineLvl w:val="1"/>
        <w:rPr>
          <w:rStyle w:val="31"/>
          <w:rFonts w:ascii="黑体" w:hAnsi="黑体" w:eastAsia="黑体"/>
          <w:b w:val="0"/>
        </w:rPr>
      </w:pPr>
      <w:bookmarkStart w:id="30" w:name="_Toc15396605"/>
      <w:bookmarkStart w:id="31" w:name="_Toc15699"/>
      <w:bookmarkStart w:id="32" w:name="_Toc15377207"/>
      <w:r>
        <w:rPr>
          <w:rFonts w:hint="eastAsia" w:ascii="黑体" w:hAnsi="黑体" w:eastAsia="黑体"/>
          <w:sz w:val="32"/>
          <w:szCs w:val="32"/>
        </w:rPr>
        <w:t>支</w:t>
      </w:r>
      <w:r>
        <w:rPr>
          <w:rStyle w:val="31"/>
          <w:rFonts w:hint="eastAsia" w:ascii="黑体" w:hAnsi="黑体" w:eastAsia="黑体"/>
          <w:b w:val="0"/>
        </w:rPr>
        <w:t>出决算情况说明</w:t>
      </w:r>
      <w:bookmarkEnd w:id="30"/>
      <w:bookmarkEnd w:id="31"/>
      <w:bookmarkEnd w:id="32"/>
    </w:p>
    <w:p>
      <w:pPr>
        <w:spacing w:line="580" w:lineRule="exact"/>
        <w:ind w:firstLine="640" w:firstLineChars="200"/>
        <w:rPr>
          <w:rFonts w:eastAsia="仿宋_GB2312"/>
          <w:sz w:val="32"/>
          <w:szCs w:val="32"/>
        </w:rPr>
      </w:pPr>
      <w:bookmarkStart w:id="33" w:name="_Toc11816"/>
      <w:r>
        <w:rPr>
          <w:rFonts w:hint="eastAsia" w:eastAsia="仿宋_GB2312"/>
          <w:sz w:val="32"/>
          <w:szCs w:val="32"/>
        </w:rPr>
        <w:t>2022年本年支出合计2792.82万元，其中：基本支出768.48万元，占27.52%；项目支出2024.34 万元，占72.48%；上缴上级支出0万元，占0%；经营支出0万元，占0%；对附属单位补助支出0万元，占0%。</w:t>
      </w:r>
      <w:bookmarkEnd w:id="33"/>
    </w:p>
    <w:p>
      <w:pPr>
        <w:pStyle w:val="2"/>
        <w:spacing w:before="93"/>
      </w:pPr>
    </w:p>
    <w:p>
      <w:pPr>
        <w:pStyle w:val="2"/>
        <w:spacing w:before="93"/>
      </w:pPr>
      <w:r>
        <w:drawing>
          <wp:inline distT="0" distB="0" distL="0" distR="0">
            <wp:extent cx="4610100" cy="2790825"/>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7"/>
                    <a:srcRect/>
                    <a:stretch>
                      <a:fillRect/>
                    </a:stretch>
                  </pic:blipFill>
                  <pic:spPr>
                    <a:xfrm>
                      <a:off x="0" y="0"/>
                      <a:ext cx="4610100" cy="2790825"/>
                    </a:xfrm>
                    <a:prstGeom prst="rect">
                      <a:avLst/>
                    </a:prstGeom>
                    <a:noFill/>
                    <a:ln w="9525">
                      <a:noFill/>
                      <a:miter lim="800000"/>
                      <a:headEnd/>
                      <a:tailEnd/>
                    </a:ln>
                  </pic:spPr>
                </pic:pic>
              </a:graphicData>
            </a:graphic>
          </wp:inline>
        </w:drawing>
      </w:r>
    </w:p>
    <w:p>
      <w:pPr>
        <w:spacing w:line="600" w:lineRule="exact"/>
        <w:ind w:firstLine="640" w:firstLineChars="200"/>
        <w:outlineLvl w:val="1"/>
        <w:rPr>
          <w:rStyle w:val="31"/>
          <w:rFonts w:ascii="黑体" w:hAnsi="黑体" w:eastAsia="黑体"/>
          <w:b w:val="0"/>
        </w:rPr>
      </w:pPr>
      <w:bookmarkStart w:id="34" w:name="_Toc1658"/>
      <w:bookmarkStart w:id="35" w:name="_Toc15377208"/>
      <w:bookmarkStart w:id="36" w:name="_Toc15396606"/>
      <w:r>
        <w:rPr>
          <w:rFonts w:hint="eastAsia" w:ascii="黑体" w:hAnsi="黑体" w:eastAsia="黑体"/>
          <w:sz w:val="32"/>
          <w:szCs w:val="32"/>
        </w:rPr>
        <w:t>四、财</w:t>
      </w:r>
      <w:r>
        <w:rPr>
          <w:rStyle w:val="31"/>
          <w:rFonts w:hint="eastAsia" w:ascii="黑体" w:hAnsi="黑体" w:eastAsia="黑体"/>
          <w:b w:val="0"/>
        </w:rPr>
        <w:t>政拨款收入支出决算总体情况说明</w:t>
      </w:r>
      <w:bookmarkEnd w:id="34"/>
      <w:bookmarkEnd w:id="35"/>
      <w:bookmarkEnd w:id="36"/>
    </w:p>
    <w:p>
      <w:pPr>
        <w:spacing w:line="580" w:lineRule="exact"/>
        <w:ind w:firstLine="640" w:firstLineChars="200"/>
        <w:rPr>
          <w:rFonts w:eastAsia="仿宋_GB2312"/>
          <w:sz w:val="32"/>
          <w:szCs w:val="32"/>
        </w:rPr>
      </w:pPr>
      <w:r>
        <w:rPr>
          <w:rFonts w:hint="eastAsia" w:eastAsia="仿宋_GB2312"/>
          <w:sz w:val="32"/>
          <w:szCs w:val="32"/>
        </w:rPr>
        <w:t>2022年财政拨款收、支总计2792.82万元。与2021年相比，财政拨款收、支总计各减少513.77万元，下降15.54%。主要变动原因是2022年度中央、省级就业创业补助资金下达预算数较上年有所减少，部分项目资金2022年未安排预算。</w:t>
      </w:r>
    </w:p>
    <w:p>
      <w:pPr>
        <w:pStyle w:val="2"/>
        <w:spacing w:before="93"/>
        <w:rPr>
          <w:rFonts w:ascii="仿宋" w:hAnsi="仿宋" w:eastAsia="仿宋"/>
          <w:b/>
          <w:sz w:val="32"/>
          <w:szCs w:val="32"/>
        </w:rPr>
      </w:pPr>
      <w:r>
        <w:drawing>
          <wp:inline distT="0" distB="0" distL="0" distR="0">
            <wp:extent cx="4610100" cy="2790825"/>
            <wp:effectExtent l="19050" t="0" r="0" b="0"/>
            <wp:docPr id="3"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2"/>
                    <pic:cNvPicPr>
                      <a:picLocks noChangeAspect="1" noChangeArrowheads="1"/>
                    </pic:cNvPicPr>
                  </pic:nvPicPr>
                  <pic:blipFill>
                    <a:blip r:embed="rId18"/>
                    <a:srcRect/>
                    <a:stretch>
                      <a:fillRect/>
                    </a:stretch>
                  </pic:blipFill>
                  <pic:spPr>
                    <a:xfrm>
                      <a:off x="0" y="0"/>
                      <a:ext cx="4610100" cy="2790825"/>
                    </a:xfrm>
                    <a:prstGeom prst="rect">
                      <a:avLst/>
                    </a:prstGeom>
                    <a:noFill/>
                    <a:ln w="9525">
                      <a:noFill/>
                      <a:miter lim="800000"/>
                      <a:headEnd/>
                      <a:tailEnd/>
                    </a:ln>
                  </pic:spPr>
                </pic:pic>
              </a:graphicData>
            </a:graphic>
          </wp:inline>
        </w:drawing>
      </w:r>
    </w:p>
    <w:p>
      <w:pPr>
        <w:spacing w:line="600" w:lineRule="exact"/>
        <w:ind w:firstLine="640" w:firstLineChars="200"/>
        <w:outlineLvl w:val="1"/>
        <w:rPr>
          <w:rStyle w:val="31"/>
          <w:rFonts w:ascii="黑体" w:hAnsi="黑体" w:eastAsia="黑体"/>
          <w:b w:val="0"/>
        </w:rPr>
      </w:pPr>
      <w:bookmarkStart w:id="37" w:name="_Toc15396607"/>
      <w:bookmarkStart w:id="38" w:name="_Toc15377209"/>
      <w:bookmarkStart w:id="39" w:name="_Toc5632"/>
      <w:r>
        <w:rPr>
          <w:rFonts w:hint="eastAsia" w:ascii="黑体" w:hAnsi="黑体" w:eastAsia="黑体"/>
          <w:sz w:val="32"/>
          <w:szCs w:val="32"/>
        </w:rPr>
        <w:t>五、</w:t>
      </w:r>
      <w:r>
        <w:rPr>
          <w:rFonts w:hint="eastAsia" w:ascii="黑体" w:hAnsi="黑体" w:eastAsia="黑体"/>
          <w:b/>
          <w:sz w:val="32"/>
          <w:szCs w:val="32"/>
        </w:rPr>
        <w:t>一</w:t>
      </w:r>
      <w:r>
        <w:rPr>
          <w:rStyle w:val="31"/>
          <w:rFonts w:hint="eastAsia" w:ascii="黑体" w:hAnsi="黑体" w:eastAsia="黑体"/>
          <w:b w:val="0"/>
        </w:rPr>
        <w:t>般公共预算财政拨款支出决算情况说明</w:t>
      </w:r>
      <w:bookmarkEnd w:id="37"/>
      <w:bookmarkEnd w:id="38"/>
      <w:bookmarkEnd w:id="39"/>
    </w:p>
    <w:p>
      <w:pPr>
        <w:spacing w:line="600" w:lineRule="exact"/>
        <w:ind w:firstLine="643" w:firstLineChars="200"/>
        <w:outlineLvl w:val="1"/>
        <w:rPr>
          <w:rFonts w:ascii="楷体_GB2312" w:hAnsi="楷体_GB2312" w:eastAsia="楷体_GB2312" w:cs="楷体_GB2312"/>
          <w:b/>
          <w:bCs/>
          <w:sz w:val="32"/>
          <w:szCs w:val="32"/>
        </w:rPr>
      </w:pPr>
      <w:bookmarkStart w:id="40" w:name="_Toc4908"/>
      <w:bookmarkStart w:id="41" w:name="_Toc15377210"/>
      <w:r>
        <w:rPr>
          <w:rFonts w:hint="eastAsia" w:ascii="楷体_GB2312" w:hAnsi="楷体_GB2312" w:eastAsia="楷体_GB2312" w:cs="楷体_GB2312"/>
          <w:b/>
          <w:bCs/>
          <w:sz w:val="32"/>
          <w:szCs w:val="32"/>
        </w:rPr>
        <w:t>（一）一般公共预算财政拨款支出决算总体情况</w:t>
      </w:r>
      <w:bookmarkEnd w:id="40"/>
      <w:bookmarkEnd w:id="41"/>
    </w:p>
    <w:p>
      <w:pPr>
        <w:spacing w:line="580" w:lineRule="exact"/>
        <w:ind w:firstLine="640" w:firstLineChars="200"/>
        <w:rPr>
          <w:rFonts w:eastAsia="仿宋_GB2312"/>
          <w:sz w:val="32"/>
          <w:szCs w:val="32"/>
        </w:rPr>
      </w:pPr>
      <w:r>
        <w:rPr>
          <w:rFonts w:hint="eastAsia" w:eastAsia="仿宋_GB2312"/>
          <w:sz w:val="32"/>
          <w:szCs w:val="32"/>
        </w:rPr>
        <w:t>2022年一般公共预算财政拨款支出2792.82万元，占本年支出合计的100%。与2021年相比，一般公共预算财政拨款支出减少513.77万元，下降15.54%。主要变动原因是2022年度中央、省级就业创业补助资金下达预算数较上年有所减少，部分项目资金2022年未安排预算。</w:t>
      </w:r>
    </w:p>
    <w:p>
      <w:pPr>
        <w:pStyle w:val="2"/>
        <w:spacing w:before="93"/>
        <w:rPr>
          <w:rFonts w:ascii="仿宋" w:hAnsi="仿宋" w:eastAsia="仿宋"/>
          <w:sz w:val="32"/>
          <w:szCs w:val="32"/>
        </w:rPr>
      </w:pPr>
      <w:r>
        <w:drawing>
          <wp:inline distT="0" distB="0" distL="0" distR="0">
            <wp:extent cx="4619625" cy="2790825"/>
            <wp:effectExtent l="19050" t="0" r="9525"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noChangeArrowheads="1"/>
                    </pic:cNvPicPr>
                  </pic:nvPicPr>
                  <pic:blipFill>
                    <a:blip r:embed="rId19"/>
                    <a:srcRect/>
                    <a:stretch>
                      <a:fillRect/>
                    </a:stretch>
                  </pic:blipFill>
                  <pic:spPr>
                    <a:xfrm>
                      <a:off x="0" y="0"/>
                      <a:ext cx="4619625" cy="2790825"/>
                    </a:xfrm>
                    <a:prstGeom prst="rect">
                      <a:avLst/>
                    </a:prstGeom>
                    <a:noFill/>
                    <a:ln w="9525">
                      <a:noFill/>
                      <a:miter lim="800000"/>
                      <a:headEnd/>
                      <a:tailEnd/>
                    </a:ln>
                  </pic:spPr>
                </pic:pic>
              </a:graphicData>
            </a:graphic>
          </wp:inline>
        </w:drawing>
      </w:r>
    </w:p>
    <w:p>
      <w:pPr>
        <w:spacing w:line="600" w:lineRule="exact"/>
        <w:ind w:firstLine="643" w:firstLineChars="200"/>
        <w:outlineLvl w:val="1"/>
        <w:rPr>
          <w:rFonts w:ascii="楷体_GB2312" w:hAnsi="楷体_GB2312" w:eastAsia="楷体_GB2312" w:cs="楷体_GB2312"/>
          <w:b/>
          <w:bCs/>
          <w:sz w:val="32"/>
          <w:szCs w:val="32"/>
        </w:rPr>
      </w:pPr>
      <w:bookmarkStart w:id="42" w:name="_Toc15377211"/>
      <w:bookmarkStart w:id="43" w:name="_Toc30943"/>
      <w:r>
        <w:rPr>
          <w:rFonts w:hint="eastAsia" w:ascii="楷体_GB2312" w:hAnsi="楷体_GB2312" w:eastAsia="楷体_GB2312" w:cs="楷体_GB2312"/>
          <w:b/>
          <w:bCs/>
          <w:sz w:val="32"/>
          <w:szCs w:val="32"/>
        </w:rPr>
        <w:t>（二）一般公共预算财政拨款支出决算结构情况</w:t>
      </w:r>
      <w:bookmarkEnd w:id="42"/>
      <w:bookmarkEnd w:id="43"/>
    </w:p>
    <w:p>
      <w:pPr>
        <w:spacing w:line="580" w:lineRule="exact"/>
        <w:ind w:firstLine="640" w:firstLineChars="200"/>
        <w:rPr>
          <w:rFonts w:eastAsia="仿宋_GB2312"/>
          <w:sz w:val="32"/>
          <w:szCs w:val="32"/>
        </w:rPr>
      </w:pPr>
      <w:r>
        <w:rPr>
          <w:rFonts w:hint="eastAsia" w:eastAsia="仿宋_GB2312"/>
          <w:sz w:val="32"/>
          <w:szCs w:val="32"/>
        </w:rPr>
        <w:t>2022年一般公共预算财政拨款支出2792.82万元，主要用于以下方面:</w:t>
      </w:r>
      <w:r>
        <w:rPr>
          <w:rFonts w:hint="eastAsia" w:eastAsia="仿宋_GB2312"/>
          <w:bCs/>
          <w:sz w:val="32"/>
          <w:szCs w:val="32"/>
        </w:rPr>
        <w:t>社会保障和就业</w:t>
      </w:r>
      <w:r>
        <w:rPr>
          <w:rFonts w:hint="eastAsia" w:eastAsia="仿宋_GB2312"/>
          <w:sz w:val="32"/>
          <w:szCs w:val="32"/>
        </w:rPr>
        <w:t>支出2738.89万元，占98.07%；</w:t>
      </w:r>
      <w:r>
        <w:rPr>
          <w:rFonts w:hint="eastAsia" w:eastAsia="仿宋_GB2312"/>
          <w:bCs/>
          <w:sz w:val="32"/>
          <w:szCs w:val="32"/>
        </w:rPr>
        <w:t>住房保障</w:t>
      </w:r>
      <w:r>
        <w:rPr>
          <w:rFonts w:hint="eastAsia" w:eastAsia="仿宋_GB2312"/>
          <w:sz w:val="32"/>
          <w:szCs w:val="32"/>
        </w:rPr>
        <w:t>支出53.93万元，占1.93%。</w:t>
      </w:r>
    </w:p>
    <w:p>
      <w:pPr>
        <w:spacing w:line="600" w:lineRule="exact"/>
        <w:ind w:firstLine="640"/>
        <w:rPr>
          <w:rFonts w:ascii="仿宋" w:hAnsi="仿宋" w:eastAsia="仿宋"/>
          <w:sz w:val="32"/>
          <w:szCs w:val="32"/>
        </w:rPr>
      </w:pPr>
    </w:p>
    <w:p>
      <w:pPr>
        <w:pStyle w:val="2"/>
        <w:spacing w:before="93"/>
      </w:pPr>
      <w:r>
        <w:rPr>
          <w:rFonts w:hint="eastAsia"/>
        </w:rPr>
        <w:drawing>
          <wp:inline distT="0" distB="0" distL="0" distR="0">
            <wp:extent cx="4591050" cy="2790825"/>
            <wp:effectExtent l="19050" t="0" r="0" b="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pic:cNvPicPr>
                      <a:picLocks noChangeAspect="1" noChangeArrowheads="1"/>
                    </pic:cNvPicPr>
                  </pic:nvPicPr>
                  <pic:blipFill>
                    <a:blip r:embed="rId20"/>
                    <a:srcRect/>
                    <a:stretch>
                      <a:fillRect/>
                    </a:stretch>
                  </pic:blipFill>
                  <pic:spPr>
                    <a:xfrm>
                      <a:off x="0" y="0"/>
                      <a:ext cx="4591050" cy="2790825"/>
                    </a:xfrm>
                    <a:prstGeom prst="rect">
                      <a:avLst/>
                    </a:prstGeom>
                    <a:noFill/>
                    <a:ln w="9525">
                      <a:noFill/>
                      <a:miter lim="800000"/>
                      <a:headEnd/>
                      <a:tailEnd/>
                    </a:ln>
                  </pic:spPr>
                </pic:pic>
              </a:graphicData>
            </a:graphic>
          </wp:inline>
        </w:drawing>
      </w:r>
    </w:p>
    <w:p>
      <w:pPr>
        <w:pStyle w:val="2"/>
        <w:spacing w:before="93"/>
        <w:ind w:firstLine="643" w:firstLineChars="200"/>
        <w:rPr>
          <w:rFonts w:ascii="楷体_GB2312" w:hAnsi="楷体_GB2312" w:eastAsia="楷体_GB2312" w:cs="楷体_GB2312"/>
          <w:b/>
          <w:bCs/>
          <w:sz w:val="32"/>
          <w:szCs w:val="32"/>
        </w:rPr>
      </w:pPr>
      <w:bookmarkStart w:id="44" w:name="_Toc20174"/>
      <w:bookmarkStart w:id="45" w:name="_Toc15377212"/>
      <w:r>
        <w:rPr>
          <w:rFonts w:hint="eastAsia" w:ascii="楷体_GB2312" w:hAnsi="楷体_GB2312" w:eastAsia="楷体_GB2312" w:cs="楷体_GB2312"/>
          <w:b/>
          <w:bCs/>
          <w:sz w:val="32"/>
          <w:szCs w:val="32"/>
        </w:rPr>
        <w:t>（三）一般公共预算财政拨款支出决算具体情况</w:t>
      </w:r>
      <w:bookmarkEnd w:id="44"/>
      <w:bookmarkEnd w:id="45"/>
    </w:p>
    <w:p>
      <w:pPr>
        <w:spacing w:line="600" w:lineRule="exact"/>
        <w:ind w:firstLine="643" w:firstLineChars="200"/>
        <w:outlineLvl w:val="2"/>
        <w:rPr>
          <w:rFonts w:ascii="仿宋_GB2312" w:hAnsi="仿宋_GB2312" w:eastAsia="仿宋_GB2312" w:cs="仿宋_GB2312"/>
          <w:b/>
          <w:sz w:val="32"/>
          <w:szCs w:val="32"/>
        </w:rPr>
      </w:pPr>
      <w:bookmarkStart w:id="46" w:name="_Toc15377444"/>
      <w:bookmarkStart w:id="47" w:name="_Toc7130"/>
      <w:bookmarkStart w:id="48" w:name="_Toc15378460"/>
      <w:bookmarkStart w:id="49" w:name="_Toc15377213"/>
      <w:r>
        <w:rPr>
          <w:rFonts w:hint="eastAsia" w:ascii="仿宋_GB2312" w:hAnsi="仿宋_GB2312" w:eastAsia="仿宋_GB2312" w:cs="仿宋_GB2312"/>
          <w:b/>
          <w:sz w:val="32"/>
          <w:szCs w:val="32"/>
        </w:rPr>
        <w:t>2022年一般公共预算支出决算数为2792.82万元，</w:t>
      </w:r>
      <w:r>
        <w:rPr>
          <w:rStyle w:val="18"/>
          <w:rFonts w:hint="eastAsia" w:ascii="仿宋_GB2312" w:hAnsi="仿宋_GB2312" w:eastAsia="仿宋_GB2312" w:cs="仿宋_GB2312"/>
          <w:b w:val="0"/>
          <w:bCs/>
          <w:sz w:val="32"/>
          <w:szCs w:val="32"/>
        </w:rPr>
        <w:t>完成预算100%。其中：</w:t>
      </w:r>
      <w:bookmarkEnd w:id="46"/>
      <w:bookmarkEnd w:id="47"/>
      <w:bookmarkEnd w:id="48"/>
      <w:bookmarkEnd w:id="49"/>
    </w:p>
    <w:p>
      <w:pPr>
        <w:spacing w:line="600" w:lineRule="exact"/>
        <w:ind w:firstLine="640" w:firstLineChars="200"/>
        <w:rPr>
          <w:rStyle w:val="18"/>
          <w:rFonts w:ascii="仿宋_GB2312" w:hAnsi="仿宋_GB2312" w:eastAsia="仿宋_GB2312" w:cs="仿宋_GB2312"/>
          <w:b w:val="0"/>
          <w:bCs/>
          <w:sz w:val="32"/>
          <w:szCs w:val="32"/>
        </w:rPr>
      </w:pPr>
      <w:r>
        <w:rPr>
          <w:rStyle w:val="18"/>
          <w:rFonts w:hint="eastAsia" w:ascii="仿宋_GB2312" w:hAnsi="仿宋_GB2312" w:eastAsia="仿宋_GB2312" w:cs="仿宋_GB2312"/>
          <w:b w:val="0"/>
          <w:bCs/>
          <w:sz w:val="32"/>
          <w:szCs w:val="32"/>
        </w:rPr>
        <w:t>1.社会保障和就业支出—行政运行：</w:t>
      </w:r>
      <w:r>
        <w:rPr>
          <w:rFonts w:hint="eastAsia" w:ascii="仿宋_GB2312" w:hAnsi="仿宋_GB2312" w:eastAsia="仿宋_GB2312" w:cs="仿宋_GB2312"/>
          <w:sz w:val="32"/>
          <w:szCs w:val="32"/>
        </w:rPr>
        <w:t>支出决算为586.71万元，完成预算100%。</w:t>
      </w:r>
      <w:r>
        <w:rPr>
          <w:rStyle w:val="18"/>
          <w:rFonts w:hint="eastAsia" w:ascii="仿宋_GB2312" w:hAnsi="仿宋_GB2312" w:eastAsia="仿宋_GB2312" w:cs="仿宋_GB2312"/>
          <w:b w:val="0"/>
          <w:bCs/>
          <w:sz w:val="32"/>
          <w:szCs w:val="32"/>
        </w:rPr>
        <w:t>决算数等于预算数的主要原因是实行国库集中支付收付实现制。</w:t>
      </w:r>
    </w:p>
    <w:p>
      <w:pPr>
        <w:spacing w:line="600" w:lineRule="exact"/>
        <w:ind w:firstLine="640" w:firstLineChars="200"/>
        <w:rPr>
          <w:rStyle w:val="18"/>
          <w:rFonts w:ascii="仿宋_GB2312" w:hAnsi="仿宋_GB2312" w:eastAsia="仿宋_GB2312" w:cs="仿宋_GB2312"/>
          <w:b w:val="0"/>
          <w:bCs/>
          <w:sz w:val="32"/>
          <w:szCs w:val="32"/>
        </w:rPr>
      </w:pPr>
      <w:r>
        <w:rPr>
          <w:rStyle w:val="18"/>
          <w:rFonts w:hint="eastAsia" w:ascii="仿宋_GB2312" w:hAnsi="仿宋_GB2312" w:eastAsia="仿宋_GB2312" w:cs="仿宋_GB2312"/>
          <w:b w:val="0"/>
          <w:bCs/>
          <w:sz w:val="32"/>
          <w:szCs w:val="32"/>
        </w:rPr>
        <w:t>2. 社会保障和就业支出—就业管理事务：</w:t>
      </w:r>
      <w:r>
        <w:rPr>
          <w:rFonts w:hint="eastAsia" w:ascii="仿宋_GB2312" w:hAnsi="仿宋_GB2312" w:eastAsia="仿宋_GB2312" w:cs="仿宋_GB2312"/>
          <w:sz w:val="32"/>
          <w:szCs w:val="32"/>
        </w:rPr>
        <w:t>支出决算为30万元，完成预算100%。</w:t>
      </w:r>
      <w:r>
        <w:rPr>
          <w:rStyle w:val="18"/>
          <w:rFonts w:hint="eastAsia" w:ascii="仿宋_GB2312" w:hAnsi="仿宋_GB2312" w:eastAsia="仿宋_GB2312" w:cs="仿宋_GB2312"/>
          <w:b w:val="0"/>
          <w:bCs/>
          <w:sz w:val="32"/>
          <w:szCs w:val="32"/>
        </w:rPr>
        <w:t>决算数等于预算数的主要原因是实行国库集中支付收付实现制。</w:t>
      </w:r>
    </w:p>
    <w:p>
      <w:pPr>
        <w:pStyle w:val="2"/>
        <w:spacing w:before="93"/>
        <w:ind w:firstLine="627" w:firstLineChars="196"/>
        <w:rPr>
          <w:rFonts w:hAnsi="仿宋_GB2312" w:cs="仿宋_GB2312"/>
          <w:sz w:val="32"/>
          <w:szCs w:val="32"/>
        </w:rPr>
      </w:pPr>
      <w:r>
        <w:rPr>
          <w:rStyle w:val="18"/>
          <w:rFonts w:hint="eastAsia" w:hAnsi="仿宋_GB2312" w:cs="仿宋_GB2312"/>
          <w:b w:val="0"/>
          <w:bCs/>
          <w:sz w:val="32"/>
          <w:szCs w:val="32"/>
        </w:rPr>
        <w:t>3. 社会保障和就业支出—其他人力资源和社会保障管理事务支出：</w:t>
      </w:r>
      <w:r>
        <w:rPr>
          <w:rFonts w:hint="eastAsia" w:hAnsi="仿宋_GB2312" w:cs="仿宋_GB2312"/>
          <w:sz w:val="32"/>
          <w:szCs w:val="32"/>
        </w:rPr>
        <w:t>支出决算为7.19万元，完成预算100%。</w:t>
      </w:r>
    </w:p>
    <w:p>
      <w:pPr>
        <w:pStyle w:val="2"/>
        <w:spacing w:before="93"/>
        <w:ind w:firstLine="627" w:firstLineChars="196"/>
        <w:rPr>
          <w:rStyle w:val="18"/>
          <w:rFonts w:hAnsi="仿宋_GB2312" w:cs="仿宋_GB2312"/>
          <w:b w:val="0"/>
          <w:bCs/>
          <w:sz w:val="32"/>
          <w:szCs w:val="32"/>
        </w:rPr>
      </w:pPr>
      <w:r>
        <w:rPr>
          <w:rStyle w:val="18"/>
          <w:rFonts w:hint="eastAsia" w:hAnsi="仿宋_GB2312" w:cs="仿宋_GB2312"/>
          <w:b w:val="0"/>
          <w:bCs/>
          <w:sz w:val="32"/>
          <w:szCs w:val="32"/>
        </w:rPr>
        <w:t>4. 社会保障和就业支出—行政单位离退休：</w:t>
      </w:r>
      <w:r>
        <w:rPr>
          <w:rFonts w:hint="eastAsia" w:hAnsi="仿宋_GB2312" w:cs="仿宋_GB2312"/>
          <w:sz w:val="32"/>
          <w:szCs w:val="32"/>
        </w:rPr>
        <w:t>支出决算为84.69万元，完成预算100%。</w:t>
      </w:r>
    </w:p>
    <w:p>
      <w:pPr>
        <w:pStyle w:val="2"/>
        <w:spacing w:before="93"/>
        <w:ind w:firstLine="627" w:firstLineChars="196"/>
        <w:rPr>
          <w:rStyle w:val="18"/>
          <w:rFonts w:hAnsi="仿宋_GB2312" w:cs="仿宋_GB2312"/>
          <w:b w:val="0"/>
          <w:bCs/>
          <w:sz w:val="32"/>
          <w:szCs w:val="32"/>
        </w:rPr>
      </w:pPr>
      <w:r>
        <w:rPr>
          <w:rStyle w:val="18"/>
          <w:rFonts w:hint="eastAsia" w:hAnsi="仿宋_GB2312" w:cs="仿宋_GB2312"/>
          <w:b w:val="0"/>
          <w:bCs/>
          <w:sz w:val="32"/>
          <w:szCs w:val="32"/>
        </w:rPr>
        <w:t>5. 社会保障和就业支出—机关事业单位基本养老保险缴费支出：</w:t>
      </w:r>
      <w:r>
        <w:rPr>
          <w:rFonts w:hint="eastAsia" w:hAnsi="仿宋_GB2312" w:cs="仿宋_GB2312"/>
          <w:sz w:val="32"/>
          <w:szCs w:val="32"/>
        </w:rPr>
        <w:t>支出决算为43.14万元，完成预算100%。</w:t>
      </w:r>
    </w:p>
    <w:p>
      <w:pPr>
        <w:pStyle w:val="2"/>
        <w:spacing w:before="93"/>
        <w:ind w:firstLine="627" w:firstLineChars="196"/>
        <w:rPr>
          <w:rFonts w:hAnsi="仿宋_GB2312" w:cs="仿宋_GB2312"/>
        </w:rPr>
      </w:pPr>
      <w:r>
        <w:rPr>
          <w:rStyle w:val="18"/>
          <w:rFonts w:hint="eastAsia" w:hAnsi="仿宋_GB2312" w:cs="仿宋_GB2312"/>
          <w:b w:val="0"/>
          <w:bCs/>
          <w:sz w:val="32"/>
          <w:szCs w:val="32"/>
        </w:rPr>
        <w:t>6. 社会保障和就业支出—其他就业补助支出：</w:t>
      </w:r>
      <w:r>
        <w:rPr>
          <w:rFonts w:hint="eastAsia" w:hAnsi="仿宋_GB2312" w:cs="仿宋_GB2312"/>
          <w:sz w:val="32"/>
          <w:szCs w:val="32"/>
        </w:rPr>
        <w:t>支出决算为1987.15万元，完成预算100%。</w:t>
      </w:r>
    </w:p>
    <w:p>
      <w:pPr>
        <w:spacing w:line="600" w:lineRule="exact"/>
        <w:ind w:firstLine="640" w:firstLineChars="200"/>
        <w:rPr>
          <w:rStyle w:val="18"/>
          <w:rFonts w:ascii="仿宋_GB2312" w:hAnsi="仿宋_GB2312" w:eastAsia="仿宋_GB2312" w:cs="仿宋_GB2312"/>
          <w:b w:val="0"/>
          <w:bCs/>
          <w:sz w:val="32"/>
          <w:szCs w:val="32"/>
        </w:rPr>
      </w:pPr>
      <w:r>
        <w:rPr>
          <w:rFonts w:hint="eastAsia" w:ascii="仿宋_GB2312" w:hAnsi="仿宋_GB2312" w:eastAsia="仿宋_GB2312" w:cs="仿宋_GB2312"/>
          <w:sz w:val="32"/>
          <w:szCs w:val="32"/>
        </w:rPr>
        <w:t>7.住房保障支出—住房公积金：支出决算53.93万元，完成预算100%。</w:t>
      </w:r>
    </w:p>
    <w:p>
      <w:pPr>
        <w:spacing w:line="600" w:lineRule="exact"/>
        <w:ind w:firstLine="640" w:firstLineChars="200"/>
        <w:rPr>
          <w:rFonts w:ascii="仿宋_GB2312" w:hAnsi="仿宋_GB2312" w:eastAsia="仿宋_GB2312" w:cs="仿宋_GB2312"/>
          <w:b/>
          <w:sz w:val="32"/>
          <w:szCs w:val="32"/>
        </w:rPr>
      </w:pPr>
      <w:r>
        <w:rPr>
          <w:rStyle w:val="18"/>
          <w:rFonts w:hint="eastAsia" w:ascii="仿宋_GB2312" w:hAnsi="仿宋_GB2312" w:eastAsia="仿宋_GB2312" w:cs="仿宋_GB2312"/>
          <w:b w:val="0"/>
          <w:bCs/>
          <w:sz w:val="32"/>
          <w:szCs w:val="32"/>
        </w:rPr>
        <w:t>决算数等于预算数的主要原因是实行国库集中支付收付实现制。</w:t>
      </w:r>
    </w:p>
    <w:p>
      <w:pPr>
        <w:tabs>
          <w:tab w:val="right" w:pos="8306"/>
        </w:tabs>
        <w:spacing w:line="600" w:lineRule="exact"/>
        <w:ind w:firstLine="640"/>
        <w:outlineLvl w:val="1"/>
        <w:rPr>
          <w:rStyle w:val="31"/>
        </w:rPr>
      </w:pPr>
      <w:bookmarkStart w:id="50" w:name="_Toc15377214"/>
      <w:bookmarkStart w:id="51" w:name="_Toc23647"/>
      <w:bookmarkStart w:id="52"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1"/>
          <w:rFonts w:hint="eastAsia" w:ascii="黑体" w:hAnsi="黑体" w:eastAsia="黑体"/>
          <w:b w:val="0"/>
        </w:rPr>
        <w:t>般公共预算财政拨款基本支出决算情况说明</w:t>
      </w:r>
      <w:bookmarkEnd w:id="50"/>
      <w:bookmarkEnd w:id="51"/>
      <w:bookmarkEnd w:id="52"/>
      <w:r>
        <w:rPr>
          <w:rStyle w:val="31"/>
          <w:rFonts w:ascii="黑体" w:hAnsi="黑体" w:eastAsia="黑体"/>
          <w:b w:val="0"/>
        </w:rPr>
        <w:tab/>
      </w:r>
    </w:p>
    <w:p>
      <w:pPr>
        <w:spacing w:line="600" w:lineRule="exact"/>
        <w:ind w:firstLine="640" w:firstLineChars="200"/>
        <w:outlineLvl w:val="2"/>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2022年一般公共预算财政拨款基本支出768.48万元，其中：</w:t>
      </w:r>
    </w:p>
    <w:p>
      <w:pPr>
        <w:spacing w:line="600" w:lineRule="exact"/>
        <w:ind w:firstLine="640" w:firstLineChars="200"/>
        <w:outlineLvl w:val="2"/>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人员经费705.23万元，主要包括：基本工资、津贴补贴、奖金、机关事业单位基本养老保险缴费、其他工资福利支出、生活补助、医疗费补助、住房公积金等。</w:t>
      </w:r>
      <w:r>
        <w:rPr>
          <w:rFonts w:hint="eastAsia" w:ascii="仿宋_GB2312" w:hAnsi="仿宋_GB2312" w:eastAsia="仿宋_GB2312" w:cs="仿宋_GB2312"/>
          <w:bCs/>
          <w:sz w:val="32"/>
          <w:szCs w:val="32"/>
        </w:rPr>
        <w:br w:type="textWrapping"/>
      </w:r>
      <w:r>
        <w:rPr>
          <w:rFonts w:hint="eastAsia" w:ascii="仿宋_GB2312" w:hAnsi="仿宋_GB2312" w:eastAsia="仿宋_GB2312" w:cs="仿宋_GB2312"/>
          <w:bCs/>
          <w:sz w:val="32"/>
          <w:szCs w:val="32"/>
        </w:rPr>
        <w:t>　　公用经费63.25万元，主要包括：办公费、水费、电费、邮电费、物业管理费、差旅费、维修（护）费、培训费、公务接待费、劳务费、委托业务费、工会经费、福利费、其他交通费等。</w:t>
      </w:r>
    </w:p>
    <w:p>
      <w:pPr>
        <w:spacing w:line="600" w:lineRule="exact"/>
        <w:ind w:firstLine="640"/>
        <w:outlineLvl w:val="1"/>
        <w:rPr>
          <w:rStyle w:val="31"/>
          <w:rFonts w:ascii="黑体" w:hAnsi="黑体" w:eastAsia="黑体"/>
          <w:b w:val="0"/>
        </w:rPr>
      </w:pPr>
      <w:bookmarkStart w:id="53" w:name="_Toc10049"/>
      <w:bookmarkStart w:id="54" w:name="_Toc15377215"/>
      <w:bookmarkStart w:id="55" w:name="_Toc15396609"/>
      <w:r>
        <w:rPr>
          <w:rFonts w:hint="eastAsia" w:ascii="黑体" w:eastAsia="黑体"/>
          <w:sz w:val="32"/>
          <w:szCs w:val="32"/>
        </w:rPr>
        <w:t>七、</w:t>
      </w:r>
      <w:r>
        <w:rPr>
          <w:rStyle w:val="31"/>
          <w:rFonts w:hint="eastAsia" w:ascii="黑体" w:hAnsi="黑体" w:eastAsia="黑体"/>
          <w:b w:val="0"/>
        </w:rPr>
        <w:t>财政拨款</w:t>
      </w:r>
      <w:r>
        <w:rPr>
          <w:rStyle w:val="31"/>
          <w:rFonts w:hint="eastAsia" w:ascii="黑体" w:hAnsi="黑体" w:eastAsia="黑体"/>
        </w:rPr>
        <w:t>“</w:t>
      </w:r>
      <w:r>
        <w:rPr>
          <w:rStyle w:val="31"/>
          <w:rFonts w:hint="eastAsia" w:ascii="黑体" w:hAnsi="黑体" w:eastAsia="黑体"/>
          <w:b w:val="0"/>
        </w:rPr>
        <w:t>三公”经费支出决算情况说明</w:t>
      </w:r>
      <w:bookmarkEnd w:id="53"/>
      <w:bookmarkEnd w:id="54"/>
      <w:bookmarkEnd w:id="55"/>
    </w:p>
    <w:p>
      <w:pPr>
        <w:spacing w:line="600" w:lineRule="exact"/>
        <w:ind w:firstLine="640"/>
        <w:outlineLvl w:val="2"/>
        <w:rPr>
          <w:rFonts w:ascii="楷体_GB2312" w:hAnsi="楷体_GB2312" w:eastAsia="楷体_GB2312" w:cs="楷体_GB2312"/>
          <w:b/>
          <w:bCs/>
          <w:kern w:val="0"/>
          <w:sz w:val="32"/>
          <w:szCs w:val="32"/>
        </w:rPr>
      </w:pPr>
      <w:bookmarkStart w:id="56" w:name="_Toc15377216"/>
      <w:bookmarkStart w:id="57" w:name="_Toc22262"/>
      <w:r>
        <w:rPr>
          <w:rFonts w:hint="eastAsia" w:ascii="楷体_GB2312" w:hAnsi="楷体_GB2312" w:eastAsia="楷体_GB2312" w:cs="楷体_GB2312"/>
          <w:b/>
          <w:bCs/>
          <w:kern w:val="0"/>
          <w:sz w:val="32"/>
          <w:szCs w:val="32"/>
        </w:rPr>
        <w:t>（一）“三公”经费财政拨款支出决算总体情况说明</w:t>
      </w:r>
      <w:bookmarkEnd w:id="56"/>
      <w:bookmarkEnd w:id="57"/>
    </w:p>
    <w:p>
      <w:pPr>
        <w:spacing w:line="600" w:lineRule="exact"/>
        <w:ind w:firstLine="640" w:firstLineChars="200"/>
        <w:outlineLvl w:val="2"/>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2022年“三公”经费财政拨款支出决算为0.95万元，完成预算100%，较上年减少0.12万元，下降11.21%。</w:t>
      </w:r>
    </w:p>
    <w:p>
      <w:pPr>
        <w:spacing w:line="600" w:lineRule="exact"/>
        <w:ind w:firstLine="640"/>
        <w:outlineLvl w:val="2"/>
        <w:rPr>
          <w:rFonts w:ascii="楷体_GB2312" w:hAnsi="楷体_GB2312" w:eastAsia="楷体_GB2312" w:cs="楷体_GB2312"/>
          <w:b/>
          <w:bCs/>
          <w:kern w:val="0"/>
          <w:sz w:val="32"/>
          <w:szCs w:val="32"/>
        </w:rPr>
      </w:pPr>
      <w:bookmarkStart w:id="58" w:name="_Toc13750"/>
      <w:bookmarkStart w:id="59" w:name="_Toc15377217"/>
      <w:r>
        <w:rPr>
          <w:rFonts w:hint="eastAsia" w:ascii="楷体_GB2312" w:hAnsi="楷体_GB2312" w:eastAsia="楷体_GB2312" w:cs="楷体_GB2312"/>
          <w:b/>
          <w:bCs/>
          <w:kern w:val="0"/>
          <w:sz w:val="32"/>
          <w:szCs w:val="32"/>
        </w:rPr>
        <w:t>（二）“三公”经费财政拨款支出决算具体情况说明</w:t>
      </w:r>
      <w:bookmarkEnd w:id="58"/>
      <w:bookmarkEnd w:id="59"/>
    </w:p>
    <w:p>
      <w:pPr>
        <w:spacing w:line="600" w:lineRule="exact"/>
        <w:ind w:firstLine="640" w:firstLineChars="200"/>
        <w:outlineLvl w:val="2"/>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2022年“三公”经费财政拨款支出决算中，因公出国（境）费支出决算0万元，占0%；公务用车购置及运行维护费支出决算0万元，占0%；公务接待费支出决算0.95万元，占100%。具体情况如下：</w:t>
      </w:r>
    </w:p>
    <w:p>
      <w:pPr>
        <w:pStyle w:val="2"/>
        <w:spacing w:before="93"/>
      </w:pPr>
      <w:r>
        <w:rPr>
          <w:rFonts w:hint="eastAsia"/>
        </w:rPr>
        <w:drawing>
          <wp:inline distT="0" distB="0" distL="0" distR="0">
            <wp:extent cx="4648200" cy="2800350"/>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1"/>
                    <a:srcRect/>
                    <a:stretch>
                      <a:fillRect/>
                    </a:stretch>
                  </pic:blipFill>
                  <pic:spPr>
                    <a:xfrm>
                      <a:off x="0" y="0"/>
                      <a:ext cx="4648200" cy="2800350"/>
                    </a:xfrm>
                    <a:prstGeom prst="rect">
                      <a:avLst/>
                    </a:prstGeom>
                    <a:noFill/>
                    <a:ln w="9525">
                      <a:noFill/>
                      <a:miter lim="800000"/>
                      <a:headEnd/>
                      <a:tailEnd/>
                    </a:ln>
                  </pic:spPr>
                </pic:pic>
              </a:graphicData>
            </a:graphic>
          </wp:inline>
        </w:drawing>
      </w:r>
    </w:p>
    <w:p>
      <w:pPr>
        <w:spacing w:line="600" w:lineRule="exact"/>
        <w:ind w:firstLine="64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因公出国（境）经费支出0万元，</w:t>
      </w:r>
      <w:r>
        <w:rPr>
          <w:rStyle w:val="18"/>
          <w:rFonts w:hint="eastAsia" w:ascii="仿宋" w:hAnsi="仿宋" w:eastAsia="仿宋"/>
          <w:b w:val="0"/>
          <w:bCs/>
          <w:sz w:val="32"/>
          <w:szCs w:val="32"/>
        </w:rPr>
        <w:t>完成预算0</w:t>
      </w:r>
      <w:r>
        <w:rPr>
          <w:rStyle w:val="18"/>
          <w:rFonts w:ascii="仿宋" w:hAnsi="仿宋" w:eastAsia="仿宋"/>
          <w:b w:val="0"/>
          <w:bCs/>
          <w:sz w:val="32"/>
          <w:szCs w:val="32"/>
        </w:rPr>
        <w:t>%</w:t>
      </w:r>
      <w:r>
        <w:rPr>
          <w:rStyle w:val="18"/>
          <w:rFonts w:hint="eastAsia" w:ascii="仿宋" w:hAnsi="仿宋" w:eastAsia="仿宋"/>
          <w:b w:val="0"/>
          <w:bCs/>
          <w:sz w:val="32"/>
          <w:szCs w:val="32"/>
        </w:rPr>
        <w:t>。</w:t>
      </w:r>
      <w:r>
        <w:rPr>
          <w:rFonts w:hint="eastAsia" w:ascii="仿宋_GB2312" w:eastAsia="仿宋_GB2312"/>
          <w:sz w:val="32"/>
          <w:szCs w:val="32"/>
        </w:rPr>
        <w:t>全年安排因公出国（境）团组0次，出国（境）0人。</w:t>
      </w:r>
    </w:p>
    <w:p>
      <w:pPr>
        <w:spacing w:line="600" w:lineRule="exact"/>
        <w:ind w:firstLine="64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公务用车购置及运行维护费支出0万元,</w:t>
      </w:r>
      <w:r>
        <w:rPr>
          <w:rStyle w:val="18"/>
          <w:rFonts w:hint="eastAsia" w:ascii="仿宋" w:hAnsi="仿宋" w:eastAsia="仿宋"/>
          <w:b w:val="0"/>
          <w:bCs/>
          <w:sz w:val="32"/>
          <w:szCs w:val="32"/>
        </w:rPr>
        <w:t>完成预算0</w:t>
      </w:r>
      <w:r>
        <w:rPr>
          <w:rStyle w:val="18"/>
          <w:rFonts w:ascii="仿宋" w:hAnsi="仿宋" w:eastAsia="仿宋"/>
          <w:b w:val="0"/>
          <w:bCs/>
          <w:sz w:val="32"/>
          <w:szCs w:val="32"/>
        </w:rPr>
        <w:t>%</w:t>
      </w:r>
      <w:r>
        <w:rPr>
          <w:rStyle w:val="18"/>
          <w:rFonts w:hint="eastAsia" w:ascii="仿宋" w:hAnsi="仿宋" w:eastAsia="仿宋"/>
          <w:b w:val="0"/>
          <w:bCs/>
          <w:sz w:val="32"/>
          <w:szCs w:val="32"/>
        </w:rPr>
        <w:t>。</w:t>
      </w:r>
      <w:r>
        <w:rPr>
          <w:rFonts w:hint="eastAsia" w:ascii="仿宋_GB2312" w:eastAsia="仿宋_GB2312"/>
          <w:sz w:val="32"/>
          <w:szCs w:val="32"/>
        </w:rPr>
        <w:t>公务用车购置及运行维护费支出决算与</w:t>
      </w:r>
      <w:r>
        <w:rPr>
          <w:rFonts w:ascii="仿宋_GB2312" w:eastAsia="仿宋_GB2312"/>
          <w:sz w:val="32"/>
          <w:szCs w:val="32"/>
        </w:rPr>
        <w:t>20</w:t>
      </w:r>
      <w:r>
        <w:rPr>
          <w:rFonts w:hint="eastAsia" w:ascii="仿宋_GB2312" w:eastAsia="仿宋_GB2312"/>
          <w:sz w:val="32"/>
          <w:szCs w:val="32"/>
        </w:rPr>
        <w:t>21年持平。</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其中：公务用车购置支出0万元。全年按规定更新购置公务用车0辆，其中：轿车0辆、金额0万元，越野车0辆、金额0万元，载客汽车0辆、金额0万元。截至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月底，单位共有公务用车0辆，其中：轿车0辆、越野车0辆、载客汽车0辆。</w:t>
      </w:r>
    </w:p>
    <w:p>
      <w:pPr>
        <w:spacing w:line="600" w:lineRule="exact"/>
        <w:ind w:firstLine="640"/>
        <w:rPr>
          <w:rFonts w:ascii="仿宋_GB2312" w:eastAsia="仿宋_GB2312"/>
          <w:sz w:val="32"/>
          <w:szCs w:val="32"/>
        </w:rPr>
      </w:pPr>
      <w:r>
        <w:rPr>
          <w:rFonts w:hint="eastAsia" w:ascii="仿宋_GB2312" w:eastAsia="仿宋_GB2312"/>
          <w:sz w:val="32"/>
          <w:szCs w:val="32"/>
        </w:rPr>
        <w:t>公务用车运行维护费支出0万元。</w:t>
      </w:r>
    </w:p>
    <w:p>
      <w:pPr>
        <w:spacing w:line="600" w:lineRule="exact"/>
        <w:ind w:firstLine="64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公务接待费支出0.95万元，</w:t>
      </w:r>
      <w:r>
        <w:rPr>
          <w:rStyle w:val="18"/>
          <w:rFonts w:hint="eastAsia" w:ascii="仿宋" w:hAnsi="仿宋" w:eastAsia="仿宋"/>
          <w:b w:val="0"/>
          <w:bCs/>
          <w:sz w:val="32"/>
          <w:szCs w:val="32"/>
        </w:rPr>
        <w:t>完成预算100</w:t>
      </w:r>
      <w:r>
        <w:rPr>
          <w:rStyle w:val="18"/>
          <w:rFonts w:ascii="仿宋" w:hAnsi="仿宋" w:eastAsia="仿宋"/>
          <w:b w:val="0"/>
          <w:bCs/>
          <w:sz w:val="32"/>
          <w:szCs w:val="32"/>
        </w:rPr>
        <w:t>%</w:t>
      </w:r>
      <w:r>
        <w:rPr>
          <w:rStyle w:val="18"/>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21年减少0.12万元，下降11.21</w:t>
      </w:r>
      <w:r>
        <w:rPr>
          <w:rFonts w:ascii="仿宋_GB2312" w:eastAsia="仿宋_GB2312"/>
          <w:sz w:val="32"/>
          <w:szCs w:val="32"/>
        </w:rPr>
        <w:t>%</w:t>
      </w:r>
      <w:r>
        <w:rPr>
          <w:rFonts w:hint="eastAsia" w:ascii="仿宋_GB2312" w:eastAsia="仿宋_GB2312"/>
          <w:sz w:val="32"/>
          <w:szCs w:val="32"/>
        </w:rPr>
        <w:t>。主要原因是本年度公务接待批次较上年有所减少。其中：</w:t>
      </w:r>
    </w:p>
    <w:p>
      <w:pPr>
        <w:spacing w:line="600" w:lineRule="exact"/>
        <w:ind w:firstLine="640"/>
        <w:rPr>
          <w:rFonts w:ascii="仿宋_GB2312" w:eastAsia="仿宋_GB2312"/>
          <w:sz w:val="32"/>
          <w:szCs w:val="32"/>
        </w:rPr>
      </w:pPr>
      <w:r>
        <w:rPr>
          <w:rFonts w:hint="eastAsia" w:ascii="仿宋_GB2312" w:eastAsia="仿宋_GB2312"/>
          <w:sz w:val="32"/>
          <w:szCs w:val="32"/>
        </w:rPr>
        <w:t>国内公务接待支出0</w:t>
      </w:r>
      <w:r>
        <w:rPr>
          <w:rFonts w:hint="eastAsia" w:ascii="仿宋" w:hAnsi="仿宋" w:eastAsia="仿宋"/>
          <w:sz w:val="32"/>
          <w:szCs w:val="32"/>
        </w:rPr>
        <w:t>.95</w:t>
      </w:r>
      <w:r>
        <w:rPr>
          <w:rFonts w:hint="eastAsia" w:ascii="仿宋_GB2312" w:eastAsia="仿宋_GB2312"/>
          <w:sz w:val="32"/>
          <w:szCs w:val="32"/>
        </w:rPr>
        <w:t>万元，主要用于其他地、市（州）来攀开展业务活动开支的交通费、住宿费、用餐费等。国内公务接待3批次，41人次（不包括陪同人员），共计支出0.95万元，具体内容包括：宜宾市人力资源社会保障系统共18人来攀枝花开展城市合作暨返乡创业游学交流活动、阿坝州农民工中心组织部分返乡创业人员共19人赴攀枝花考察学习、绵阳市就创中心一行4人赴攀枝花开展失业保险基金交叉检查。</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外事接待支出0万元。</w:t>
      </w:r>
      <w:bookmarkStart w:id="60" w:name="_Toc15396610"/>
      <w:bookmarkStart w:id="61" w:name="_Toc15377218"/>
    </w:p>
    <w:p>
      <w:pPr>
        <w:spacing w:line="600" w:lineRule="exact"/>
        <w:ind w:firstLine="640"/>
        <w:outlineLvl w:val="1"/>
        <w:rPr>
          <w:rStyle w:val="31"/>
          <w:rFonts w:ascii="黑体" w:hAnsi="黑体" w:eastAsia="黑体"/>
        </w:rPr>
      </w:pPr>
      <w:bookmarkStart w:id="62" w:name="_Toc13065"/>
      <w:r>
        <w:rPr>
          <w:rFonts w:hint="eastAsia" w:ascii="黑体" w:eastAsia="黑体"/>
          <w:sz w:val="32"/>
          <w:szCs w:val="32"/>
        </w:rPr>
        <w:t>八、</w:t>
      </w:r>
      <w:r>
        <w:rPr>
          <w:rStyle w:val="31"/>
          <w:rFonts w:hint="eastAsia" w:ascii="黑体" w:hAnsi="黑体" w:eastAsia="黑体"/>
          <w:b w:val="0"/>
        </w:rPr>
        <w:t>政府性基金预算支出决算情况说明</w:t>
      </w:r>
      <w:bookmarkEnd w:id="60"/>
      <w:bookmarkEnd w:id="61"/>
      <w:bookmarkEnd w:id="62"/>
    </w:p>
    <w:p>
      <w:pPr>
        <w:spacing w:line="600" w:lineRule="exact"/>
        <w:ind w:firstLine="640" w:firstLineChars="200"/>
        <w:outlineLvl w:val="2"/>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2022年政府性基金预算财政拨款支出0万元。</w:t>
      </w:r>
    </w:p>
    <w:p>
      <w:pPr>
        <w:numPr>
          <w:ilvl w:val="0"/>
          <w:numId w:val="2"/>
        </w:numPr>
        <w:spacing w:line="600" w:lineRule="exact"/>
        <w:ind w:firstLine="640"/>
        <w:outlineLvl w:val="1"/>
        <w:rPr>
          <w:rStyle w:val="31"/>
          <w:rFonts w:ascii="黑体" w:hAnsi="黑体" w:eastAsia="黑体"/>
          <w:b w:val="0"/>
        </w:rPr>
      </w:pPr>
      <w:bookmarkStart w:id="63" w:name="_Toc15396611"/>
      <w:bookmarkStart w:id="64" w:name="_Toc1225"/>
      <w:bookmarkStart w:id="65" w:name="_Toc15377219"/>
      <w:r>
        <w:rPr>
          <w:rStyle w:val="31"/>
          <w:rFonts w:hint="eastAsia" w:ascii="黑体" w:hAnsi="黑体" w:eastAsia="黑体"/>
          <w:b w:val="0"/>
        </w:rPr>
        <w:t>国有资本经营预算支出决算情况说明</w:t>
      </w:r>
      <w:bookmarkEnd w:id="63"/>
      <w:bookmarkEnd w:id="64"/>
      <w:bookmarkEnd w:id="65"/>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22年国有资本经营预算财政拨款支出0万元。</w:t>
      </w:r>
    </w:p>
    <w:p>
      <w:pPr>
        <w:numPr>
          <w:ilvl w:val="0"/>
          <w:numId w:val="2"/>
        </w:numPr>
        <w:spacing w:line="600" w:lineRule="exact"/>
        <w:ind w:firstLine="640"/>
        <w:outlineLvl w:val="1"/>
        <w:rPr>
          <w:rStyle w:val="31"/>
          <w:rFonts w:ascii="黑体" w:hAnsi="黑体" w:eastAsia="黑体"/>
          <w:b w:val="0"/>
        </w:rPr>
      </w:pPr>
      <w:bookmarkStart w:id="66" w:name="_Toc12049"/>
      <w:bookmarkStart w:id="67" w:name="_Toc15377221"/>
      <w:bookmarkStart w:id="68" w:name="_Toc15396612"/>
      <w:r>
        <w:rPr>
          <w:rStyle w:val="31"/>
          <w:rFonts w:hint="eastAsia" w:ascii="黑体" w:hAnsi="黑体" w:eastAsia="黑体"/>
          <w:b w:val="0"/>
        </w:rPr>
        <w:t>其他重要事项的情况说明</w:t>
      </w:r>
      <w:bookmarkEnd w:id="66"/>
      <w:bookmarkEnd w:id="67"/>
      <w:bookmarkEnd w:id="68"/>
    </w:p>
    <w:p>
      <w:pPr>
        <w:pStyle w:val="2"/>
        <w:spacing w:before="93"/>
        <w:ind w:firstLine="643" w:firstLineChars="200"/>
        <w:rPr>
          <w:rFonts w:ascii="楷体_GB2312" w:hAnsi="楷体_GB2312" w:eastAsia="楷体_GB2312" w:cs="楷体_GB2312"/>
          <w:b/>
          <w:bCs/>
          <w:sz w:val="32"/>
          <w:szCs w:val="32"/>
        </w:rPr>
      </w:pPr>
      <w:bookmarkStart w:id="69" w:name="_Toc7052"/>
      <w:bookmarkStart w:id="70" w:name="_Toc15377222"/>
      <w:r>
        <w:rPr>
          <w:rFonts w:hint="eastAsia" w:ascii="楷体_GB2312" w:hAnsi="楷体_GB2312" w:eastAsia="楷体_GB2312" w:cs="楷体_GB2312"/>
          <w:b/>
          <w:bCs/>
          <w:sz w:val="32"/>
          <w:szCs w:val="32"/>
        </w:rPr>
        <w:t>（一）机关运行经费支出情况</w:t>
      </w:r>
      <w:bookmarkEnd w:id="69"/>
      <w:bookmarkEnd w:id="70"/>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22年，攀枝花市就业创业促进中心机关运行经费支出63.25万元，比</w:t>
      </w:r>
      <w:r>
        <w:rPr>
          <w:rFonts w:ascii="仿宋_GB2312" w:eastAsia="仿宋_GB2312"/>
          <w:sz w:val="32"/>
          <w:szCs w:val="32"/>
        </w:rPr>
        <w:t>20</w:t>
      </w:r>
      <w:r>
        <w:rPr>
          <w:rFonts w:hint="eastAsia" w:ascii="仿宋_GB2312" w:eastAsia="仿宋_GB2312"/>
          <w:sz w:val="32"/>
          <w:szCs w:val="32"/>
        </w:rPr>
        <w:t>21年减少35.74万元，下降36.1</w:t>
      </w:r>
      <w:r>
        <w:rPr>
          <w:rFonts w:ascii="仿宋_GB2312" w:eastAsia="仿宋_GB2312"/>
          <w:sz w:val="32"/>
          <w:szCs w:val="32"/>
        </w:rPr>
        <w:t>%</w:t>
      </w:r>
      <w:r>
        <w:rPr>
          <w:rFonts w:hint="eastAsia" w:ascii="仿宋_GB2312" w:eastAsia="仿宋_GB2312"/>
          <w:sz w:val="32"/>
          <w:szCs w:val="32"/>
        </w:rPr>
        <w:t>。下降的主要原因是本年度调出1人，退休2人，机关运转厉行节约，致机关运行经费较上年有所减少。</w:t>
      </w:r>
    </w:p>
    <w:p>
      <w:pPr>
        <w:autoSpaceDE w:val="0"/>
        <w:autoSpaceDN w:val="0"/>
        <w:adjustRightInd w:val="0"/>
        <w:spacing w:line="600" w:lineRule="exact"/>
        <w:ind w:firstLine="643" w:firstLineChars="200"/>
        <w:jc w:val="left"/>
        <w:outlineLvl w:val="2"/>
        <w:rPr>
          <w:rFonts w:ascii="楷体_GB2312" w:hAnsi="楷体_GB2312" w:eastAsia="楷体_GB2312" w:cs="楷体_GB2312"/>
          <w:b/>
          <w:bCs/>
          <w:kern w:val="0"/>
          <w:sz w:val="32"/>
          <w:szCs w:val="32"/>
        </w:rPr>
      </w:pPr>
      <w:bookmarkStart w:id="71" w:name="_Toc30293"/>
      <w:bookmarkStart w:id="72" w:name="_Toc15377223"/>
      <w:r>
        <w:rPr>
          <w:rFonts w:hint="eastAsia" w:ascii="楷体_GB2312" w:hAnsi="楷体_GB2312" w:eastAsia="楷体_GB2312" w:cs="楷体_GB2312"/>
          <w:b/>
          <w:bCs/>
          <w:kern w:val="0"/>
          <w:sz w:val="32"/>
          <w:szCs w:val="32"/>
        </w:rPr>
        <w:t>（二）政府采购支出情况</w:t>
      </w:r>
      <w:bookmarkEnd w:id="71"/>
      <w:bookmarkEnd w:id="72"/>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22年，攀枝花市就业创业促进中心政府采购支出总额0万元，其中：政府采购货物支出0万元、政府采购工程支出0万元、政府采购服务支出0万元。授予中小企业合同金额0万元，占政府采购支出总额的0</w:t>
      </w:r>
      <w:r>
        <w:rPr>
          <w:rFonts w:ascii="仿宋_GB2312" w:eastAsia="仿宋_GB2312"/>
          <w:sz w:val="32"/>
          <w:szCs w:val="32"/>
        </w:rPr>
        <w:t>%</w:t>
      </w:r>
      <w:r>
        <w:rPr>
          <w:rFonts w:hint="eastAsia" w:ascii="仿宋_GB2312" w:eastAsia="仿宋_GB2312"/>
          <w:sz w:val="32"/>
          <w:szCs w:val="32"/>
        </w:rPr>
        <w:t>，其中：授予小微企业合同金额0万元，占政府采购支出总额的0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楷体_GB2312" w:hAnsi="楷体_GB2312" w:eastAsia="楷体_GB2312" w:cs="楷体_GB2312"/>
          <w:b/>
          <w:bCs/>
          <w:kern w:val="0"/>
          <w:sz w:val="32"/>
          <w:szCs w:val="32"/>
        </w:rPr>
      </w:pPr>
      <w:bookmarkStart w:id="73" w:name="_Toc7874"/>
      <w:bookmarkStart w:id="74" w:name="_Toc15377224"/>
      <w:r>
        <w:rPr>
          <w:rFonts w:hint="eastAsia" w:ascii="楷体_GB2312" w:hAnsi="楷体_GB2312" w:eastAsia="楷体_GB2312" w:cs="楷体_GB2312"/>
          <w:b/>
          <w:bCs/>
          <w:kern w:val="0"/>
          <w:sz w:val="32"/>
          <w:szCs w:val="32"/>
        </w:rPr>
        <w:t>（三）国有资产占有使用情况</w:t>
      </w:r>
      <w:bookmarkEnd w:id="73"/>
      <w:bookmarkEnd w:id="74"/>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日，攀枝花市就业创业促进中心共有车辆0辆，其中：主要领导干部用车0辆、机要通信用车0辆、应急保障用车0辆、其他用车0辆。单价</w:t>
      </w:r>
      <w:r>
        <w:rPr>
          <w:rFonts w:ascii="仿宋_GB2312" w:eastAsia="仿宋_GB2312"/>
          <w:sz w:val="32"/>
          <w:szCs w:val="32"/>
        </w:rPr>
        <w:t>100</w:t>
      </w:r>
      <w:r>
        <w:rPr>
          <w:rFonts w:hint="eastAsia" w:ascii="仿宋_GB2312" w:eastAsia="仿宋_GB2312"/>
          <w:sz w:val="32"/>
          <w:szCs w:val="32"/>
        </w:rPr>
        <w:t>万元以上专用设备0台（套）。</w:t>
      </w:r>
    </w:p>
    <w:p>
      <w:pPr>
        <w:autoSpaceDE w:val="0"/>
        <w:autoSpaceDN w:val="0"/>
        <w:adjustRightInd w:val="0"/>
        <w:spacing w:line="600" w:lineRule="exact"/>
        <w:ind w:firstLine="643" w:firstLineChars="200"/>
        <w:jc w:val="left"/>
        <w:outlineLvl w:val="2"/>
        <w:rPr>
          <w:rFonts w:ascii="楷体_GB2312" w:hAnsi="楷体_GB2312" w:eastAsia="楷体_GB2312" w:cs="楷体_GB2312"/>
          <w:b/>
          <w:bCs/>
          <w:kern w:val="0"/>
          <w:sz w:val="32"/>
          <w:szCs w:val="32"/>
        </w:rPr>
      </w:pPr>
      <w:bookmarkStart w:id="75" w:name="_Toc28368"/>
      <w:r>
        <w:rPr>
          <w:rFonts w:hint="eastAsia" w:ascii="楷体_GB2312" w:hAnsi="楷体_GB2312" w:eastAsia="楷体_GB2312" w:cs="楷体_GB2312"/>
          <w:b/>
          <w:bCs/>
          <w:kern w:val="0"/>
          <w:sz w:val="32"/>
          <w:szCs w:val="32"/>
        </w:rPr>
        <w:t>（四）预算绩效管理情况</w:t>
      </w:r>
      <w:bookmarkEnd w:id="75"/>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2022年度预算编制阶段，组织对建立失业预警制度专项工作、就业创业补助资金等3个项目开展了预算事前绩效评估，对3个项目编制了绩效目标，预算执行过程中，选取3个项目开展绩效监控，年终执行完毕后，对3个项目开展了绩效自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组织对2022年度一般公共预算、政府性基金预算、国有资本经营预算、社会保险基金预算以及资本资产、债券资金等全面开展绩效自评，形成攀枝花市就业创业促进中心2022年部门整体（含部门预算项目）绩效自评报告、就业创业补助资金等专项预算项目绩效自评报告，其中，市就业创业促进中心部门整体（含部门预算项目）绩效自评得分为97.79分，绩效自评综述：</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年，我中心部门支出绩效指标达到了预期设定的目标值，绩效目标完成情况较好</w:t>
      </w:r>
      <w:r>
        <w:rPr>
          <w:rFonts w:hint="eastAsia" w:ascii="仿宋_GB2312" w:hAnsi="仿宋_GB2312" w:eastAsia="仿宋_GB2312" w:cs="仿宋_GB2312"/>
          <w:sz w:val="32"/>
          <w:szCs w:val="32"/>
        </w:rPr>
        <w:t>；就业创业补助资金专项预算项目绩效自评得分为97.79分，绩效自评综述：公共就业服务满意度超过90%，就业扶持政策经办服务满意度超过90%，</w:t>
      </w:r>
      <w:r>
        <w:rPr>
          <w:rFonts w:ascii="仿宋_GB2312" w:hAnsi="仿宋_GB2312" w:eastAsia="仿宋_GB2312" w:cs="仿宋_GB2312"/>
          <w:sz w:val="32"/>
          <w:szCs w:val="32"/>
        </w:rPr>
        <w:t>绩效目标完成情况较好</w:t>
      </w:r>
      <w:r>
        <w:rPr>
          <w:rFonts w:hint="eastAsia" w:ascii="仿宋_GB2312" w:hAnsi="仿宋_GB2312" w:eastAsia="仿宋_GB2312" w:cs="仿宋_GB2312"/>
          <w:sz w:val="32"/>
          <w:szCs w:val="32"/>
        </w:rPr>
        <w:t>。绩效自评报告详见附件。</w:t>
      </w:r>
      <w:r>
        <w:rPr>
          <w:rFonts w:ascii="仿宋_GB2312" w:eastAsia="仿宋_GB2312"/>
          <w:b/>
          <w:sz w:val="32"/>
          <w:szCs w:val="32"/>
        </w:rPr>
        <w:br w:type="page"/>
      </w:r>
    </w:p>
    <w:p>
      <w:pPr>
        <w:numPr>
          <w:ilvl w:val="0"/>
          <w:numId w:val="3"/>
        </w:numPr>
        <w:spacing w:line="600" w:lineRule="exact"/>
        <w:ind w:firstLine="660" w:firstLineChars="150"/>
        <w:jc w:val="center"/>
        <w:outlineLvl w:val="0"/>
        <w:rPr>
          <w:rStyle w:val="30"/>
          <w:rFonts w:ascii="黑体" w:hAnsi="黑体" w:eastAsia="黑体"/>
          <w:b w:val="0"/>
        </w:rPr>
      </w:pPr>
      <w:bookmarkStart w:id="76" w:name="_Toc1945"/>
      <w:bookmarkStart w:id="77" w:name="_Toc15396613"/>
      <w:bookmarkStart w:id="78" w:name="_Toc15377225"/>
      <w:r>
        <w:rPr>
          <w:rFonts w:hint="eastAsia" w:ascii="黑体" w:hAnsi="黑体" w:eastAsia="黑体"/>
          <w:sz w:val="44"/>
          <w:szCs w:val="44"/>
        </w:rPr>
        <w:t>名</w:t>
      </w:r>
      <w:r>
        <w:rPr>
          <w:rStyle w:val="30"/>
          <w:rFonts w:hint="eastAsia" w:ascii="黑体" w:hAnsi="黑体" w:eastAsia="黑体"/>
          <w:b w:val="0"/>
        </w:rPr>
        <w:t>词解释</w:t>
      </w:r>
      <w:bookmarkEnd w:id="76"/>
      <w:bookmarkEnd w:id="77"/>
      <w:bookmarkEnd w:id="78"/>
    </w:p>
    <w:p>
      <w:pPr>
        <w:spacing w:line="600" w:lineRule="exact"/>
        <w:jc w:val="left"/>
        <w:rPr>
          <w:rFonts w:ascii="宋体"/>
          <w:b/>
          <w:sz w:val="44"/>
          <w:szCs w:val="44"/>
        </w:rPr>
      </w:pPr>
    </w:p>
    <w:p>
      <w:pPr>
        <w:pStyle w:val="28"/>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8"/>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w:t>
      </w:r>
    </w:p>
    <w:p>
      <w:pPr>
        <w:pStyle w:val="28"/>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w:t>
      </w:r>
    </w:p>
    <w:p>
      <w:pPr>
        <w:pStyle w:val="28"/>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w:t>
      </w:r>
    </w:p>
    <w:p>
      <w:pPr>
        <w:pStyle w:val="28"/>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p>
    <w:p>
      <w:pPr>
        <w:pStyle w:val="28"/>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年初结转和结余：指以前年度尚未完成、结转到本年按有关规定继续使用的资金。</w:t>
      </w:r>
    </w:p>
    <w:p>
      <w:pPr>
        <w:pStyle w:val="28"/>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8"/>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9.社会保障和就业：指反映政府在社会保障和就业方面的支出。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10.住房保障支出：指集中反映政府用于住房方面的支出。</w:t>
      </w:r>
    </w:p>
    <w:p>
      <w:pPr>
        <w:ind w:firstLine="640" w:firstLineChars="200"/>
        <w:rPr>
          <w:rFonts w:ascii="仿宋_GB2312" w:eastAsia="仿宋_GB2312"/>
          <w:sz w:val="32"/>
          <w:szCs w:val="32"/>
        </w:rPr>
      </w:pPr>
      <w:r>
        <w:rPr>
          <w:rFonts w:hint="eastAsia" w:ascii="仿宋_GB2312" w:eastAsia="仿宋_GB2312"/>
          <w:sz w:val="32"/>
          <w:szCs w:val="32"/>
        </w:rPr>
        <w:t>11.基本支出：指为保障机构正常运转、完成日常工作任务而发生的人员支出和公用支出。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12.项目支出：指在基本支出之外为完成特定行政任务和事业发展目标所发生的支出。</w:t>
      </w:r>
    </w:p>
    <w:p>
      <w:pPr>
        <w:ind w:firstLine="640" w:firstLineChars="200"/>
        <w:rPr>
          <w:rFonts w:ascii="仿宋_GB2312" w:eastAsia="仿宋_GB2312"/>
          <w:sz w:val="32"/>
          <w:szCs w:val="32"/>
        </w:rPr>
      </w:pPr>
      <w:r>
        <w:rPr>
          <w:rFonts w:hint="eastAsia" w:ascii="仿宋_GB2312" w:eastAsia="仿宋_GB2312"/>
          <w:sz w:val="32"/>
          <w:szCs w:val="32"/>
        </w:rPr>
        <w:t>13.经营支出：指事业单位在专业业务活动及其辅助活动之外开展非独立核算经营活动发生的支出。</w:t>
      </w:r>
    </w:p>
    <w:p>
      <w:pPr>
        <w:ind w:firstLine="640" w:firstLineChars="200"/>
        <w:rPr>
          <w:rFonts w:ascii="仿宋_GB2312" w:eastAsia="仿宋_GB2312"/>
          <w:sz w:val="32"/>
          <w:szCs w:val="32"/>
        </w:rPr>
      </w:pPr>
      <w:r>
        <w:rPr>
          <w:rFonts w:hint="eastAsia" w:ascii="仿宋_GB2312" w:eastAsia="仿宋_GB2312"/>
          <w:sz w:val="32"/>
          <w:szCs w:val="32"/>
        </w:rPr>
        <w:t>14.“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ind w:firstLine="640" w:firstLineChars="200"/>
        <w:rPr>
          <w:rFonts w:ascii="仿宋_GB2312" w:eastAsia="仿宋_GB2312"/>
          <w:sz w:val="32"/>
          <w:szCs w:val="32"/>
        </w:rPr>
      </w:pPr>
      <w:r>
        <w:rPr>
          <w:rFonts w:hint="eastAsia" w:ascii="仿宋_GB2312" w:eastAsia="仿宋_GB2312"/>
          <w:sz w:val="32"/>
          <w:szCs w:val="32"/>
        </w:rPr>
        <w:t>15.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30"/>
          <w:rFonts w:ascii="黑体" w:hAnsi="黑体" w:eastAsia="黑体"/>
          <w:b w:val="0"/>
        </w:rPr>
      </w:pPr>
      <w:bookmarkStart w:id="79" w:name="_Toc15377226"/>
      <w:r>
        <w:rPr>
          <w:rFonts w:ascii="宋体"/>
          <w:b/>
          <w:sz w:val="44"/>
          <w:szCs w:val="44"/>
        </w:rPr>
        <w:br w:type="page"/>
      </w:r>
      <w:bookmarkStart w:id="80" w:name="_Toc15396614"/>
      <w:bookmarkStart w:id="81" w:name="_Toc13205"/>
      <w:r>
        <w:rPr>
          <w:rFonts w:hint="eastAsia" w:ascii="黑体" w:hAnsi="黑体" w:eastAsia="黑体"/>
          <w:sz w:val="44"/>
          <w:szCs w:val="44"/>
        </w:rPr>
        <w:t>第</w:t>
      </w:r>
      <w:r>
        <w:rPr>
          <w:rStyle w:val="30"/>
          <w:rFonts w:hint="eastAsia" w:ascii="黑体" w:hAnsi="黑体" w:eastAsia="黑体"/>
          <w:b w:val="0"/>
        </w:rPr>
        <w:t>四部分 附件</w:t>
      </w:r>
      <w:bookmarkEnd w:id="80"/>
      <w:bookmarkEnd w:id="81"/>
    </w:p>
    <w:p>
      <w:pPr>
        <w:spacing w:line="572" w:lineRule="exact"/>
        <w:jc w:val="left"/>
        <w:outlineLvl w:val="0"/>
        <w:rPr>
          <w:rFonts w:cs="方正小标宋简体" w:asciiTheme="minorEastAsia" w:hAnsiTheme="minorEastAsia" w:eastAsiaTheme="minorEastAsia"/>
          <w:sz w:val="44"/>
          <w:szCs w:val="44"/>
        </w:rPr>
      </w:pPr>
      <w:bookmarkStart w:id="82" w:name="_Toc22793"/>
      <w:r>
        <w:rPr>
          <w:rFonts w:hint="eastAsia" w:cs="黑体" w:asciiTheme="minorEastAsia" w:hAnsiTheme="minorEastAsia" w:eastAsiaTheme="minorEastAsia"/>
          <w:sz w:val="32"/>
          <w:szCs w:val="32"/>
        </w:rPr>
        <w:t>附件</w:t>
      </w:r>
      <w:bookmarkEnd w:id="82"/>
      <w:r>
        <w:rPr>
          <w:rFonts w:hint="eastAsia" w:cs="黑体" w:asciiTheme="minorEastAsia" w:hAnsiTheme="minorEastAsia" w:eastAsiaTheme="minorEastAsia"/>
          <w:sz w:val="32"/>
          <w:szCs w:val="32"/>
        </w:rPr>
        <w:t>1</w:t>
      </w:r>
    </w:p>
    <w:p>
      <w:pPr>
        <w:widowControl/>
        <w:spacing w:line="560" w:lineRule="exact"/>
        <w:contextualSpacing/>
        <w:jc w:val="center"/>
        <w:rPr>
          <w:rFonts w:ascii="宋体" w:hAnsi="宋体"/>
          <w:b/>
          <w:sz w:val="32"/>
          <w:szCs w:val="32"/>
          <w:shd w:val="clear" w:color="auto" w:fill="FFFFFF"/>
        </w:rPr>
      </w:pPr>
      <w:r>
        <w:rPr>
          <w:rFonts w:hint="eastAsia" w:ascii="宋体" w:hAnsi="宋体"/>
          <w:b/>
          <w:sz w:val="32"/>
          <w:szCs w:val="32"/>
          <w:shd w:val="clear" w:color="auto" w:fill="FFFFFF"/>
        </w:rPr>
        <w:t>2023年市级部门整体绩效评价报告</w:t>
      </w:r>
    </w:p>
    <w:p>
      <w:pPr>
        <w:widowControl/>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rPr>
      </w:pPr>
    </w:p>
    <w:p>
      <w:pPr>
        <w:widowControl/>
        <w:numPr>
          <w:ilvl w:val="0"/>
          <w:numId w:val="4"/>
        </w:numPr>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lang w:val="zh-CN"/>
        </w:rPr>
      </w:pPr>
      <w:r>
        <w:rPr>
          <w:rFonts w:hint="eastAsia" w:ascii="黑体" w:hAnsi="宋体" w:eastAsia="黑体" w:cs="宋体"/>
          <w:kern w:val="0"/>
          <w:sz w:val="32"/>
          <w:szCs w:val="32"/>
          <w:shd w:val="clear" w:color="auto" w:fill="FFFFFF"/>
          <w:lang w:val="zh-CN"/>
        </w:rPr>
        <w:t>部门（单位）基本情况</w:t>
      </w:r>
    </w:p>
    <w:p>
      <w:pPr>
        <w:pStyle w:val="29"/>
        <w:widowControl/>
        <w:numPr>
          <w:ilvl w:val="0"/>
          <w:numId w:val="5"/>
        </w:numPr>
        <w:adjustRightInd w:val="0"/>
        <w:snapToGrid w:val="0"/>
        <w:spacing w:line="560" w:lineRule="exact"/>
        <w:ind w:firstLineChars="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机构组成。</w:t>
      </w:r>
    </w:p>
    <w:p>
      <w:pPr>
        <w:snapToGrid w:val="0"/>
        <w:spacing w:line="560" w:lineRule="exact"/>
        <w:ind w:firstLine="640" w:firstLineChars="200"/>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 xml:space="preserve"> 攀枝花市就业创业促进中心是攀枝花市人力资源和社会保障局直属参照公务员法管理的事业单位，预算级次属一级预算单位，下属二级预算单位0个，其中：行政单位0个，参照公务员法管理的事业单位0个，其他事业单位0个。</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（二）机构职能和人员概况。</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ascii="仿宋_GB2312" w:hAnsi="仿宋_GB2312" w:eastAsia="仿宋_GB2312" w:cs="仿宋_GB2312"/>
          <w:kern w:val="0"/>
          <w:sz w:val="32"/>
          <w:szCs w:val="32"/>
          <w:shd w:val="clear" w:color="auto" w:fill="FFFFFF"/>
          <w:lang w:val="zh-CN"/>
        </w:rPr>
        <w:t>攀枝花市就业创业促进中心是履行政府公共就业创业服务与管理、负责失业保险经办服务与管理、承担全市农民工综合服务具体事务性工作的职能部门。</w:t>
      </w:r>
      <w:r>
        <w:rPr>
          <w:rFonts w:hint="eastAsia" w:ascii="仿宋_GB2312" w:hAnsi="仿宋_GB2312" w:eastAsia="仿宋_GB2312" w:cs="仿宋_GB2312"/>
          <w:kern w:val="0"/>
          <w:sz w:val="32"/>
          <w:szCs w:val="32"/>
          <w:shd w:val="clear" w:color="auto" w:fill="FFFFFF"/>
          <w:lang w:val="zh-CN"/>
        </w:rPr>
        <w:t>现内设9个科室，截至2022年12月31日，年末实有在职人员32人，退休人员26人。</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（三）年度主要工作任务。</w:t>
      </w:r>
    </w:p>
    <w:p>
      <w:pPr>
        <w:spacing w:line="640" w:lineRule="exact"/>
        <w:ind w:firstLine="640" w:firstLineChars="200"/>
        <w:rPr>
          <w:rFonts w:ascii="仿宋_GB2312" w:hAnsi="仿宋_GB2312" w:eastAsia="仿宋_GB2312" w:cs="仿宋_GB2312"/>
          <w:kern w:val="0"/>
          <w:sz w:val="32"/>
          <w:szCs w:val="32"/>
          <w:shd w:val="clear" w:color="auto" w:fill="FFFFFF"/>
          <w:lang w:val="zh-CN"/>
        </w:rPr>
      </w:pPr>
      <w:r>
        <w:rPr>
          <w:rFonts w:ascii="仿宋_GB2312" w:hAnsi="仿宋_GB2312" w:eastAsia="仿宋_GB2312" w:cs="仿宋_GB2312"/>
          <w:kern w:val="0"/>
          <w:sz w:val="32"/>
          <w:szCs w:val="32"/>
          <w:shd w:val="clear" w:color="auto" w:fill="FFFFFF"/>
          <w:lang w:val="zh-CN"/>
        </w:rPr>
        <w:t>202</w:t>
      </w:r>
      <w:r>
        <w:rPr>
          <w:rFonts w:hint="eastAsia" w:ascii="仿宋_GB2312" w:hAnsi="仿宋_GB2312" w:eastAsia="仿宋_GB2312" w:cs="仿宋_GB2312"/>
          <w:kern w:val="0"/>
          <w:sz w:val="32"/>
          <w:szCs w:val="32"/>
          <w:shd w:val="clear" w:color="auto" w:fill="FFFFFF"/>
          <w:lang w:val="zh-CN"/>
        </w:rPr>
        <w:t>2</w:t>
      </w:r>
      <w:r>
        <w:rPr>
          <w:rFonts w:ascii="仿宋_GB2312" w:hAnsi="仿宋_GB2312" w:eastAsia="仿宋_GB2312" w:cs="仿宋_GB2312"/>
          <w:kern w:val="0"/>
          <w:sz w:val="32"/>
          <w:szCs w:val="32"/>
          <w:shd w:val="clear" w:color="auto" w:fill="FFFFFF"/>
          <w:lang w:val="zh-CN"/>
        </w:rPr>
        <w:t>年，全市就业创业工作以</w:t>
      </w:r>
      <w:r>
        <w:rPr>
          <w:rFonts w:hint="eastAsia" w:ascii="仿宋_GB2312" w:hAnsi="仿宋_GB2312" w:eastAsia="仿宋_GB2312" w:cs="仿宋_GB2312"/>
          <w:kern w:val="0"/>
          <w:sz w:val="32"/>
          <w:szCs w:val="32"/>
          <w:shd w:val="clear" w:color="auto" w:fill="FFFFFF"/>
          <w:lang w:val="zh-CN"/>
        </w:rPr>
        <w:t>全省2022年就业工作“146”工作思路</w:t>
      </w:r>
      <w:r>
        <w:rPr>
          <w:rFonts w:ascii="仿宋_GB2312" w:hAnsi="仿宋_GB2312" w:eastAsia="仿宋_GB2312" w:cs="仿宋_GB2312"/>
          <w:kern w:val="0"/>
          <w:sz w:val="32"/>
          <w:szCs w:val="32"/>
          <w:shd w:val="clear" w:color="auto" w:fill="FFFFFF"/>
          <w:lang w:val="zh-CN"/>
        </w:rPr>
        <w:t>为主线，突出重点、分类施策，</w:t>
      </w:r>
      <w:r>
        <w:rPr>
          <w:rFonts w:hint="eastAsia" w:ascii="仿宋_GB2312" w:hAnsi="仿宋_GB2312" w:eastAsia="仿宋_GB2312" w:cs="仿宋_GB2312"/>
          <w:kern w:val="0"/>
          <w:sz w:val="32"/>
          <w:szCs w:val="32"/>
          <w:shd w:val="clear" w:color="auto" w:fill="FFFFFF"/>
          <w:lang w:val="zh-CN"/>
        </w:rPr>
        <w:t>围绕“实现更加充分更高质量就业”的总体目标，</w:t>
      </w:r>
      <w:r>
        <w:rPr>
          <w:rFonts w:ascii="仿宋_GB2312" w:hAnsi="仿宋_GB2312" w:eastAsia="仿宋_GB2312" w:cs="仿宋_GB2312"/>
          <w:kern w:val="0"/>
          <w:sz w:val="32"/>
          <w:szCs w:val="32"/>
          <w:shd w:val="clear" w:color="auto" w:fill="FFFFFF"/>
          <w:lang w:val="zh-CN"/>
        </w:rPr>
        <w:t>确保全市城镇新增就业</w:t>
      </w:r>
      <w:r>
        <w:rPr>
          <w:rFonts w:hint="eastAsia" w:ascii="仿宋_GB2312" w:hAnsi="仿宋_GB2312" w:eastAsia="仿宋_GB2312" w:cs="仿宋_GB2312"/>
          <w:kern w:val="0"/>
          <w:sz w:val="32"/>
          <w:szCs w:val="32"/>
          <w:shd w:val="clear" w:color="auto" w:fill="FFFFFF"/>
          <w:lang w:val="zh-CN"/>
        </w:rPr>
        <w:t>19500</w:t>
      </w:r>
      <w:r>
        <w:rPr>
          <w:rFonts w:ascii="仿宋_GB2312" w:hAnsi="仿宋_GB2312" w:eastAsia="仿宋_GB2312" w:cs="仿宋_GB2312"/>
          <w:kern w:val="0"/>
          <w:sz w:val="32"/>
          <w:szCs w:val="32"/>
          <w:shd w:val="clear" w:color="auto" w:fill="FFFFFF"/>
          <w:lang w:val="zh-CN"/>
        </w:rPr>
        <w:t>人，失业人员再就业</w:t>
      </w:r>
      <w:r>
        <w:rPr>
          <w:rFonts w:hint="eastAsia" w:ascii="仿宋_GB2312" w:hAnsi="仿宋_GB2312" w:eastAsia="仿宋_GB2312" w:cs="仿宋_GB2312"/>
          <w:kern w:val="0"/>
          <w:sz w:val="32"/>
          <w:szCs w:val="32"/>
          <w:shd w:val="clear" w:color="auto" w:fill="FFFFFF"/>
          <w:lang w:val="zh-CN"/>
        </w:rPr>
        <w:t>5500</w:t>
      </w:r>
      <w:r>
        <w:rPr>
          <w:rFonts w:ascii="仿宋_GB2312" w:hAnsi="仿宋_GB2312" w:eastAsia="仿宋_GB2312" w:cs="仿宋_GB2312"/>
          <w:kern w:val="0"/>
          <w:sz w:val="32"/>
          <w:szCs w:val="32"/>
          <w:shd w:val="clear" w:color="auto" w:fill="FFFFFF"/>
          <w:lang w:val="zh-CN"/>
        </w:rPr>
        <w:t>人，就业困难人员就业</w:t>
      </w:r>
      <w:r>
        <w:rPr>
          <w:rFonts w:hint="eastAsia" w:ascii="仿宋_GB2312" w:hAnsi="仿宋_GB2312" w:eastAsia="仿宋_GB2312" w:cs="仿宋_GB2312"/>
          <w:kern w:val="0"/>
          <w:sz w:val="32"/>
          <w:szCs w:val="32"/>
          <w:shd w:val="clear" w:color="auto" w:fill="FFFFFF"/>
          <w:lang w:val="zh-CN"/>
        </w:rPr>
        <w:t>1200</w:t>
      </w:r>
      <w:r>
        <w:rPr>
          <w:rFonts w:ascii="仿宋_GB2312" w:hAnsi="仿宋_GB2312" w:eastAsia="仿宋_GB2312" w:cs="仿宋_GB2312"/>
          <w:kern w:val="0"/>
          <w:sz w:val="32"/>
          <w:szCs w:val="32"/>
          <w:shd w:val="clear" w:color="auto" w:fill="FFFFFF"/>
          <w:lang w:val="zh-CN"/>
        </w:rPr>
        <w:t>人，城镇登记失业率目标任务控制在4.2%以内，城镇调查失业率控制在</w:t>
      </w:r>
      <w:r>
        <w:rPr>
          <w:rFonts w:hint="eastAsia" w:ascii="仿宋_GB2312" w:hAnsi="仿宋_GB2312" w:eastAsia="仿宋_GB2312" w:cs="仿宋_GB2312"/>
          <w:kern w:val="0"/>
          <w:sz w:val="32"/>
          <w:szCs w:val="32"/>
          <w:shd w:val="clear" w:color="auto" w:fill="FFFFFF"/>
          <w:lang w:val="zh-CN"/>
        </w:rPr>
        <w:t>5.5%以内</w:t>
      </w:r>
      <w:r>
        <w:rPr>
          <w:rFonts w:ascii="仿宋_GB2312" w:hAnsi="仿宋_GB2312" w:eastAsia="仿宋_GB2312" w:cs="仿宋_GB2312"/>
          <w:kern w:val="0"/>
          <w:sz w:val="32"/>
          <w:szCs w:val="32"/>
          <w:shd w:val="clear" w:color="auto" w:fill="FFFFFF"/>
          <w:lang w:val="zh-CN"/>
        </w:rPr>
        <w:t>。</w:t>
      </w:r>
      <w:r>
        <w:rPr>
          <w:rFonts w:hint="eastAsia" w:ascii="仿宋_GB2312" w:hAnsi="仿宋_GB2312" w:eastAsia="仿宋_GB2312" w:cs="仿宋_GB2312"/>
          <w:kern w:val="0"/>
          <w:sz w:val="32"/>
          <w:szCs w:val="32"/>
          <w:shd w:val="clear" w:color="auto" w:fill="FFFFFF"/>
          <w:lang w:val="zh-CN"/>
        </w:rPr>
        <w:t>围绕市委“一二三四”总体发展战略，落实“促进人力资源聚集16条”就业创业政策措施。组织重点企业赴“中圈”区域开展招聘会，促进外地劳动者来攀就业。新增外地来攀务工人员1万人。做好省公共就业服务信息系统V3.0版推广应用。落实好援企稳岗政策。以“精准化”为导向，促进重点就业群体就业。以“强基础和建平台”为切入点，提升创业带动就业工作。</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（四）部门整体支出绩效目标。</w:t>
      </w:r>
    </w:p>
    <w:p>
      <w:pPr>
        <w:pStyle w:val="2"/>
        <w:spacing w:before="93"/>
        <w:rPr>
          <w:lang w:val="zh-CN"/>
        </w:rPr>
      </w:pPr>
      <w:r>
        <w:rPr>
          <w:rFonts w:hint="eastAsia" w:ascii="Times New Roman"/>
          <w:sz w:val="32"/>
          <w:szCs w:val="32"/>
        </w:rPr>
        <w:t>保证</w:t>
      </w:r>
      <w:r>
        <w:rPr>
          <w:rFonts w:ascii="Times New Roman"/>
          <w:sz w:val="32"/>
          <w:szCs w:val="32"/>
        </w:rPr>
        <w:t>人员经费</w:t>
      </w:r>
      <w:r>
        <w:rPr>
          <w:rFonts w:hint="eastAsia" w:ascii="Times New Roman"/>
          <w:sz w:val="32"/>
          <w:szCs w:val="32"/>
        </w:rPr>
        <w:t>及时</w:t>
      </w:r>
      <w:r>
        <w:rPr>
          <w:rFonts w:ascii="Times New Roman"/>
          <w:sz w:val="32"/>
          <w:szCs w:val="32"/>
        </w:rPr>
        <w:t>发放，</w:t>
      </w:r>
      <w:r>
        <w:rPr>
          <w:rFonts w:hint="eastAsia" w:ascii="Times New Roman"/>
          <w:sz w:val="32"/>
          <w:szCs w:val="32"/>
        </w:rPr>
        <w:t>完成</w:t>
      </w:r>
      <w:r>
        <w:rPr>
          <w:rFonts w:ascii="Times New Roman"/>
          <w:sz w:val="32"/>
          <w:szCs w:val="32"/>
        </w:rPr>
        <w:t>日常公用经费的支出，确保机关正常运转，</w:t>
      </w:r>
      <w:r>
        <w:rPr>
          <w:rFonts w:ascii="Times New Roman"/>
          <w:color w:val="000000" w:themeColor="text1"/>
          <w:sz w:val="32"/>
          <w:szCs w:val="32"/>
        </w:rPr>
        <w:t>以“强体系、清数据、搭平台、建机制、优服务”</w:t>
      </w:r>
      <w:r>
        <w:rPr>
          <w:rFonts w:hint="eastAsia" w:ascii="Times New Roman"/>
          <w:color w:val="000000" w:themeColor="text1"/>
          <w:sz w:val="32"/>
          <w:szCs w:val="32"/>
        </w:rPr>
        <w:t>等</w:t>
      </w:r>
      <w:r>
        <w:rPr>
          <w:rFonts w:ascii="Times New Roman"/>
          <w:color w:val="000000" w:themeColor="text1"/>
          <w:sz w:val="32"/>
          <w:szCs w:val="32"/>
        </w:rPr>
        <w:t>为抓手，聚焦重点群体，落实“两稳一保”，</w:t>
      </w:r>
      <w:r>
        <w:rPr>
          <w:rFonts w:ascii="Times New Roman"/>
          <w:bCs/>
          <w:color w:val="000000" w:themeColor="text1"/>
          <w:sz w:val="32"/>
          <w:szCs w:val="32"/>
        </w:rPr>
        <w:t>多措并举</w:t>
      </w:r>
      <w:r>
        <w:rPr>
          <w:rFonts w:hint="eastAsia" w:ascii="Times New Roman"/>
          <w:bCs/>
          <w:color w:val="000000" w:themeColor="text1"/>
          <w:sz w:val="32"/>
          <w:szCs w:val="32"/>
        </w:rPr>
        <w:t>、主动作为</w:t>
      </w:r>
      <w:r>
        <w:rPr>
          <w:rFonts w:ascii="Times New Roman"/>
          <w:bCs/>
          <w:color w:val="000000" w:themeColor="text1"/>
          <w:sz w:val="32"/>
          <w:szCs w:val="32"/>
        </w:rPr>
        <w:t>，</w:t>
      </w:r>
      <w:r>
        <w:rPr>
          <w:rFonts w:hint="eastAsia" w:ascii="Times New Roman"/>
          <w:bCs/>
          <w:color w:val="000000" w:themeColor="text1"/>
          <w:sz w:val="32"/>
          <w:szCs w:val="32"/>
        </w:rPr>
        <w:t>抗住</w:t>
      </w:r>
      <w:r>
        <w:rPr>
          <w:rFonts w:ascii="Times New Roman"/>
          <w:bCs/>
          <w:color w:val="000000" w:themeColor="text1"/>
          <w:sz w:val="32"/>
          <w:szCs w:val="32"/>
        </w:rPr>
        <w:t>就业压力，打好“</w:t>
      </w:r>
      <w:r>
        <w:rPr>
          <w:rFonts w:hint="eastAsia" w:ascii="Times New Roman"/>
          <w:bCs/>
          <w:color w:val="000000" w:themeColor="text1"/>
          <w:sz w:val="32"/>
          <w:szCs w:val="32"/>
        </w:rPr>
        <w:t>就业</w:t>
      </w:r>
      <w:r>
        <w:rPr>
          <w:rFonts w:ascii="Times New Roman"/>
          <w:bCs/>
          <w:color w:val="000000" w:themeColor="text1"/>
          <w:sz w:val="32"/>
          <w:szCs w:val="32"/>
        </w:rPr>
        <w:t>攻坚”</w:t>
      </w:r>
      <w:r>
        <w:rPr>
          <w:rFonts w:hint="eastAsia" w:ascii="Times New Roman"/>
          <w:bCs/>
          <w:color w:val="000000" w:themeColor="text1"/>
          <w:sz w:val="32"/>
          <w:szCs w:val="32"/>
        </w:rPr>
        <w:t>战</w:t>
      </w:r>
      <w:r>
        <w:rPr>
          <w:rFonts w:ascii="Times New Roman"/>
          <w:bCs/>
          <w:color w:val="000000" w:themeColor="text1"/>
          <w:sz w:val="32"/>
          <w:szCs w:val="32"/>
        </w:rPr>
        <w:t>，确保</w:t>
      </w:r>
      <w:r>
        <w:rPr>
          <w:rFonts w:ascii="Times New Roman"/>
          <w:sz w:val="32"/>
          <w:szCs w:val="32"/>
        </w:rPr>
        <w:t>圆满完成各项工作任务及目标</w:t>
      </w:r>
      <w:r>
        <w:rPr>
          <w:rFonts w:hint="eastAsia" w:ascii="Times New Roman"/>
          <w:sz w:val="32"/>
          <w:szCs w:val="32"/>
        </w:rPr>
        <w:t>，</w:t>
      </w:r>
      <w:r>
        <w:rPr>
          <w:rFonts w:ascii="Times New Roman"/>
          <w:sz w:val="32"/>
          <w:szCs w:val="32"/>
        </w:rPr>
        <w:t>保证</w:t>
      </w:r>
      <w:r>
        <w:rPr>
          <w:rFonts w:ascii="Times New Roman"/>
          <w:bCs/>
          <w:color w:val="000000" w:themeColor="text1"/>
          <w:sz w:val="32"/>
          <w:szCs w:val="32"/>
        </w:rPr>
        <w:t>就业形势</w:t>
      </w:r>
      <w:r>
        <w:rPr>
          <w:rFonts w:hint="eastAsia" w:ascii="Times New Roman"/>
          <w:bCs/>
          <w:color w:val="000000" w:themeColor="text1"/>
          <w:sz w:val="32"/>
          <w:szCs w:val="32"/>
        </w:rPr>
        <w:t>基本</w:t>
      </w:r>
      <w:r>
        <w:rPr>
          <w:rFonts w:ascii="Times New Roman"/>
          <w:bCs/>
          <w:color w:val="000000" w:themeColor="text1"/>
          <w:sz w:val="32"/>
          <w:szCs w:val="32"/>
        </w:rPr>
        <w:t>稳定。</w:t>
      </w:r>
    </w:p>
    <w:p>
      <w:pPr>
        <w:widowControl/>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二、部门资金收支情况</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（一）部门总体收支情况。</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1.部门总体收入情况</w:t>
      </w:r>
    </w:p>
    <w:p>
      <w:pPr>
        <w:pStyle w:val="9"/>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攀枝花市就业创业促进中心202</w:t>
      </w:r>
      <w:r>
        <w:rPr>
          <w:rFonts w:hint="eastAsia" w:ascii="Times New Roman" w:hAnsi="Times New Roman" w:eastAsia="仿宋_GB2312"/>
          <w:sz w:val="32"/>
          <w:szCs w:val="32"/>
        </w:rPr>
        <w:t>2</w:t>
      </w:r>
      <w:r>
        <w:rPr>
          <w:rFonts w:ascii="Times New Roman" w:hAnsi="Times New Roman" w:eastAsia="仿宋_GB2312"/>
          <w:sz w:val="32"/>
          <w:szCs w:val="32"/>
        </w:rPr>
        <w:t>年部门预算资金</w:t>
      </w:r>
      <w:r>
        <w:rPr>
          <w:rFonts w:hint="eastAsia" w:ascii="Times New Roman" w:hAnsi="Times New Roman" w:eastAsia="仿宋_GB2312"/>
          <w:sz w:val="32"/>
          <w:szCs w:val="32"/>
        </w:rPr>
        <w:t>696.8</w:t>
      </w:r>
      <w:r>
        <w:rPr>
          <w:rFonts w:ascii="Times New Roman" w:hAnsi="Times New Roman" w:eastAsia="仿宋_GB2312"/>
          <w:sz w:val="32"/>
          <w:szCs w:val="32"/>
        </w:rPr>
        <w:t>万元，</w:t>
      </w:r>
      <w:r>
        <w:rPr>
          <w:rFonts w:hint="eastAsia" w:ascii="Times New Roman" w:hAnsi="Times New Roman" w:eastAsia="仿宋_GB2312"/>
          <w:sz w:val="32"/>
          <w:szCs w:val="32"/>
        </w:rPr>
        <w:t>其中：上年结转0万元，占0%；一般公共预算拨款收入696.80万元，占100%；政府性基金预算拨款收入0万元，占0%；事业收入0万元，占0%。</w:t>
      </w:r>
      <w:r>
        <w:rPr>
          <w:rFonts w:ascii="Times New Roman" w:hAnsi="Times New Roman" w:eastAsia="仿宋_GB2312"/>
          <w:sz w:val="32"/>
          <w:szCs w:val="32"/>
        </w:rPr>
        <w:t>追加预算</w:t>
      </w:r>
      <w:r>
        <w:rPr>
          <w:rFonts w:hint="eastAsia" w:ascii="Times New Roman" w:hAnsi="Times New Roman" w:eastAsia="仿宋_GB2312"/>
          <w:sz w:val="32"/>
          <w:szCs w:val="32"/>
        </w:rPr>
        <w:t>2096.02</w:t>
      </w:r>
      <w:r>
        <w:rPr>
          <w:rFonts w:ascii="Times New Roman" w:hAnsi="Times New Roman" w:eastAsia="仿宋_GB2312"/>
          <w:sz w:val="32"/>
          <w:szCs w:val="32"/>
        </w:rPr>
        <w:t>万元，具体情况如下：基本支出追加预算</w:t>
      </w:r>
      <w:r>
        <w:rPr>
          <w:rFonts w:hint="eastAsia" w:ascii="Times New Roman" w:hAnsi="Times New Roman" w:eastAsia="仿宋_GB2312"/>
          <w:sz w:val="32"/>
          <w:szCs w:val="32"/>
        </w:rPr>
        <w:t>71.67</w:t>
      </w:r>
      <w:r>
        <w:rPr>
          <w:rFonts w:ascii="Times New Roman" w:hAnsi="Times New Roman" w:eastAsia="仿宋_GB2312"/>
          <w:sz w:val="32"/>
          <w:szCs w:val="32"/>
        </w:rPr>
        <w:t>万元，项目支出追加预算</w:t>
      </w:r>
      <w:r>
        <w:rPr>
          <w:rFonts w:hint="eastAsia" w:ascii="Times New Roman" w:hAnsi="Times New Roman" w:eastAsia="仿宋_GB2312"/>
          <w:sz w:val="32"/>
          <w:szCs w:val="32"/>
        </w:rPr>
        <w:t>2024.35</w:t>
      </w:r>
      <w:r>
        <w:rPr>
          <w:rFonts w:ascii="Times New Roman" w:hAnsi="Times New Roman" w:eastAsia="仿宋_GB2312"/>
          <w:sz w:val="32"/>
          <w:szCs w:val="32"/>
        </w:rPr>
        <w:t>万元，其中：</w:t>
      </w:r>
      <w:r>
        <w:rPr>
          <w:rFonts w:hint="eastAsia" w:ascii="Times New Roman" w:hAnsi="Times New Roman" w:eastAsia="仿宋_GB2312"/>
          <w:sz w:val="32"/>
          <w:szCs w:val="32"/>
        </w:rPr>
        <w:t>建立失业预警制度</w:t>
      </w:r>
      <w:r>
        <w:rPr>
          <w:rFonts w:ascii="Times New Roman" w:hAnsi="Times New Roman" w:eastAsia="仿宋_GB2312"/>
          <w:sz w:val="32"/>
          <w:szCs w:val="32"/>
        </w:rPr>
        <w:t>专项经费</w:t>
      </w:r>
      <w:r>
        <w:rPr>
          <w:rFonts w:hint="eastAsia" w:ascii="Times New Roman" w:hAnsi="Times New Roman" w:eastAsia="仿宋_GB2312"/>
          <w:sz w:val="32"/>
          <w:szCs w:val="32"/>
        </w:rPr>
        <w:t>30</w:t>
      </w:r>
      <w:r>
        <w:rPr>
          <w:rFonts w:ascii="Times New Roman" w:hAnsi="Times New Roman" w:eastAsia="仿宋_GB2312"/>
          <w:sz w:val="32"/>
          <w:szCs w:val="32"/>
        </w:rPr>
        <w:t>万元</w:t>
      </w:r>
      <w:r>
        <w:rPr>
          <w:rFonts w:hint="eastAsia" w:ascii="Times New Roman" w:hAnsi="Times New Roman" w:eastAsia="仿宋_GB2312"/>
          <w:sz w:val="32"/>
          <w:szCs w:val="32"/>
        </w:rPr>
        <w:t>；</w:t>
      </w:r>
      <w:r>
        <w:rPr>
          <w:rFonts w:ascii="Times New Roman" w:hAnsi="Times New Roman" w:eastAsia="仿宋_GB2312"/>
          <w:sz w:val="32"/>
          <w:szCs w:val="32"/>
        </w:rPr>
        <w:t>中央、省级就业创业补助资金</w:t>
      </w:r>
      <w:r>
        <w:rPr>
          <w:rFonts w:hint="eastAsia" w:ascii="Times New Roman" w:hAnsi="Times New Roman" w:eastAsia="仿宋_GB2312"/>
          <w:sz w:val="32"/>
          <w:szCs w:val="32"/>
        </w:rPr>
        <w:t>1987.15</w:t>
      </w:r>
      <w:r>
        <w:rPr>
          <w:rFonts w:ascii="Times New Roman" w:hAnsi="Times New Roman" w:eastAsia="仿宋_GB2312"/>
          <w:sz w:val="32"/>
          <w:szCs w:val="32"/>
        </w:rPr>
        <w:t>万元</w:t>
      </w:r>
      <w:r>
        <w:rPr>
          <w:rFonts w:hint="eastAsia" w:ascii="Times New Roman" w:hAnsi="Times New Roman" w:eastAsia="仿宋_GB2312"/>
          <w:sz w:val="32"/>
          <w:szCs w:val="32"/>
        </w:rPr>
        <w:t>；</w:t>
      </w:r>
      <w:r>
        <w:rPr>
          <w:rFonts w:ascii="Times New Roman" w:hAnsi="Times New Roman" w:eastAsia="仿宋_GB2312"/>
          <w:sz w:val="32"/>
          <w:szCs w:val="32"/>
        </w:rPr>
        <w:t>省级财政社保公共服务能力建设资金</w:t>
      </w:r>
      <w:r>
        <w:rPr>
          <w:rFonts w:hint="eastAsia" w:ascii="Times New Roman" w:hAnsi="Times New Roman" w:eastAsia="仿宋_GB2312"/>
          <w:sz w:val="32"/>
          <w:szCs w:val="32"/>
        </w:rPr>
        <w:t>7.2</w:t>
      </w:r>
      <w:r>
        <w:rPr>
          <w:rFonts w:ascii="Times New Roman" w:hAnsi="Times New Roman" w:eastAsia="仿宋_GB2312"/>
          <w:sz w:val="32"/>
          <w:szCs w:val="32"/>
        </w:rPr>
        <w:t>万元。</w:t>
      </w:r>
    </w:p>
    <w:p>
      <w:pPr>
        <w:widowControl/>
        <w:adjustRightInd w:val="0"/>
        <w:snapToGrid w:val="0"/>
        <w:spacing w:line="560" w:lineRule="exact"/>
        <w:ind w:firstLine="640" w:firstLineChars="200"/>
        <w:contextualSpacing/>
        <w:jc w:val="left"/>
        <w:rPr>
          <w:rFonts w:eastAsia="仿宋_GB2312"/>
          <w:sz w:val="32"/>
          <w:szCs w:val="32"/>
        </w:rPr>
      </w:pPr>
      <w:r>
        <w:rPr>
          <w:rFonts w:hint="eastAsia" w:eastAsia="仿宋_GB2312"/>
          <w:sz w:val="32"/>
          <w:szCs w:val="32"/>
        </w:rPr>
        <w:t>2.部门总体支出情况</w:t>
      </w:r>
    </w:p>
    <w:p>
      <w:pPr>
        <w:spacing w:line="600" w:lineRule="exact"/>
        <w:ind w:firstLine="640" w:firstLineChars="200"/>
        <w:rPr>
          <w:rFonts w:eastAsia="仿宋_GB2312"/>
          <w:sz w:val="32"/>
          <w:szCs w:val="32"/>
        </w:rPr>
      </w:pPr>
      <w:r>
        <w:rPr>
          <w:rFonts w:hint="eastAsia" w:eastAsia="仿宋_GB2312"/>
          <w:sz w:val="32"/>
          <w:szCs w:val="32"/>
        </w:rPr>
        <w:t>2022年攀枝花市就业创业促进中心部门总体支出共计2792.82万元。其中：上年结转支出0万元，占0%；一般公共预算拨款支出696.80万元，占100%；政府性基金预算拨款支出0万元，占0%。其中：基本支出768.48万元，主要为人员经费支出705.23万元；公用经费63.25万元，项目支出2024.35万元。</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3.部门总体结转结余情况</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截至2022年12月31日，部门总体无结转结余金额。</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（二）部门财政拨款收支情况。</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1.部门财政拨款收入情况</w:t>
      </w:r>
    </w:p>
    <w:p>
      <w:pPr>
        <w:pStyle w:val="9"/>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攀枝花市就业创业促进中心202</w:t>
      </w:r>
      <w:r>
        <w:rPr>
          <w:rFonts w:hint="eastAsia" w:ascii="Times New Roman" w:hAnsi="Times New Roman" w:eastAsia="仿宋_GB2312"/>
          <w:sz w:val="32"/>
          <w:szCs w:val="32"/>
        </w:rPr>
        <w:t>2</w:t>
      </w:r>
      <w:r>
        <w:rPr>
          <w:rFonts w:ascii="Times New Roman" w:hAnsi="Times New Roman" w:eastAsia="仿宋_GB2312"/>
          <w:sz w:val="32"/>
          <w:szCs w:val="32"/>
        </w:rPr>
        <w:t>年部门</w:t>
      </w:r>
      <w:r>
        <w:rPr>
          <w:rFonts w:hint="eastAsia" w:ascii="仿宋_GB2312" w:hAnsi="仿宋_GB2312" w:eastAsia="仿宋_GB2312" w:cs="仿宋_GB2312"/>
          <w:kern w:val="0"/>
          <w:sz w:val="32"/>
          <w:szCs w:val="32"/>
          <w:shd w:val="clear" w:color="auto" w:fill="FFFFFF"/>
        </w:rPr>
        <w:t>财政拨款收入2792.82</w:t>
      </w:r>
      <w:r>
        <w:rPr>
          <w:rFonts w:ascii="Times New Roman" w:hAnsi="Times New Roman" w:eastAsia="仿宋_GB2312"/>
          <w:sz w:val="32"/>
          <w:szCs w:val="32"/>
        </w:rPr>
        <w:t>万元，</w:t>
      </w:r>
      <w:r>
        <w:rPr>
          <w:rFonts w:hint="eastAsia" w:ascii="Times New Roman" w:hAnsi="Times New Roman" w:eastAsia="仿宋_GB2312"/>
          <w:sz w:val="32"/>
          <w:szCs w:val="32"/>
        </w:rPr>
        <w:t>其中：上年结转0万元，占0%；一般公共预算拨款收入696.80万元，占100%；政府性基金预算拨款收入0万元，占0%；事业收入0万元，占0%。</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2.部门财政拨款支出情况</w:t>
      </w:r>
    </w:p>
    <w:p>
      <w:pPr>
        <w:spacing w:line="600" w:lineRule="exact"/>
        <w:ind w:firstLine="640" w:firstLineChars="200"/>
        <w:rPr>
          <w:rFonts w:eastAsia="仿宋_GB2312"/>
          <w:sz w:val="32"/>
          <w:szCs w:val="32"/>
        </w:rPr>
      </w:pPr>
      <w:r>
        <w:rPr>
          <w:rFonts w:hint="eastAsia" w:eastAsia="仿宋_GB2312"/>
          <w:sz w:val="32"/>
          <w:szCs w:val="32"/>
        </w:rPr>
        <w:t>2022年攀枝花市就业创业促进中心部门</w:t>
      </w:r>
      <w:r>
        <w:rPr>
          <w:rFonts w:hint="eastAsia" w:ascii="仿宋_GB2312" w:hAnsi="仿宋_GB2312" w:eastAsia="仿宋_GB2312" w:cs="仿宋_GB2312"/>
          <w:kern w:val="0"/>
          <w:sz w:val="32"/>
          <w:szCs w:val="32"/>
          <w:shd w:val="clear" w:color="auto" w:fill="FFFFFF"/>
        </w:rPr>
        <w:t>财政拨款支出</w:t>
      </w:r>
      <w:r>
        <w:rPr>
          <w:rFonts w:hint="eastAsia" w:eastAsia="仿宋_GB2312"/>
          <w:sz w:val="32"/>
          <w:szCs w:val="32"/>
        </w:rPr>
        <w:t>共计2792.82万元。其中：上年结转支出0万元，占0%；一般公共预算拨款支出696.80万元，占100%；政府性基金预算拨款支出0万元，占0%。</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3.部门财政拨款结转结余情况</w:t>
      </w:r>
    </w:p>
    <w:p>
      <w:pPr>
        <w:pStyle w:val="2"/>
        <w:spacing w:before="93"/>
      </w:pPr>
      <w:r>
        <w:rPr>
          <w:rFonts w:hint="eastAsia" w:hAnsi="仿宋_GB2312" w:cs="仿宋_GB2312"/>
          <w:sz w:val="32"/>
          <w:szCs w:val="32"/>
          <w:shd w:val="clear" w:color="auto" w:fill="FFFFFF"/>
        </w:rPr>
        <w:t>截至2022年12月31日，部门结转结余金额为0万元。</w:t>
      </w:r>
    </w:p>
    <w:p>
      <w:pPr>
        <w:widowControl/>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三、部门整体绩效分析</w:t>
      </w:r>
    </w:p>
    <w:p>
      <w:pPr>
        <w:widowControl/>
        <w:adjustRightInd w:val="0"/>
        <w:snapToGrid w:val="0"/>
        <w:spacing w:line="560" w:lineRule="exact"/>
        <w:ind w:firstLine="643"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（一）部门预算项目绩效分析。</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1.人员类项目绩效分析</w:t>
      </w:r>
    </w:p>
    <w:p>
      <w:pPr>
        <w:pStyle w:val="9"/>
        <w:spacing w:line="580" w:lineRule="exact"/>
        <w:ind w:firstLine="640" w:firstLineChars="200"/>
        <w:jc w:val="left"/>
        <w:rPr>
          <w:rFonts w:ascii="Times New Roman" w:hAnsi="Times New Roman" w:eastAsia="楷体"/>
          <w:sz w:val="32"/>
          <w:szCs w:val="32"/>
        </w:rPr>
      </w:pPr>
      <w:r>
        <w:rPr>
          <w:rFonts w:hint="eastAsia" w:ascii="Times New Roman" w:hAnsi="Times New Roman" w:eastAsia="仿宋_GB2312"/>
          <w:sz w:val="32"/>
          <w:szCs w:val="32"/>
        </w:rPr>
        <w:t>按时</w:t>
      </w:r>
      <w:r>
        <w:rPr>
          <w:rFonts w:ascii="Times New Roman" w:hAnsi="Times New Roman" w:eastAsia="仿宋_GB2312"/>
          <w:sz w:val="32"/>
          <w:szCs w:val="32"/>
        </w:rPr>
        <w:t>完成人员经费的</w:t>
      </w:r>
      <w:r>
        <w:rPr>
          <w:rFonts w:hint="eastAsia" w:ascii="Times New Roman" w:hAnsi="Times New Roman" w:eastAsia="仿宋_GB2312"/>
          <w:sz w:val="32"/>
          <w:szCs w:val="32"/>
        </w:rPr>
        <w:t>及时足额</w:t>
      </w:r>
      <w:r>
        <w:rPr>
          <w:rFonts w:ascii="Times New Roman" w:hAnsi="Times New Roman" w:eastAsia="仿宋_GB2312"/>
          <w:sz w:val="32"/>
          <w:szCs w:val="32"/>
        </w:rPr>
        <w:t>发放，人员经费年度调整预算为</w:t>
      </w:r>
      <w:r>
        <w:rPr>
          <w:rFonts w:hint="eastAsia" w:ascii="Times New Roman" w:hAnsi="Times New Roman" w:eastAsia="仿宋_GB2312"/>
          <w:sz w:val="32"/>
          <w:szCs w:val="32"/>
        </w:rPr>
        <w:t>705.23</w:t>
      </w:r>
      <w:r>
        <w:rPr>
          <w:rFonts w:ascii="Times New Roman" w:hAnsi="Times New Roman" w:eastAsia="仿宋_GB2312"/>
          <w:sz w:val="32"/>
          <w:szCs w:val="32"/>
        </w:rPr>
        <w:t>万元，预算执行</w:t>
      </w:r>
      <w:r>
        <w:rPr>
          <w:rFonts w:hint="eastAsia" w:ascii="Times New Roman" w:hAnsi="Times New Roman" w:eastAsia="仿宋_GB2312"/>
          <w:sz w:val="32"/>
          <w:szCs w:val="32"/>
        </w:rPr>
        <w:t>705.23</w:t>
      </w:r>
      <w:r>
        <w:rPr>
          <w:rFonts w:ascii="Times New Roman" w:hAnsi="Times New Roman" w:eastAsia="仿宋_GB2312"/>
          <w:sz w:val="32"/>
          <w:szCs w:val="32"/>
        </w:rPr>
        <w:t>万元，</w:t>
      </w:r>
      <w:r>
        <w:rPr>
          <w:rFonts w:hint="eastAsia" w:ascii="仿宋_GB2312" w:hAnsi="仿宋_GB2312" w:eastAsia="仿宋_GB2312" w:cs="仿宋_GB2312"/>
          <w:kern w:val="0"/>
          <w:sz w:val="32"/>
          <w:szCs w:val="32"/>
          <w:shd w:val="clear" w:color="auto" w:fill="FFFFFF"/>
          <w:lang w:val="zh-CN"/>
        </w:rPr>
        <w:t>预算</w:t>
      </w:r>
      <w:r>
        <w:rPr>
          <w:rFonts w:ascii="Times New Roman" w:hAnsi="Times New Roman" w:eastAsia="仿宋_GB2312"/>
          <w:sz w:val="32"/>
          <w:szCs w:val="32"/>
        </w:rPr>
        <w:t>完成率100%</w:t>
      </w:r>
      <w:r>
        <w:rPr>
          <w:rFonts w:hint="eastAsia" w:ascii="仿宋_GB2312" w:hAnsi="仿宋_GB2312" w:eastAsia="仿宋_GB2312" w:cs="仿宋_GB2312"/>
          <w:kern w:val="0"/>
          <w:sz w:val="32"/>
          <w:szCs w:val="32"/>
          <w:shd w:val="clear" w:color="auto" w:fill="FFFFFF"/>
        </w:rPr>
        <w:t>，</w:t>
      </w:r>
      <w:r>
        <w:rPr>
          <w:rFonts w:hint="eastAsia" w:ascii="仿宋_GB2312" w:hAnsi="仿宋_GB2312" w:eastAsia="仿宋_GB2312" w:cs="仿宋_GB2312"/>
          <w:kern w:val="0"/>
          <w:sz w:val="32"/>
          <w:szCs w:val="32"/>
          <w:shd w:val="clear" w:color="auto" w:fill="FFFFFF"/>
          <w:lang w:val="zh-CN"/>
        </w:rPr>
        <w:t>资金结余率0%，无违规记录。</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2.运转类项目绩效分析</w:t>
      </w:r>
    </w:p>
    <w:p>
      <w:pPr>
        <w:widowControl/>
        <w:adjustRightInd w:val="0"/>
        <w:snapToGrid w:val="0"/>
        <w:spacing w:line="560" w:lineRule="exact"/>
        <w:ind w:firstLine="640" w:firstLineChars="200"/>
        <w:contextualSpacing/>
        <w:jc w:val="left"/>
        <w:rPr>
          <w:rFonts w:eastAsia="仿宋_GB2312"/>
          <w:sz w:val="32"/>
          <w:szCs w:val="32"/>
        </w:rPr>
      </w:pPr>
      <w:r>
        <w:rPr>
          <w:rFonts w:hint="eastAsia" w:eastAsia="仿宋_GB2312"/>
          <w:sz w:val="32"/>
          <w:szCs w:val="32"/>
        </w:rPr>
        <w:t>完成</w:t>
      </w:r>
      <w:r>
        <w:rPr>
          <w:rFonts w:eastAsia="仿宋_GB2312"/>
          <w:sz w:val="32"/>
          <w:szCs w:val="32"/>
        </w:rPr>
        <w:t>日常公用经费的支出，维持了</w:t>
      </w:r>
      <w:r>
        <w:rPr>
          <w:rFonts w:hint="eastAsia" w:eastAsia="仿宋_GB2312"/>
          <w:sz w:val="32"/>
          <w:szCs w:val="32"/>
        </w:rPr>
        <w:t>单位</w:t>
      </w:r>
      <w:r>
        <w:rPr>
          <w:rFonts w:eastAsia="仿宋_GB2312"/>
          <w:sz w:val="32"/>
          <w:szCs w:val="32"/>
        </w:rPr>
        <w:t>正常运转，公用经费年度调整预算为</w:t>
      </w:r>
      <w:r>
        <w:rPr>
          <w:rFonts w:hint="eastAsia" w:eastAsia="仿宋_GB2312"/>
          <w:sz w:val="32"/>
          <w:szCs w:val="32"/>
        </w:rPr>
        <w:t>63.25</w:t>
      </w:r>
      <w:r>
        <w:rPr>
          <w:rFonts w:eastAsia="仿宋_GB2312"/>
          <w:sz w:val="32"/>
          <w:szCs w:val="32"/>
        </w:rPr>
        <w:t>万元，预算执行</w:t>
      </w:r>
      <w:r>
        <w:rPr>
          <w:rFonts w:hint="eastAsia" w:eastAsia="仿宋_GB2312"/>
          <w:sz w:val="32"/>
          <w:szCs w:val="32"/>
        </w:rPr>
        <w:t>63.25</w:t>
      </w:r>
      <w:r>
        <w:rPr>
          <w:rFonts w:eastAsia="仿宋_GB2312"/>
          <w:sz w:val="32"/>
          <w:szCs w:val="32"/>
        </w:rPr>
        <w:t>万元，</w:t>
      </w:r>
      <w:r>
        <w:rPr>
          <w:rFonts w:hint="eastAsia" w:ascii="仿宋_GB2312" w:hAnsi="仿宋_GB2312" w:eastAsia="仿宋_GB2312" w:cs="仿宋_GB2312"/>
          <w:kern w:val="0"/>
          <w:sz w:val="32"/>
          <w:szCs w:val="32"/>
          <w:shd w:val="clear" w:color="auto" w:fill="FFFFFF"/>
        </w:rPr>
        <w:t>预算</w:t>
      </w:r>
      <w:r>
        <w:rPr>
          <w:rFonts w:hint="eastAsia" w:ascii="仿宋_GB2312" w:hAnsi="仿宋_GB2312" w:eastAsia="仿宋_GB2312" w:cs="仿宋_GB2312"/>
          <w:kern w:val="0"/>
          <w:sz w:val="32"/>
          <w:szCs w:val="32"/>
          <w:shd w:val="clear" w:color="auto" w:fill="FFFFFF"/>
          <w:lang w:val="zh-CN"/>
        </w:rPr>
        <w:t>执行进度100%、预算完成情况100%、资金结余率0%，无违规记录。</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3.特定目标类项目绩效分析</w:t>
      </w:r>
    </w:p>
    <w:p>
      <w:pPr>
        <w:widowControl/>
        <w:adjustRightInd w:val="0"/>
        <w:snapToGrid w:val="0"/>
        <w:spacing w:line="560" w:lineRule="exact"/>
        <w:ind w:firstLine="640" w:firstLineChars="200"/>
        <w:contextualSpacing/>
        <w:jc w:val="left"/>
        <w:rPr>
          <w:rFonts w:eastAsia="仿宋_GB2312"/>
          <w:sz w:val="32"/>
          <w:szCs w:val="32"/>
        </w:rPr>
      </w:pPr>
      <w:r>
        <w:rPr>
          <w:rFonts w:eastAsia="仿宋_GB2312"/>
          <w:sz w:val="32"/>
          <w:szCs w:val="32"/>
        </w:rPr>
        <w:t>项目支出年度调整预算为</w:t>
      </w:r>
      <w:r>
        <w:rPr>
          <w:rFonts w:hint="eastAsia" w:eastAsia="仿宋_GB2312"/>
          <w:sz w:val="32"/>
          <w:szCs w:val="32"/>
        </w:rPr>
        <w:t>2024.35</w:t>
      </w:r>
      <w:r>
        <w:rPr>
          <w:rFonts w:eastAsia="仿宋_GB2312"/>
          <w:sz w:val="32"/>
          <w:szCs w:val="32"/>
        </w:rPr>
        <w:t>万元，预算执行</w:t>
      </w:r>
      <w:r>
        <w:rPr>
          <w:rFonts w:hint="eastAsia" w:eastAsia="仿宋_GB2312"/>
          <w:sz w:val="32"/>
          <w:szCs w:val="32"/>
        </w:rPr>
        <w:t>2024.35</w:t>
      </w:r>
      <w:r>
        <w:rPr>
          <w:rFonts w:eastAsia="仿宋_GB2312"/>
          <w:sz w:val="32"/>
          <w:szCs w:val="32"/>
        </w:rPr>
        <w:t>万元，完成率100%，</w:t>
      </w:r>
      <w:r>
        <w:rPr>
          <w:rFonts w:hint="eastAsia" w:ascii="仿宋_GB2312" w:hAnsi="仿宋_GB2312" w:eastAsia="仿宋_GB2312" w:cs="仿宋_GB2312"/>
          <w:kern w:val="0"/>
          <w:sz w:val="32"/>
          <w:szCs w:val="32"/>
          <w:shd w:val="clear" w:color="auto" w:fill="FFFFFF"/>
          <w:lang w:val="zh-CN"/>
        </w:rPr>
        <w:t>资金结余率0%，无违规记录。</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（二）部门整体履职绩效分析。</w:t>
      </w:r>
    </w:p>
    <w:p>
      <w:pPr>
        <w:pStyle w:val="9"/>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color w:val="000000" w:themeColor="text1"/>
          <w:sz w:val="32"/>
          <w:szCs w:val="32"/>
        </w:rPr>
        <w:t>2022年以来，以“强体系、清数据、搭平台、建机制、优服务”</w:t>
      </w:r>
      <w:r>
        <w:rPr>
          <w:rFonts w:hint="eastAsia" w:ascii="Times New Roman" w:hAnsi="Times New Roman" w:eastAsia="仿宋_GB2312"/>
          <w:color w:val="000000" w:themeColor="text1"/>
          <w:sz w:val="32"/>
          <w:szCs w:val="32"/>
        </w:rPr>
        <w:t>等</w:t>
      </w:r>
      <w:r>
        <w:rPr>
          <w:rFonts w:ascii="Times New Roman" w:hAnsi="Times New Roman" w:eastAsia="仿宋_GB2312"/>
          <w:color w:val="000000" w:themeColor="text1"/>
          <w:sz w:val="32"/>
          <w:szCs w:val="32"/>
        </w:rPr>
        <w:t>为抓手，聚焦重点群体，落实“两稳一保”，</w:t>
      </w:r>
      <w:r>
        <w:rPr>
          <w:rFonts w:ascii="Times New Roman" w:hAnsi="Times New Roman" w:eastAsia="仿宋_GB2312"/>
          <w:bCs/>
          <w:color w:val="000000" w:themeColor="text1"/>
          <w:sz w:val="32"/>
          <w:szCs w:val="32"/>
        </w:rPr>
        <w:t>全市就业系统多措并举</w:t>
      </w:r>
      <w:r>
        <w:rPr>
          <w:rFonts w:hint="eastAsia" w:ascii="Times New Roman" w:hAnsi="Times New Roman" w:eastAsia="仿宋_GB2312"/>
          <w:bCs/>
          <w:color w:val="000000" w:themeColor="text1"/>
          <w:sz w:val="32"/>
          <w:szCs w:val="32"/>
        </w:rPr>
        <w:t>、主动作为</w:t>
      </w:r>
      <w:r>
        <w:rPr>
          <w:rFonts w:ascii="Times New Roman" w:hAnsi="Times New Roman" w:eastAsia="仿宋_GB2312"/>
          <w:bCs/>
          <w:color w:val="000000" w:themeColor="text1"/>
          <w:sz w:val="32"/>
          <w:szCs w:val="32"/>
        </w:rPr>
        <w:t>，</w:t>
      </w:r>
      <w:r>
        <w:rPr>
          <w:rFonts w:hint="eastAsia" w:ascii="Times New Roman" w:hAnsi="Times New Roman" w:eastAsia="仿宋_GB2312"/>
          <w:bCs/>
          <w:color w:val="000000" w:themeColor="text1"/>
          <w:sz w:val="32"/>
          <w:szCs w:val="32"/>
        </w:rPr>
        <w:t>抗住</w:t>
      </w:r>
      <w:r>
        <w:rPr>
          <w:rFonts w:ascii="Times New Roman" w:hAnsi="Times New Roman" w:eastAsia="仿宋_GB2312"/>
          <w:bCs/>
          <w:color w:val="000000" w:themeColor="text1"/>
          <w:sz w:val="32"/>
          <w:szCs w:val="32"/>
        </w:rPr>
        <w:t>就业压力，打好“</w:t>
      </w:r>
      <w:r>
        <w:rPr>
          <w:rFonts w:hint="eastAsia" w:ascii="Times New Roman" w:hAnsi="Times New Roman" w:eastAsia="仿宋_GB2312"/>
          <w:bCs/>
          <w:color w:val="000000" w:themeColor="text1"/>
          <w:sz w:val="32"/>
          <w:szCs w:val="32"/>
        </w:rPr>
        <w:t>就业</w:t>
      </w:r>
      <w:r>
        <w:rPr>
          <w:rFonts w:ascii="Times New Roman" w:hAnsi="Times New Roman" w:eastAsia="仿宋_GB2312"/>
          <w:bCs/>
          <w:color w:val="000000" w:themeColor="text1"/>
          <w:sz w:val="32"/>
          <w:szCs w:val="32"/>
        </w:rPr>
        <w:t>攻坚”</w:t>
      </w:r>
      <w:r>
        <w:rPr>
          <w:rFonts w:hint="eastAsia" w:ascii="Times New Roman" w:hAnsi="Times New Roman" w:eastAsia="仿宋_GB2312"/>
          <w:bCs/>
          <w:color w:val="000000" w:themeColor="text1"/>
          <w:sz w:val="32"/>
          <w:szCs w:val="32"/>
        </w:rPr>
        <w:t>战</w:t>
      </w:r>
      <w:r>
        <w:rPr>
          <w:rFonts w:ascii="Times New Roman" w:hAnsi="Times New Roman" w:eastAsia="仿宋_GB2312"/>
          <w:bCs/>
          <w:color w:val="000000" w:themeColor="text1"/>
          <w:sz w:val="32"/>
          <w:szCs w:val="32"/>
        </w:rPr>
        <w:t>，确保</w:t>
      </w:r>
      <w:r>
        <w:rPr>
          <w:rFonts w:hint="eastAsia" w:ascii="Times New Roman" w:hAnsi="Times New Roman" w:eastAsia="仿宋_GB2312"/>
          <w:bCs/>
          <w:color w:val="000000" w:themeColor="text1"/>
          <w:sz w:val="32"/>
          <w:szCs w:val="32"/>
        </w:rPr>
        <w:t>了</w:t>
      </w:r>
      <w:r>
        <w:rPr>
          <w:rFonts w:ascii="Times New Roman" w:hAnsi="Times New Roman" w:eastAsia="仿宋_GB2312"/>
          <w:bCs/>
          <w:color w:val="000000" w:themeColor="text1"/>
          <w:sz w:val="32"/>
          <w:szCs w:val="32"/>
        </w:rPr>
        <w:t>就业形势</w:t>
      </w:r>
      <w:r>
        <w:rPr>
          <w:rFonts w:hint="eastAsia" w:ascii="Times New Roman" w:hAnsi="Times New Roman" w:eastAsia="仿宋_GB2312"/>
          <w:bCs/>
          <w:color w:val="000000" w:themeColor="text1"/>
          <w:sz w:val="32"/>
          <w:szCs w:val="32"/>
        </w:rPr>
        <w:t>基本</w:t>
      </w:r>
      <w:r>
        <w:rPr>
          <w:rFonts w:ascii="Times New Roman" w:hAnsi="Times New Roman" w:eastAsia="仿宋_GB2312"/>
          <w:bCs/>
          <w:color w:val="000000" w:themeColor="text1"/>
          <w:sz w:val="32"/>
          <w:szCs w:val="32"/>
        </w:rPr>
        <w:t>稳定。全市城镇新增就业19260人，失业人员再就业7211人，就业困难人员实现就业1634人，城镇登记失业率3.63%；应届离校未就业高校毕业生联系率99.68%，就业创业比例95.46%；新增青年就业见习1082人；开展创业培训9420人；发放创业担保贷款29851万元，</w:t>
      </w:r>
      <w:r>
        <w:rPr>
          <w:rFonts w:ascii="Times New Roman" w:hAnsi="Times New Roman" w:eastAsia="仿宋_GB2312"/>
          <w:sz w:val="32"/>
          <w:szCs w:val="32"/>
        </w:rPr>
        <w:t>服务对象满意度、创业者满意度均＞95%，圆满</w:t>
      </w:r>
      <w:r>
        <w:rPr>
          <w:rFonts w:ascii="Times New Roman" w:hAnsi="Times New Roman" w:eastAsia="仿宋_GB2312"/>
          <w:bCs/>
          <w:color w:val="000000" w:themeColor="text1"/>
          <w:sz w:val="32"/>
          <w:szCs w:val="32"/>
        </w:rPr>
        <w:t>完成年初既定绩效目标</w:t>
      </w:r>
      <w:r>
        <w:rPr>
          <w:rFonts w:hint="eastAsia" w:ascii="Times New Roman" w:hAnsi="Times New Roman" w:eastAsia="仿宋_GB2312"/>
          <w:bCs/>
          <w:color w:val="000000" w:themeColor="text1"/>
          <w:sz w:val="32"/>
          <w:szCs w:val="32"/>
        </w:rPr>
        <w:t>。</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（三）结果应用情况。</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eastAsia="仿宋_GB2312"/>
          <w:sz w:val="32"/>
          <w:szCs w:val="32"/>
        </w:rPr>
        <w:t>根据财政预算资金绩效管理要求，我中心按规定对预算绩效评价结果进行了公开公示，接受社会与群众的监督，结合绩效自评规范，进一步增强责任和效益观念，合理规范使用财政性资金，不断提高财政资金支出决策水平和管理水平，努力发挥资金最大效益。</w:t>
      </w:r>
    </w:p>
    <w:p>
      <w:pPr>
        <w:widowControl/>
        <w:numPr>
          <w:ilvl w:val="0"/>
          <w:numId w:val="6"/>
        </w:numPr>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自评质量。</w:t>
      </w:r>
    </w:p>
    <w:p>
      <w:pPr>
        <w:pStyle w:val="9"/>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202</w:t>
      </w:r>
      <w:r>
        <w:rPr>
          <w:rFonts w:hint="eastAsia" w:ascii="Times New Roman" w:hAnsi="Times New Roman" w:eastAsia="仿宋_GB2312"/>
          <w:sz w:val="32"/>
          <w:szCs w:val="32"/>
        </w:rPr>
        <w:t>2</w:t>
      </w:r>
      <w:r>
        <w:rPr>
          <w:rFonts w:ascii="Times New Roman" w:hAnsi="Times New Roman" w:eastAsia="仿宋_GB2312"/>
          <w:sz w:val="32"/>
          <w:szCs w:val="32"/>
        </w:rPr>
        <w:t>年，我中心部门支出绩效指标达到了预期设定的目标值，绩效目标完成较好，各项工作立项依据充分、程序合规、资金使用计划可行，审批手续齐全，项目组织健全，分工明确，资金管理制度健全，资金分配合理，资金申报、批准、下达程序规范，在预算执行过程中，通过事中绩效自评监控，确保各预算项目资金无挤占挪用、按进度执行。通过项目实施，</w:t>
      </w:r>
      <w:r>
        <w:rPr>
          <w:rFonts w:hint="eastAsia" w:ascii="Times New Roman" w:hAnsi="Times New Roman" w:eastAsia="仿宋_GB2312"/>
          <w:sz w:val="32"/>
          <w:szCs w:val="32"/>
        </w:rPr>
        <w:t>2022年</w:t>
      </w:r>
      <w:r>
        <w:rPr>
          <w:rFonts w:ascii="Times New Roman" w:hAnsi="Times New Roman" w:eastAsia="仿宋_GB2312"/>
          <w:bCs/>
          <w:color w:val="000000" w:themeColor="text1"/>
          <w:sz w:val="32"/>
          <w:szCs w:val="32"/>
        </w:rPr>
        <w:t>全市城镇新增就业19260人，失业人员再就业7211人，就业困难人员实现就业1634人，城镇登记失业率3.63%；应届离校未就业高校毕业生联系率99.68%，就业创业比例95.46%；新增青年就业见习1082人；开展创业培训9420人；发放创业担保贷款29851万元，所有目标任务</w:t>
      </w:r>
      <w:r>
        <w:rPr>
          <w:rFonts w:hint="eastAsia" w:ascii="Times New Roman" w:hAnsi="Times New Roman" w:eastAsia="仿宋_GB2312"/>
          <w:bCs/>
          <w:color w:val="000000" w:themeColor="text1"/>
          <w:sz w:val="32"/>
          <w:szCs w:val="32"/>
        </w:rPr>
        <w:t>均</w:t>
      </w:r>
      <w:r>
        <w:rPr>
          <w:rFonts w:ascii="Times New Roman" w:hAnsi="Times New Roman" w:eastAsia="仿宋_GB2312"/>
          <w:bCs/>
          <w:color w:val="000000" w:themeColor="text1"/>
          <w:sz w:val="32"/>
          <w:szCs w:val="32"/>
        </w:rPr>
        <w:t>全面完成。</w:t>
      </w:r>
      <w:r>
        <w:rPr>
          <w:rFonts w:ascii="Times New Roman" w:hAnsi="Times New Roman" w:eastAsia="仿宋_GB2312"/>
          <w:sz w:val="32"/>
          <w:szCs w:val="32"/>
        </w:rPr>
        <w:t>全市就业创业工作得到稳定，项目经济效益、社会效益、就业扶持政策享受者、创业者等满意度显著提高。</w:t>
      </w:r>
    </w:p>
    <w:p>
      <w:pPr>
        <w:widowControl/>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四、评价结论及建议</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（一）评价结论。</w:t>
      </w:r>
    </w:p>
    <w:p>
      <w:pPr>
        <w:widowControl/>
        <w:adjustRightInd w:val="0"/>
        <w:snapToGrid w:val="0"/>
        <w:spacing w:line="580" w:lineRule="exact"/>
        <w:ind w:firstLine="640" w:firstLineChars="200"/>
        <w:contextualSpacing/>
        <w:jc w:val="left"/>
        <w:rPr>
          <w:rFonts w:ascii="仿宋_GB2312" w:hAnsi="Calibri" w:eastAsia="仿宋_GB2312" w:cs="仿宋"/>
          <w:kern w:val="0"/>
          <w:sz w:val="32"/>
          <w:szCs w:val="32"/>
        </w:rPr>
      </w:pPr>
      <w:r>
        <w:rPr>
          <w:rFonts w:ascii="仿宋_GB2312" w:hAnsi="Calibri" w:eastAsia="仿宋_GB2312" w:cs="仿宋"/>
          <w:kern w:val="0"/>
          <w:sz w:val="32"/>
          <w:szCs w:val="32"/>
        </w:rPr>
        <w:t>202</w:t>
      </w:r>
      <w:r>
        <w:rPr>
          <w:rFonts w:hint="eastAsia" w:ascii="仿宋_GB2312" w:hAnsi="Calibri" w:eastAsia="仿宋_GB2312" w:cs="仿宋"/>
          <w:kern w:val="0"/>
          <w:sz w:val="32"/>
          <w:szCs w:val="32"/>
        </w:rPr>
        <w:t>2</w:t>
      </w:r>
      <w:r>
        <w:rPr>
          <w:rFonts w:ascii="仿宋_GB2312" w:hAnsi="Calibri" w:eastAsia="仿宋_GB2312" w:cs="仿宋"/>
          <w:kern w:val="0"/>
          <w:sz w:val="32"/>
          <w:szCs w:val="32"/>
        </w:rPr>
        <w:t>年，我中心部门支出绩效指标达到了预期设定的目标值，绩效目标完成情况较好。</w:t>
      </w:r>
    </w:p>
    <w:p>
      <w:pPr>
        <w:widowControl/>
        <w:adjustRightInd w:val="0"/>
        <w:snapToGrid w:val="0"/>
        <w:spacing w:line="560" w:lineRule="exact"/>
        <w:ind w:firstLine="643"/>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（二）存在问题。</w:t>
      </w:r>
    </w:p>
    <w:p>
      <w:pPr>
        <w:pStyle w:val="9"/>
        <w:spacing w:line="580" w:lineRule="exact"/>
        <w:ind w:firstLine="640" w:firstLineChars="200"/>
        <w:jc w:val="left"/>
        <w:rPr>
          <w:rFonts w:ascii="Times New Roman" w:hAnsi="Times New Roman" w:eastAsia="仿宋_GB2312"/>
          <w:b/>
          <w:bCs/>
          <w:sz w:val="32"/>
          <w:szCs w:val="32"/>
        </w:rPr>
      </w:pPr>
      <w:r>
        <w:rPr>
          <w:rFonts w:ascii="Times New Roman" w:hAnsi="Times New Roman" w:eastAsia="仿宋_GB2312"/>
          <w:bCs/>
          <w:sz w:val="32"/>
          <w:szCs w:val="32"/>
        </w:rPr>
        <w:t>专项资金预算安排不足。一方面，自</w:t>
      </w:r>
      <w:r>
        <w:rPr>
          <w:rFonts w:hint="eastAsia" w:ascii="Times New Roman" w:hAnsi="Times New Roman" w:eastAsia="仿宋_GB2312"/>
          <w:sz w:val="32"/>
          <w:szCs w:val="32"/>
        </w:rPr>
        <w:t>2020年 “攀枝花市农民工服务中心”在我中心挂牌后，我中心增加了承担全市农民工服务的具体事务性工作职责，每年开展农民工服务方面相关工作需要的经费未在预算执行年度内下达</w:t>
      </w:r>
      <w:r>
        <w:rPr>
          <w:rFonts w:ascii="Times New Roman" w:hAnsi="Times New Roman" w:eastAsia="仿宋_GB2312"/>
          <w:sz w:val="32"/>
          <w:szCs w:val="32"/>
        </w:rPr>
        <w:t>，导致前期开展工作时所需支出占用单位公用经费，造成支出不够严谨；另一方面预算的严重压缩和年终提前收回未执行预算，导致经费仅能保障</w:t>
      </w:r>
      <w:r>
        <w:rPr>
          <w:rFonts w:hint="eastAsia" w:ascii="Times New Roman" w:hAnsi="Times New Roman" w:eastAsia="仿宋_GB2312"/>
          <w:sz w:val="32"/>
          <w:szCs w:val="32"/>
        </w:rPr>
        <w:t>单位</w:t>
      </w:r>
      <w:r>
        <w:rPr>
          <w:rFonts w:ascii="Times New Roman" w:hAnsi="Times New Roman" w:eastAsia="仿宋_GB2312"/>
          <w:sz w:val="32"/>
          <w:szCs w:val="32"/>
        </w:rPr>
        <w:t>正常运转支出，部分项目经费拨付滞后，不利于专项工作的有序推进和开展</w:t>
      </w:r>
      <w:r>
        <w:rPr>
          <w:rFonts w:hint="eastAsia" w:ascii="Times New Roman" w:hAnsi="Times New Roman" w:eastAsia="仿宋_GB2312"/>
          <w:sz w:val="32"/>
          <w:szCs w:val="32"/>
        </w:rPr>
        <w:t>。</w:t>
      </w:r>
    </w:p>
    <w:p>
      <w:pPr>
        <w:widowControl/>
        <w:adjustRightInd w:val="0"/>
        <w:snapToGrid w:val="0"/>
        <w:spacing w:line="560" w:lineRule="exact"/>
        <w:ind w:firstLine="643"/>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（三）改进建议。</w:t>
      </w:r>
    </w:p>
    <w:p>
      <w:pPr>
        <w:ind w:firstLine="643"/>
        <w:rPr>
          <w:lang w:val="zh-CN"/>
        </w:rPr>
      </w:pPr>
      <w:r>
        <w:rPr>
          <w:rFonts w:eastAsia="仿宋_GB2312"/>
          <w:bCs/>
          <w:sz w:val="32"/>
          <w:szCs w:val="32"/>
        </w:rPr>
        <w:t>科学合理足额编制预算，</w:t>
      </w:r>
      <w:r>
        <w:rPr>
          <w:rFonts w:hint="eastAsia" w:eastAsia="仿宋_GB2312"/>
          <w:bCs/>
          <w:sz w:val="32"/>
          <w:szCs w:val="32"/>
        </w:rPr>
        <w:t>确保</w:t>
      </w:r>
      <w:r>
        <w:rPr>
          <w:rFonts w:eastAsia="仿宋_GB2312"/>
          <w:bCs/>
          <w:sz w:val="32"/>
          <w:szCs w:val="32"/>
        </w:rPr>
        <w:t>严格足额执行预算。</w:t>
      </w:r>
      <w:r>
        <w:rPr>
          <w:rFonts w:eastAsia="仿宋_GB2312"/>
          <w:sz w:val="32"/>
          <w:szCs w:val="32"/>
        </w:rPr>
        <w:t>加强预算编制的前瞻性，按照《预算法》及其实施条例的相关规定，综合上一年度的预算执行情况和本年度收支预测科学、合理的本年度预算，同时财政应尽可能的保障基本支出，特别是人员经费支出的预算及专项资金预算，专项资金预算能尽早下达，避免出现预算支出调剂及挤占情况，最大化的保障各项支出准确性和执行率。</w:t>
      </w:r>
    </w:p>
    <w:p>
      <w:pPr>
        <w:pStyle w:val="15"/>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 xml:space="preserve">见附表：附件3 </w:t>
      </w:r>
      <w:r>
        <w:rPr>
          <w:rFonts w:hint="eastAsia" w:hAnsi="仿宋_GB2312" w:eastAsia="仿宋_GB2312" w:cs="仿宋_GB2312"/>
          <w:sz w:val="32"/>
        </w:rPr>
        <w:t>部门预算项目支出绩效自评表（2022年度）</w:t>
      </w:r>
    </w:p>
    <w:p>
      <w:pPr>
        <w:pStyle w:val="15"/>
        <w:spacing w:line="560" w:lineRule="exact"/>
        <w:ind w:left="0" w:leftChars="0" w:firstLine="640"/>
        <w:rPr>
          <w:rFonts w:hAnsi="仿宋_GB2312" w:eastAsia="仿宋_GB2312" w:cs="仿宋_GB2312"/>
          <w:sz w:val="32"/>
          <w:lang w:val="zh-CN"/>
        </w:rPr>
      </w:pPr>
    </w:p>
    <w:p>
      <w:pPr>
        <w:pStyle w:val="15"/>
        <w:spacing w:line="560" w:lineRule="exact"/>
        <w:ind w:left="0" w:leftChars="0" w:firstLine="0" w:firstLineChars="0"/>
        <w:rPr>
          <w:sz w:val="32"/>
          <w:lang w:val="zh-CN"/>
        </w:rPr>
      </w:pPr>
    </w:p>
    <w:p>
      <w:pPr>
        <w:pStyle w:val="2"/>
        <w:spacing w:before="93"/>
        <w:rPr>
          <w:rFonts w:hAnsi="宋体" w:cs="宋体"/>
          <w:sz w:val="32"/>
          <w:szCs w:val="32"/>
          <w:shd w:val="clear" w:color="auto" w:fill="FFFFFF"/>
          <w:lang w:val="zh-CN"/>
        </w:rPr>
      </w:pPr>
    </w:p>
    <w:p>
      <w:pPr>
        <w:pStyle w:val="2"/>
        <w:spacing w:before="93"/>
        <w:rPr>
          <w:rFonts w:hAnsi="宋体" w:cs="宋体"/>
          <w:sz w:val="32"/>
          <w:szCs w:val="32"/>
          <w:shd w:val="clear" w:color="auto" w:fill="FFFFFF"/>
          <w:lang w:val="zh-CN"/>
        </w:rPr>
      </w:pPr>
    </w:p>
    <w:p>
      <w:pPr>
        <w:pStyle w:val="2"/>
        <w:spacing w:before="93"/>
        <w:rPr>
          <w:sz w:val="32"/>
          <w:szCs w:val="32"/>
        </w:rPr>
      </w:pPr>
      <w:r>
        <w:rPr>
          <w:rFonts w:hint="eastAsia" w:hAnsi="宋体" w:cs="宋体"/>
          <w:sz w:val="32"/>
          <w:szCs w:val="32"/>
          <w:shd w:val="clear" w:color="auto" w:fill="FFFFFF"/>
          <w:lang w:val="zh-CN"/>
        </w:rPr>
        <w:t>附件</w:t>
      </w:r>
      <w:r>
        <w:rPr>
          <w:rFonts w:hint="eastAsia" w:hAnsi="宋体" w:cs="宋体"/>
          <w:sz w:val="32"/>
          <w:szCs w:val="32"/>
          <w:shd w:val="clear" w:color="auto" w:fill="FFFFFF"/>
        </w:rPr>
        <w:t>2</w:t>
      </w:r>
    </w:p>
    <w:p>
      <w:pPr>
        <w:pStyle w:val="36"/>
        <w:spacing w:line="578" w:lineRule="exact"/>
        <w:jc w:val="center"/>
        <w:rPr>
          <w:rFonts w:ascii="方正小标宋简体" w:hAnsi="方正小标宋简体" w:eastAsia="方正小标宋简体" w:cs="方正小标宋简体"/>
          <w:color w:val="auto"/>
          <w:kern w:val="2"/>
          <w:sz w:val="32"/>
          <w:szCs w:val="32"/>
          <w:lang w:val="en-US"/>
        </w:rPr>
      </w:pPr>
      <w:r>
        <w:rPr>
          <w:rFonts w:hint="eastAsia" w:ascii="方正小标宋简体" w:hAnsi="方正小标宋简体" w:eastAsia="方正小标宋简体" w:cs="方正小标宋简体"/>
          <w:color w:val="auto"/>
          <w:kern w:val="2"/>
          <w:sz w:val="32"/>
          <w:szCs w:val="32"/>
          <w:lang w:val="en-US"/>
        </w:rPr>
        <w:t>2023年市级专项资金预算项目绩效自评报告</w:t>
      </w:r>
    </w:p>
    <w:p>
      <w:pPr>
        <w:pStyle w:val="36"/>
        <w:spacing w:line="600" w:lineRule="exact"/>
        <w:ind w:firstLine="320" w:firstLineChars="100"/>
        <w:rPr>
          <w:rFonts w:ascii="Times New Roman" w:hAnsi="Times New Roman" w:eastAsia="仿宋_GB2312"/>
          <w:color w:val="auto"/>
          <w:kern w:val="2"/>
          <w:sz w:val="32"/>
          <w:szCs w:val="32"/>
        </w:rPr>
      </w:pPr>
      <w:r>
        <w:rPr>
          <w:rFonts w:ascii="Times New Roman" w:hAnsi="Times New Roman" w:eastAsia="仿宋_GB2312"/>
          <w:color w:val="auto"/>
          <w:kern w:val="2"/>
          <w:sz w:val="32"/>
          <w:szCs w:val="32"/>
        </w:rPr>
        <w:t>（</w:t>
      </w:r>
      <w:r>
        <w:rPr>
          <w:rFonts w:hint="eastAsia" w:ascii="Times New Roman" w:hAnsi="Times New Roman" w:eastAsia="仿宋_GB2312"/>
          <w:color w:val="auto"/>
          <w:kern w:val="2"/>
          <w:szCs w:val="28"/>
        </w:rPr>
        <w:t>攀枝花市就业创业促进中心 2022年就业创业补助资金</w:t>
      </w:r>
      <w:r>
        <w:rPr>
          <w:rFonts w:ascii="Times New Roman" w:hAnsi="Times New Roman" w:eastAsia="仿宋_GB2312"/>
          <w:color w:val="auto"/>
          <w:kern w:val="2"/>
          <w:sz w:val="32"/>
          <w:szCs w:val="32"/>
        </w:rPr>
        <w:t>）</w:t>
      </w:r>
    </w:p>
    <w:p>
      <w:pPr>
        <w:numPr>
          <w:ilvl w:val="0"/>
          <w:numId w:val="7"/>
        </w:numPr>
        <w:adjustRightInd w:val="0"/>
        <w:snapToGrid w:val="0"/>
        <w:spacing w:line="600" w:lineRule="exact"/>
        <w:ind w:firstLine="720"/>
        <w:rPr>
          <w:rFonts w:eastAsia="黑体"/>
          <w:sz w:val="32"/>
          <w:szCs w:val="32"/>
          <w:lang w:val="zh-CN"/>
        </w:rPr>
      </w:pPr>
      <w:bookmarkStart w:id="83" w:name="_Toc15396618"/>
      <w:r>
        <w:rPr>
          <w:rFonts w:eastAsia="黑体"/>
          <w:sz w:val="32"/>
          <w:szCs w:val="32"/>
          <w:lang w:val="zh-CN"/>
        </w:rPr>
        <w:t>项目概况</w:t>
      </w:r>
    </w:p>
    <w:p>
      <w:pPr>
        <w:adjustRightInd w:val="0"/>
        <w:snapToGrid w:val="0"/>
        <w:spacing w:line="600" w:lineRule="exact"/>
        <w:ind w:firstLine="720"/>
        <w:rPr>
          <w:rFonts w:eastAsia="仿宋_GB2312"/>
          <w:bCs/>
          <w:color w:val="000000" w:themeColor="text1"/>
          <w:sz w:val="32"/>
          <w:szCs w:val="32"/>
        </w:rPr>
      </w:pPr>
      <w:r>
        <w:rPr>
          <w:rFonts w:hint="eastAsia" w:eastAsia="仿宋_GB2312"/>
          <w:bCs/>
          <w:color w:val="000000" w:themeColor="text1"/>
          <w:sz w:val="32"/>
          <w:szCs w:val="32"/>
        </w:rPr>
        <w:t>攀枝花就业创业促进中心2022年按照《财政厅 人力资源社会保障厅关于印发中央和省级就业创业补助资金管理办法的通知》（川财社</w:t>
      </w:r>
      <w:r>
        <w:rPr>
          <w:rFonts w:eastAsia="仿宋_GB2312"/>
          <w:bCs/>
          <w:color w:val="000000" w:themeColor="text1"/>
          <w:sz w:val="32"/>
          <w:szCs w:val="32"/>
        </w:rPr>
        <w:t>〔201</w:t>
      </w:r>
      <w:r>
        <w:rPr>
          <w:rFonts w:hint="eastAsia" w:eastAsia="仿宋_GB2312"/>
          <w:bCs/>
          <w:color w:val="000000" w:themeColor="text1"/>
          <w:sz w:val="32"/>
          <w:szCs w:val="32"/>
        </w:rPr>
        <w:t>9</w:t>
      </w:r>
      <w:r>
        <w:rPr>
          <w:rFonts w:eastAsia="仿宋_GB2312"/>
          <w:bCs/>
          <w:color w:val="000000" w:themeColor="text1"/>
          <w:sz w:val="32"/>
          <w:szCs w:val="32"/>
        </w:rPr>
        <w:t>〕</w:t>
      </w:r>
      <w:r>
        <w:rPr>
          <w:rFonts w:hint="eastAsia" w:eastAsia="仿宋_GB2312"/>
          <w:bCs/>
          <w:color w:val="000000" w:themeColor="text1"/>
          <w:sz w:val="32"/>
          <w:szCs w:val="32"/>
        </w:rPr>
        <w:t>38号），开展符合政策规定的各类就业创业补助资金申报及拨付工作。</w:t>
      </w:r>
    </w:p>
    <w:p>
      <w:pPr>
        <w:adjustRightInd w:val="0"/>
        <w:snapToGrid w:val="0"/>
        <w:spacing w:line="600" w:lineRule="exact"/>
        <w:ind w:firstLine="720"/>
        <w:rPr>
          <w:rFonts w:eastAsia="楷体_GB2312"/>
          <w:b/>
          <w:sz w:val="32"/>
          <w:szCs w:val="32"/>
          <w:lang w:val="zh-CN"/>
        </w:rPr>
      </w:pPr>
      <w:r>
        <w:rPr>
          <w:rFonts w:eastAsia="楷体_GB2312"/>
          <w:b/>
          <w:sz w:val="32"/>
          <w:szCs w:val="32"/>
          <w:lang w:val="zh-CN"/>
        </w:rPr>
        <w:t>（一）项目基本情况。</w:t>
      </w:r>
    </w:p>
    <w:p>
      <w:pPr>
        <w:adjustRightInd w:val="0"/>
        <w:snapToGrid w:val="0"/>
        <w:spacing w:line="600" w:lineRule="exact"/>
        <w:ind w:firstLine="720"/>
        <w:rPr>
          <w:sz w:val="32"/>
          <w:szCs w:val="32"/>
          <w:lang w:val="zh-CN"/>
        </w:rPr>
      </w:pPr>
      <w:r>
        <w:rPr>
          <w:sz w:val="32"/>
          <w:szCs w:val="32"/>
          <w:lang w:val="zh-CN"/>
        </w:rPr>
        <w:t>1．</w:t>
      </w:r>
      <w:r>
        <w:rPr>
          <w:rFonts w:eastAsia="仿宋_GB2312"/>
          <w:bCs/>
          <w:color w:val="000000" w:themeColor="text1"/>
          <w:sz w:val="32"/>
          <w:szCs w:val="32"/>
        </w:rPr>
        <w:t>项目主管部门在该项目管理中的职能。</w:t>
      </w:r>
    </w:p>
    <w:p>
      <w:pPr>
        <w:adjustRightInd w:val="0"/>
        <w:snapToGrid w:val="0"/>
        <w:spacing w:line="600" w:lineRule="exact"/>
        <w:ind w:firstLine="720"/>
        <w:rPr>
          <w:rFonts w:eastAsia="仿宋_GB2312"/>
          <w:bCs/>
          <w:color w:val="000000" w:themeColor="text1"/>
          <w:sz w:val="32"/>
          <w:szCs w:val="32"/>
        </w:rPr>
      </w:pPr>
      <w:r>
        <w:rPr>
          <w:rFonts w:eastAsia="仿宋_GB2312"/>
          <w:bCs/>
          <w:color w:val="000000" w:themeColor="text1"/>
          <w:sz w:val="32"/>
          <w:szCs w:val="32"/>
        </w:rPr>
        <w:t>攀枝花市就业创业促进中心是履行政府公共就业创业服务与管理、负责失业保险经办与服务管理、承担全市农民工服务的具体事务性工作的职能部门</w:t>
      </w:r>
      <w:r>
        <w:rPr>
          <w:rFonts w:hint="eastAsia" w:eastAsia="仿宋_GB2312"/>
          <w:bCs/>
          <w:color w:val="000000" w:themeColor="text1"/>
          <w:sz w:val="32"/>
          <w:szCs w:val="32"/>
        </w:rPr>
        <w:t>。</w:t>
      </w:r>
      <w:r>
        <w:rPr>
          <w:rFonts w:eastAsia="仿宋_GB2312"/>
          <w:bCs/>
          <w:color w:val="000000" w:themeColor="text1"/>
          <w:sz w:val="32"/>
          <w:szCs w:val="32"/>
        </w:rPr>
        <w:t>负责对全市就业创业补助资金的使用进行管理、审计。严格按照</w:t>
      </w:r>
      <w:r>
        <w:rPr>
          <w:rFonts w:hint="eastAsia" w:eastAsia="仿宋_GB2312"/>
          <w:bCs/>
          <w:color w:val="000000" w:themeColor="text1"/>
          <w:sz w:val="32"/>
          <w:szCs w:val="32"/>
        </w:rPr>
        <w:t>就业创业补助</w:t>
      </w:r>
      <w:r>
        <w:rPr>
          <w:rFonts w:eastAsia="仿宋_GB2312"/>
          <w:bCs/>
          <w:color w:val="000000" w:themeColor="text1"/>
          <w:sz w:val="32"/>
          <w:szCs w:val="32"/>
        </w:rPr>
        <w:t>资金的支出范围、支出标准、申领和审批程序等要求进行审核及拨付。</w:t>
      </w:r>
    </w:p>
    <w:p>
      <w:pPr>
        <w:adjustRightInd w:val="0"/>
        <w:snapToGrid w:val="0"/>
        <w:spacing w:line="600" w:lineRule="exact"/>
        <w:ind w:firstLine="720"/>
        <w:rPr>
          <w:sz w:val="32"/>
          <w:szCs w:val="32"/>
          <w:lang w:val="zh-CN"/>
        </w:rPr>
      </w:pPr>
      <w:r>
        <w:rPr>
          <w:rFonts w:hint="eastAsia"/>
          <w:sz w:val="32"/>
          <w:szCs w:val="32"/>
          <w:lang w:val="zh-CN"/>
        </w:rPr>
        <w:t>2.</w:t>
      </w:r>
      <w:r>
        <w:rPr>
          <w:rFonts w:eastAsia="仿宋_GB2312"/>
          <w:bCs/>
          <w:color w:val="000000" w:themeColor="text1"/>
          <w:sz w:val="32"/>
          <w:szCs w:val="32"/>
        </w:rPr>
        <w:t>项目立项、资金申报的依据。</w:t>
      </w:r>
    </w:p>
    <w:p>
      <w:pPr>
        <w:adjustRightInd w:val="0"/>
        <w:snapToGrid w:val="0"/>
        <w:spacing w:line="600" w:lineRule="exact"/>
        <w:ind w:firstLine="720"/>
        <w:rPr>
          <w:rFonts w:eastAsia="仿宋_GB2312"/>
          <w:bCs/>
          <w:color w:val="000000" w:themeColor="text1"/>
          <w:sz w:val="32"/>
          <w:szCs w:val="32"/>
        </w:rPr>
      </w:pPr>
      <w:r>
        <w:rPr>
          <w:rFonts w:hint="eastAsia" w:eastAsia="仿宋_GB2312"/>
          <w:bCs/>
          <w:color w:val="000000" w:themeColor="text1"/>
          <w:sz w:val="32"/>
          <w:szCs w:val="32"/>
        </w:rPr>
        <w:t>市就业创业促进中心按照《财政厅 人力资源社会保障厅关于印发中央和省级就业创业补助资金管理办法的通知》（川财社</w:t>
      </w:r>
      <w:r>
        <w:rPr>
          <w:rFonts w:eastAsia="仿宋_GB2312"/>
          <w:bCs/>
          <w:color w:val="000000" w:themeColor="text1"/>
          <w:sz w:val="32"/>
          <w:szCs w:val="32"/>
        </w:rPr>
        <w:t>〔201</w:t>
      </w:r>
      <w:r>
        <w:rPr>
          <w:rFonts w:hint="eastAsia" w:eastAsia="仿宋_GB2312"/>
          <w:bCs/>
          <w:color w:val="000000" w:themeColor="text1"/>
          <w:sz w:val="32"/>
          <w:szCs w:val="32"/>
        </w:rPr>
        <w:t>9</w:t>
      </w:r>
      <w:r>
        <w:rPr>
          <w:rFonts w:eastAsia="仿宋_GB2312"/>
          <w:bCs/>
          <w:color w:val="000000" w:themeColor="text1"/>
          <w:sz w:val="32"/>
          <w:szCs w:val="32"/>
        </w:rPr>
        <w:t>〕</w:t>
      </w:r>
      <w:r>
        <w:rPr>
          <w:rFonts w:hint="eastAsia" w:eastAsia="仿宋_GB2312"/>
          <w:bCs/>
          <w:color w:val="000000" w:themeColor="text1"/>
          <w:sz w:val="32"/>
          <w:szCs w:val="32"/>
        </w:rPr>
        <w:t>38号）文件规定的资金使用范围进行项目立项及申报，截至2022年12月31日，2022年中央和省级共计下达就业创业补助资金2004.83万元。其中：第一批下达资金1577万；第二批下达资金89万；第三批下达资金338.83万。2022年全年共拨付就业补助资金1977.18万。预算执行过程中未调整预算，资金使用符合资金管理办法等相关规定。</w:t>
      </w:r>
    </w:p>
    <w:p>
      <w:pPr>
        <w:numPr>
          <w:ilvl w:val="0"/>
          <w:numId w:val="8"/>
        </w:numPr>
        <w:adjustRightInd w:val="0"/>
        <w:snapToGrid w:val="0"/>
        <w:spacing w:line="600" w:lineRule="exact"/>
        <w:ind w:firstLine="720"/>
        <w:rPr>
          <w:rFonts w:eastAsia="仿宋_GB2312"/>
          <w:bCs/>
          <w:color w:val="000000" w:themeColor="text1"/>
          <w:sz w:val="32"/>
          <w:szCs w:val="32"/>
        </w:rPr>
      </w:pPr>
      <w:r>
        <w:rPr>
          <w:rFonts w:eastAsia="仿宋_GB2312"/>
          <w:bCs/>
          <w:color w:val="000000" w:themeColor="text1"/>
          <w:sz w:val="32"/>
          <w:szCs w:val="32"/>
        </w:rPr>
        <w:t>资金管理办法制定情况，资金支持具体项目的条件、范围与支持方式概况。</w:t>
      </w:r>
    </w:p>
    <w:p>
      <w:pPr>
        <w:adjustRightInd w:val="0"/>
        <w:snapToGrid w:val="0"/>
        <w:spacing w:line="600" w:lineRule="exact"/>
        <w:ind w:firstLine="640" w:firstLineChars="200"/>
        <w:rPr>
          <w:sz w:val="32"/>
          <w:szCs w:val="32"/>
          <w:lang w:val="zh-CN"/>
        </w:rPr>
      </w:pPr>
      <w:r>
        <w:rPr>
          <w:rFonts w:hint="eastAsia" w:eastAsia="仿宋_GB2312"/>
          <w:bCs/>
          <w:color w:val="000000" w:themeColor="text1"/>
          <w:sz w:val="32"/>
          <w:szCs w:val="32"/>
        </w:rPr>
        <w:t>市就业创业促进中心严格按照《财政厅 人力资源社会保障厅关于印发中央和省级就业创业补助资金管理办法的通知》（川财社</w:t>
      </w:r>
      <w:r>
        <w:rPr>
          <w:rFonts w:eastAsia="仿宋_GB2312"/>
          <w:bCs/>
          <w:color w:val="000000" w:themeColor="text1"/>
          <w:sz w:val="32"/>
          <w:szCs w:val="32"/>
        </w:rPr>
        <w:t>〔201</w:t>
      </w:r>
      <w:r>
        <w:rPr>
          <w:rFonts w:hint="eastAsia" w:eastAsia="仿宋_GB2312"/>
          <w:bCs/>
          <w:color w:val="000000" w:themeColor="text1"/>
          <w:sz w:val="32"/>
          <w:szCs w:val="32"/>
        </w:rPr>
        <w:t>9</w:t>
      </w:r>
      <w:r>
        <w:rPr>
          <w:rFonts w:eastAsia="仿宋_GB2312"/>
          <w:bCs/>
          <w:color w:val="000000" w:themeColor="text1"/>
          <w:sz w:val="32"/>
          <w:szCs w:val="32"/>
        </w:rPr>
        <w:t>〕</w:t>
      </w:r>
      <w:r>
        <w:rPr>
          <w:rFonts w:hint="eastAsia" w:eastAsia="仿宋_GB2312"/>
          <w:bCs/>
          <w:color w:val="000000" w:themeColor="text1"/>
          <w:sz w:val="32"/>
          <w:szCs w:val="32"/>
        </w:rPr>
        <w:t>38号）文件规定的资金使用范围申报使用资金。</w:t>
      </w:r>
    </w:p>
    <w:p>
      <w:pPr>
        <w:numPr>
          <w:ilvl w:val="0"/>
          <w:numId w:val="8"/>
        </w:numPr>
        <w:adjustRightInd w:val="0"/>
        <w:snapToGrid w:val="0"/>
        <w:spacing w:line="600" w:lineRule="exact"/>
        <w:ind w:firstLine="720"/>
        <w:rPr>
          <w:rFonts w:eastAsia="仿宋_GB2312"/>
          <w:bCs/>
          <w:color w:val="000000" w:themeColor="text1"/>
          <w:sz w:val="32"/>
          <w:szCs w:val="32"/>
        </w:rPr>
      </w:pPr>
      <w:r>
        <w:rPr>
          <w:rFonts w:eastAsia="仿宋_GB2312"/>
          <w:bCs/>
          <w:color w:val="000000" w:themeColor="text1"/>
          <w:sz w:val="32"/>
          <w:szCs w:val="32"/>
        </w:rPr>
        <w:t>资金分配的原则及考虑因素。</w:t>
      </w:r>
    </w:p>
    <w:p>
      <w:pPr>
        <w:adjustRightInd w:val="0"/>
        <w:snapToGrid w:val="0"/>
        <w:spacing w:line="600" w:lineRule="exact"/>
        <w:ind w:firstLine="720"/>
        <w:rPr>
          <w:rFonts w:eastAsia="仿宋_GB2312"/>
          <w:bCs/>
          <w:color w:val="000000" w:themeColor="text1"/>
          <w:sz w:val="32"/>
          <w:szCs w:val="32"/>
        </w:rPr>
      </w:pPr>
      <w:r>
        <w:rPr>
          <w:rFonts w:hint="eastAsia" w:eastAsia="仿宋_GB2312"/>
          <w:bCs/>
          <w:color w:val="000000" w:themeColor="text1"/>
          <w:sz w:val="32"/>
          <w:szCs w:val="32"/>
        </w:rPr>
        <w:t>市就业创业促进中心按照《财政厅 人力资源社会保障厅关于印发中央和省级就业创业补助资金管理办法的通知》（川财社</w:t>
      </w:r>
      <w:r>
        <w:rPr>
          <w:rFonts w:eastAsia="仿宋_GB2312"/>
          <w:bCs/>
          <w:color w:val="000000" w:themeColor="text1"/>
          <w:sz w:val="32"/>
          <w:szCs w:val="32"/>
        </w:rPr>
        <w:t>〔201</w:t>
      </w:r>
      <w:r>
        <w:rPr>
          <w:rFonts w:hint="eastAsia" w:eastAsia="仿宋_GB2312"/>
          <w:bCs/>
          <w:color w:val="000000" w:themeColor="text1"/>
          <w:sz w:val="32"/>
          <w:szCs w:val="32"/>
        </w:rPr>
        <w:t>9</w:t>
      </w:r>
      <w:r>
        <w:rPr>
          <w:rFonts w:eastAsia="仿宋_GB2312"/>
          <w:bCs/>
          <w:color w:val="000000" w:themeColor="text1"/>
          <w:sz w:val="32"/>
          <w:szCs w:val="32"/>
        </w:rPr>
        <w:t>〕</w:t>
      </w:r>
      <w:r>
        <w:rPr>
          <w:rFonts w:hint="eastAsia" w:eastAsia="仿宋_GB2312"/>
          <w:bCs/>
          <w:color w:val="000000" w:themeColor="text1"/>
          <w:sz w:val="32"/>
          <w:szCs w:val="32"/>
        </w:rPr>
        <w:t>38号）文件规定的资金使用项目，向市人力资源社会保障局提出年度资金使用计划，市人力资源社会保障局就业创业补助资金分配领导小组将年度资金使用计划纳入资金分配方案，经市人力资源社会保障局党组审核后，由市财政局按资金分配方案下达中央和省级就业创业补助资金。</w:t>
      </w:r>
    </w:p>
    <w:p>
      <w:pPr>
        <w:adjustRightInd w:val="0"/>
        <w:snapToGrid w:val="0"/>
        <w:spacing w:line="600" w:lineRule="exact"/>
        <w:ind w:firstLine="720"/>
        <w:rPr>
          <w:rFonts w:eastAsia="楷体_GB2312"/>
          <w:b/>
          <w:sz w:val="32"/>
          <w:szCs w:val="32"/>
          <w:lang w:val="zh-CN"/>
        </w:rPr>
      </w:pPr>
      <w:r>
        <w:rPr>
          <w:rFonts w:eastAsia="楷体_GB2312"/>
          <w:b/>
          <w:sz w:val="32"/>
          <w:szCs w:val="32"/>
          <w:lang w:val="zh-CN"/>
        </w:rPr>
        <w:t>（二）项目绩效目标。</w:t>
      </w:r>
    </w:p>
    <w:p>
      <w:pPr>
        <w:adjustRightInd w:val="0"/>
        <w:snapToGrid w:val="0"/>
        <w:spacing w:line="600" w:lineRule="exact"/>
        <w:ind w:firstLine="720"/>
        <w:rPr>
          <w:sz w:val="32"/>
          <w:szCs w:val="32"/>
          <w:lang w:val="zh-CN"/>
        </w:rPr>
      </w:pPr>
      <w:r>
        <w:rPr>
          <w:sz w:val="32"/>
          <w:szCs w:val="32"/>
          <w:lang w:val="zh-CN"/>
        </w:rPr>
        <w:t xml:space="preserve">1. </w:t>
      </w:r>
      <w:r>
        <w:rPr>
          <w:rFonts w:eastAsia="仿宋_GB2312"/>
          <w:bCs/>
          <w:color w:val="000000" w:themeColor="text1"/>
          <w:sz w:val="32"/>
          <w:szCs w:val="32"/>
        </w:rPr>
        <w:t>项目主要内容。</w:t>
      </w:r>
    </w:p>
    <w:p>
      <w:pPr>
        <w:adjustRightInd w:val="0"/>
        <w:snapToGrid w:val="0"/>
        <w:spacing w:line="600" w:lineRule="exact"/>
        <w:ind w:firstLine="720"/>
        <w:rPr>
          <w:rFonts w:eastAsia="仿宋_GB2312"/>
          <w:bCs/>
          <w:color w:val="000000" w:themeColor="text1"/>
          <w:sz w:val="32"/>
          <w:szCs w:val="32"/>
        </w:rPr>
      </w:pPr>
      <w:r>
        <w:rPr>
          <w:rFonts w:hint="eastAsia" w:eastAsia="仿宋_GB2312"/>
          <w:bCs/>
          <w:color w:val="000000" w:themeColor="text1"/>
          <w:sz w:val="32"/>
          <w:szCs w:val="32"/>
        </w:rPr>
        <w:t>2022年市级部门为符合条件的人员兑现了以下几类补贴：职业培训补贴、职业技能鉴定补贴、公益性岗位补贴、就业见习补贴、求职创业补贴、大学生创业补贴、就业创业服务补助及其他支出等补贴等。</w:t>
      </w:r>
    </w:p>
    <w:p>
      <w:pPr>
        <w:adjustRightInd w:val="0"/>
        <w:snapToGrid w:val="0"/>
        <w:spacing w:line="600" w:lineRule="exact"/>
        <w:ind w:firstLine="720"/>
        <w:rPr>
          <w:rFonts w:eastAsia="仿宋_GB2312"/>
          <w:bCs/>
          <w:color w:val="000000" w:themeColor="text1"/>
          <w:sz w:val="32"/>
          <w:szCs w:val="32"/>
        </w:rPr>
      </w:pPr>
      <w:r>
        <w:rPr>
          <w:rFonts w:hint="eastAsia" w:eastAsia="仿宋_GB2312"/>
          <w:bCs/>
          <w:color w:val="000000" w:themeColor="text1"/>
          <w:sz w:val="32"/>
          <w:szCs w:val="32"/>
        </w:rPr>
        <w:t>其余各类符合规定申报的项目，</w:t>
      </w:r>
      <w:r>
        <w:rPr>
          <w:rFonts w:eastAsia="仿宋_GB2312"/>
          <w:bCs/>
          <w:color w:val="000000" w:themeColor="text1"/>
          <w:sz w:val="32"/>
          <w:szCs w:val="32"/>
        </w:rPr>
        <w:t>严格按照上级下达目标开展实施，通过制定实施方案，</w:t>
      </w:r>
      <w:r>
        <w:rPr>
          <w:rFonts w:hint="eastAsia" w:eastAsia="仿宋_GB2312"/>
          <w:bCs/>
          <w:color w:val="000000" w:themeColor="text1"/>
          <w:sz w:val="32"/>
          <w:szCs w:val="32"/>
        </w:rPr>
        <w:t>明确</w:t>
      </w:r>
      <w:r>
        <w:rPr>
          <w:rFonts w:eastAsia="仿宋_GB2312"/>
          <w:bCs/>
          <w:color w:val="000000" w:themeColor="text1"/>
          <w:sz w:val="32"/>
          <w:szCs w:val="32"/>
        </w:rPr>
        <w:t>人员、工作流程、资金、完成时间等多项重要内容，细化工作责任，加强财务管理</w:t>
      </w:r>
      <w:r>
        <w:rPr>
          <w:rFonts w:hint="eastAsia" w:eastAsia="仿宋_GB2312"/>
          <w:bCs/>
          <w:color w:val="000000" w:themeColor="text1"/>
          <w:sz w:val="32"/>
          <w:szCs w:val="32"/>
        </w:rPr>
        <w:t>，</w:t>
      </w:r>
      <w:r>
        <w:rPr>
          <w:rFonts w:eastAsia="仿宋_GB2312"/>
          <w:bCs/>
          <w:color w:val="000000" w:themeColor="text1"/>
          <w:sz w:val="32"/>
          <w:szCs w:val="32"/>
        </w:rPr>
        <w:t>保证资金安全</w:t>
      </w:r>
      <w:r>
        <w:rPr>
          <w:rFonts w:hint="eastAsia" w:eastAsia="仿宋_GB2312"/>
          <w:bCs/>
          <w:color w:val="000000" w:themeColor="text1"/>
          <w:sz w:val="32"/>
          <w:szCs w:val="32"/>
        </w:rPr>
        <w:t>，</w:t>
      </w:r>
      <w:r>
        <w:rPr>
          <w:rFonts w:eastAsia="仿宋_GB2312"/>
          <w:bCs/>
          <w:color w:val="000000" w:themeColor="text1"/>
          <w:sz w:val="32"/>
          <w:szCs w:val="32"/>
        </w:rPr>
        <w:t>支付及时，确保工作达到预期目标，目标任务按时按量完成。</w:t>
      </w:r>
    </w:p>
    <w:p>
      <w:pPr>
        <w:adjustRightInd w:val="0"/>
        <w:snapToGrid w:val="0"/>
        <w:spacing w:line="600" w:lineRule="exact"/>
        <w:ind w:firstLine="720"/>
        <w:rPr>
          <w:rFonts w:eastAsia="仿宋_GB2312"/>
          <w:bCs/>
          <w:color w:val="000000" w:themeColor="text1"/>
          <w:sz w:val="32"/>
          <w:szCs w:val="32"/>
        </w:rPr>
      </w:pPr>
      <w:r>
        <w:rPr>
          <w:rFonts w:hint="eastAsia" w:eastAsia="仿宋_GB2312"/>
          <w:bCs/>
          <w:color w:val="000000" w:themeColor="text1"/>
          <w:sz w:val="32"/>
          <w:szCs w:val="32"/>
        </w:rPr>
        <w:t xml:space="preserve"> 2022年就业创业补助资金绩效目标包含：（1）符合政策规定的毕业年度高校毕业生享受求职创业补贴比例≥95%。（2）创新创业孵化基地建设数量不低于1个。（3）职业培训补贴发放准确率≥98%。（4）接受职业培训后取得职业资格证书（或专项能力证书、培训合格证书）人员的比率≥80%。（5）社会保险补贴发放准确率≥98%。（6）公益性岗位补贴发放准确率≥98%。（7）公益性岗位补贴发放准确率≥98%。（8）就业见习补贴发放准确率≥98%。（9）求职创业补贴发放准确率≥98% 。(10) 资金在规定时间内下达率≥98%。（11）完成年度城镇新增就业目标任务。（12）年末城镇登记失业率保持中期目标范围内。（13）因就业问题发生重大群体性事件数量为0。（14）确保年末高校毕业生总体就业率保持稳定等。资金支付按资金管理办法的规定范围支出，预算执行率98.58%。</w:t>
      </w:r>
    </w:p>
    <w:p>
      <w:pPr>
        <w:adjustRightInd w:val="0"/>
        <w:snapToGrid w:val="0"/>
        <w:spacing w:line="600" w:lineRule="exact"/>
        <w:ind w:firstLine="720"/>
        <w:rPr>
          <w:rFonts w:eastAsia="仿宋_GB2312"/>
          <w:bCs/>
          <w:color w:val="000000" w:themeColor="text1"/>
          <w:sz w:val="32"/>
          <w:szCs w:val="32"/>
        </w:rPr>
      </w:pPr>
      <w:r>
        <w:rPr>
          <w:rFonts w:hint="eastAsia" w:eastAsia="仿宋_GB2312"/>
          <w:bCs/>
          <w:color w:val="000000" w:themeColor="text1"/>
          <w:sz w:val="32"/>
          <w:szCs w:val="32"/>
        </w:rPr>
        <w:t>资金使用和效果达到了预期目标和社会效益。截至2022年12月31日，全市促进城镇新增就业19260人，控制我市城镇登记失业率在3.63%,高校毕业生总体就业率保持基本稳定，城镇失业人员再就业7172人，就业困难人员就业1632人。</w:t>
      </w:r>
    </w:p>
    <w:p>
      <w:pPr>
        <w:adjustRightInd w:val="0"/>
        <w:snapToGrid w:val="0"/>
        <w:spacing w:line="600" w:lineRule="exact"/>
        <w:ind w:firstLine="720"/>
        <w:rPr>
          <w:rFonts w:eastAsia="楷体_GB2312"/>
          <w:b/>
          <w:sz w:val="32"/>
          <w:szCs w:val="32"/>
          <w:lang w:val="zh-CN"/>
        </w:rPr>
      </w:pPr>
      <w:r>
        <w:rPr>
          <w:rFonts w:eastAsia="楷体_GB2312"/>
          <w:b/>
          <w:sz w:val="32"/>
          <w:szCs w:val="32"/>
          <w:lang w:val="zh-CN"/>
        </w:rPr>
        <w:t>（三）项目自评步骤及方法。</w:t>
      </w:r>
    </w:p>
    <w:p>
      <w:pPr>
        <w:adjustRightInd w:val="0"/>
        <w:snapToGrid w:val="0"/>
        <w:spacing w:line="600" w:lineRule="exact"/>
        <w:ind w:firstLine="720"/>
        <w:rPr>
          <w:rFonts w:eastAsia="仿宋_GB2312"/>
          <w:bCs/>
          <w:color w:val="000000" w:themeColor="text1"/>
          <w:sz w:val="32"/>
          <w:szCs w:val="32"/>
        </w:rPr>
      </w:pPr>
      <w:r>
        <w:rPr>
          <w:rFonts w:hint="eastAsia" w:eastAsia="仿宋_GB2312"/>
          <w:bCs/>
          <w:color w:val="000000" w:themeColor="text1"/>
          <w:sz w:val="32"/>
          <w:szCs w:val="32"/>
        </w:rPr>
        <w:t>加强领导，成立以单位领导为组长，资金管理科室、资金使用科室、财务人员为成员的自评工作组。2.通过查阅资料、审核票据，核实有无虚例支出、票据不规范、申报支付流程不规范等情况。3.通过自评，得出考评分值及考评结果，并查找问题，分析原因，提出整改意见。</w:t>
      </w:r>
    </w:p>
    <w:p>
      <w:pPr>
        <w:adjustRightInd w:val="0"/>
        <w:snapToGrid w:val="0"/>
        <w:spacing w:line="600" w:lineRule="exact"/>
        <w:ind w:firstLine="640" w:firstLineChars="200"/>
        <w:rPr>
          <w:rFonts w:eastAsia="黑体"/>
          <w:sz w:val="32"/>
          <w:szCs w:val="32"/>
        </w:rPr>
      </w:pPr>
      <w:r>
        <w:rPr>
          <w:rFonts w:eastAsia="黑体"/>
          <w:sz w:val="32"/>
          <w:szCs w:val="32"/>
        </w:rPr>
        <w:t>二、项目资金申报及使用情况</w:t>
      </w:r>
    </w:p>
    <w:p>
      <w:pPr>
        <w:adjustRightInd w:val="0"/>
        <w:snapToGrid w:val="0"/>
        <w:spacing w:line="600" w:lineRule="exact"/>
        <w:ind w:firstLine="720"/>
        <w:rPr>
          <w:rFonts w:ascii="楷体_GB2312" w:hAnsi="楷体_GB2312" w:eastAsia="楷体_GB2312" w:cs="楷体_GB2312"/>
          <w:b/>
          <w:bCs/>
          <w:sz w:val="32"/>
          <w:szCs w:val="32"/>
        </w:rPr>
      </w:pPr>
      <w:r>
        <w:rPr>
          <w:rFonts w:ascii="楷体_GB2312" w:hAnsi="楷体_GB2312" w:eastAsia="楷体_GB2312" w:cs="楷体_GB2312"/>
          <w:b/>
          <w:bCs/>
          <w:sz w:val="32"/>
          <w:szCs w:val="32"/>
        </w:rPr>
        <w:t>（一）项目资金申报及批复情况。</w:t>
      </w:r>
    </w:p>
    <w:p>
      <w:pPr>
        <w:adjustRightInd w:val="0"/>
        <w:snapToGrid w:val="0"/>
        <w:spacing w:line="600" w:lineRule="exact"/>
        <w:ind w:firstLine="720"/>
        <w:rPr>
          <w:rFonts w:eastAsia="仿宋_GB2312"/>
          <w:bCs/>
          <w:color w:val="000000" w:themeColor="text1"/>
          <w:sz w:val="32"/>
          <w:szCs w:val="32"/>
        </w:rPr>
      </w:pPr>
      <w:r>
        <w:rPr>
          <w:rFonts w:hint="eastAsia" w:eastAsia="仿宋_GB2312"/>
          <w:bCs/>
          <w:color w:val="000000" w:themeColor="text1"/>
          <w:sz w:val="32"/>
          <w:szCs w:val="32"/>
        </w:rPr>
        <w:t>2022年财政共下达市本级中央和省级就业创业补助资金2004.83万元。其中：第一批下达资金1577万；第二批下达资金89万；第三批下达资金338.83万。2022年全年共拨付就业补助资金1977.18万。不涉及预算调整，资金使用符合资金管理办法相关规定。</w:t>
      </w:r>
    </w:p>
    <w:p>
      <w:pPr>
        <w:adjustRightInd w:val="0"/>
        <w:snapToGrid w:val="0"/>
        <w:spacing w:line="600" w:lineRule="exact"/>
        <w:ind w:firstLine="720"/>
        <w:rPr>
          <w:sz w:val="32"/>
          <w:szCs w:val="32"/>
          <w:lang w:val="zh-CN"/>
        </w:rPr>
      </w:pPr>
      <w:r>
        <w:rPr>
          <w:rFonts w:eastAsia="楷体_GB2312"/>
          <w:b/>
          <w:sz w:val="32"/>
          <w:szCs w:val="32"/>
          <w:lang w:val="zh-CN"/>
        </w:rPr>
        <w:t>（二）资金计划、到位及使用情况。</w:t>
      </w:r>
    </w:p>
    <w:p>
      <w:pPr>
        <w:adjustRightInd w:val="0"/>
        <w:snapToGrid w:val="0"/>
        <w:spacing w:line="600" w:lineRule="exact"/>
        <w:ind w:firstLine="720"/>
        <w:rPr>
          <w:sz w:val="32"/>
          <w:szCs w:val="32"/>
          <w:lang w:val="zh-CN"/>
        </w:rPr>
      </w:pPr>
      <w:r>
        <w:rPr>
          <w:rFonts w:eastAsia="楷体_GB2312"/>
          <w:sz w:val="32"/>
          <w:szCs w:val="32"/>
          <w:lang w:val="zh-CN"/>
        </w:rPr>
        <w:t>1．资金计划。</w:t>
      </w:r>
    </w:p>
    <w:tbl>
      <w:tblPr>
        <w:tblStyle w:val="16"/>
        <w:tblW w:w="8670" w:type="dxa"/>
        <w:tblInd w:w="0" w:type="dxa"/>
        <w:tblLayout w:type="fixed"/>
        <w:tblCellMar>
          <w:top w:w="15" w:type="dxa"/>
          <w:left w:w="15" w:type="dxa"/>
          <w:bottom w:w="15" w:type="dxa"/>
          <w:right w:w="15" w:type="dxa"/>
        </w:tblCellMar>
      </w:tblPr>
      <w:tblGrid>
        <w:gridCol w:w="1170"/>
        <w:gridCol w:w="4771"/>
        <w:gridCol w:w="2729"/>
      </w:tblGrid>
      <w:tr>
        <w:tblPrEx>
          <w:tblCellMar>
            <w:top w:w="15" w:type="dxa"/>
            <w:left w:w="15" w:type="dxa"/>
            <w:bottom w:w="15" w:type="dxa"/>
            <w:right w:w="15" w:type="dxa"/>
          </w:tblCellMar>
        </w:tblPrEx>
        <w:trPr>
          <w:trHeight w:val="555" w:hRule="atLeast"/>
        </w:trPr>
        <w:tc>
          <w:tcPr>
            <w:tcW w:w="8670" w:type="dxa"/>
            <w:gridSpan w:val="3"/>
            <w:tcBorders>
              <w:bottom w:val="single" w:color="000000" w:sz="4" w:space="0"/>
            </w:tcBorders>
            <w:shd w:val="clear" w:color="auto" w:fill="auto"/>
            <w:vAlign w:val="center"/>
          </w:tcPr>
          <w:p>
            <w:pPr>
              <w:widowControl/>
              <w:jc w:val="center"/>
              <w:textAlignment w:val="center"/>
              <w:rPr>
                <w:color w:val="000000"/>
                <w:sz w:val="36"/>
                <w:szCs w:val="36"/>
              </w:rPr>
            </w:pPr>
            <w:r>
              <w:rPr>
                <w:rStyle w:val="54"/>
              </w:rPr>
              <w:t>2022</w:t>
            </w:r>
            <w:r>
              <w:rPr>
                <w:rStyle w:val="55"/>
              </w:rPr>
              <w:t>年市本级就业创业补助资金预算表</w:t>
            </w:r>
          </w:p>
        </w:tc>
      </w:tr>
      <w:tr>
        <w:tblPrEx>
          <w:tblCellMar>
            <w:top w:w="15" w:type="dxa"/>
            <w:left w:w="15" w:type="dxa"/>
            <w:bottom w:w="15" w:type="dxa"/>
            <w:right w:w="15" w:type="dxa"/>
          </w:tblCellMar>
        </w:tblPrEx>
        <w:trPr>
          <w:trHeight w:val="330" w:hRule="atLeast"/>
        </w:trPr>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color w:val="000000"/>
                <w:sz w:val="22"/>
                <w:szCs w:val="22"/>
              </w:rPr>
            </w:pPr>
            <w:r>
              <w:rPr>
                <w:rStyle w:val="56"/>
              </w:rPr>
              <w:t>使用类型</w:t>
            </w:r>
          </w:p>
        </w:tc>
        <w:tc>
          <w:tcPr>
            <w:tcW w:w="4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color w:val="000000"/>
                <w:sz w:val="22"/>
                <w:szCs w:val="22"/>
              </w:rPr>
            </w:pPr>
            <w:r>
              <w:rPr>
                <w:rStyle w:val="56"/>
              </w:rPr>
              <w:t>项目</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color w:val="000000"/>
                <w:sz w:val="22"/>
                <w:szCs w:val="22"/>
              </w:rPr>
            </w:pPr>
            <w:r>
              <w:rPr>
                <w:rStyle w:val="56"/>
              </w:rPr>
              <w:t>项目所需资金（万元）</w:t>
            </w:r>
          </w:p>
        </w:tc>
      </w:tr>
      <w:tr>
        <w:tblPrEx>
          <w:tblCellMar>
            <w:top w:w="15" w:type="dxa"/>
            <w:left w:w="15" w:type="dxa"/>
            <w:bottom w:w="15" w:type="dxa"/>
            <w:right w:w="15" w:type="dxa"/>
          </w:tblCellMar>
        </w:tblPrEx>
        <w:trPr>
          <w:trHeight w:val="330" w:hRule="atLeast"/>
        </w:trPr>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color w:val="000000"/>
                <w:sz w:val="22"/>
                <w:szCs w:val="22"/>
              </w:rPr>
            </w:pPr>
            <w:r>
              <w:rPr>
                <w:rStyle w:val="57"/>
              </w:rPr>
              <w:t>补贴类</w:t>
            </w:r>
          </w:p>
        </w:tc>
        <w:tc>
          <w:tcPr>
            <w:tcW w:w="4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2"/>
                <w:szCs w:val="22"/>
              </w:rPr>
            </w:pPr>
            <w:r>
              <w:rPr>
                <w:rStyle w:val="57"/>
              </w:rPr>
              <w:t>公益性岗位补贴</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2"/>
                <w:szCs w:val="22"/>
              </w:rPr>
            </w:pPr>
            <w:r>
              <w:rPr>
                <w:color w:val="000000"/>
                <w:kern w:val="0"/>
                <w:sz w:val="22"/>
                <w:szCs w:val="22"/>
              </w:rPr>
              <w:t>2</w:t>
            </w:r>
          </w:p>
        </w:tc>
      </w:tr>
      <w:tr>
        <w:tblPrEx>
          <w:tblCellMar>
            <w:top w:w="15" w:type="dxa"/>
            <w:left w:w="15" w:type="dxa"/>
            <w:bottom w:w="15" w:type="dxa"/>
            <w:right w:w="15" w:type="dxa"/>
          </w:tblCellMar>
        </w:tblPrEx>
        <w:trPr>
          <w:trHeight w:val="330"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color w:val="000000"/>
                <w:sz w:val="22"/>
                <w:szCs w:val="22"/>
              </w:rPr>
            </w:pPr>
          </w:p>
        </w:tc>
        <w:tc>
          <w:tcPr>
            <w:tcW w:w="4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2"/>
                <w:szCs w:val="22"/>
              </w:rPr>
            </w:pPr>
            <w:r>
              <w:rPr>
                <w:rStyle w:val="58"/>
              </w:rPr>
              <w:t>2021</w:t>
            </w:r>
            <w:r>
              <w:rPr>
                <w:rStyle w:val="57"/>
              </w:rPr>
              <w:t>年高校平台内大学生创业补贴</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2"/>
                <w:szCs w:val="22"/>
              </w:rPr>
            </w:pPr>
            <w:r>
              <w:rPr>
                <w:color w:val="000000"/>
                <w:kern w:val="0"/>
                <w:sz w:val="22"/>
                <w:szCs w:val="22"/>
              </w:rPr>
              <w:t>20</w:t>
            </w:r>
          </w:p>
        </w:tc>
      </w:tr>
      <w:tr>
        <w:tblPrEx>
          <w:tblCellMar>
            <w:top w:w="15" w:type="dxa"/>
            <w:left w:w="15" w:type="dxa"/>
            <w:bottom w:w="15" w:type="dxa"/>
            <w:right w:w="15" w:type="dxa"/>
          </w:tblCellMar>
        </w:tblPrEx>
        <w:trPr>
          <w:trHeight w:val="330"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color w:val="000000"/>
                <w:sz w:val="22"/>
                <w:szCs w:val="22"/>
              </w:rPr>
            </w:pPr>
          </w:p>
        </w:tc>
        <w:tc>
          <w:tcPr>
            <w:tcW w:w="4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2"/>
                <w:szCs w:val="22"/>
              </w:rPr>
            </w:pPr>
            <w:r>
              <w:rPr>
                <w:rStyle w:val="57"/>
              </w:rPr>
              <w:t>技能培训补贴</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2"/>
                <w:szCs w:val="22"/>
              </w:rPr>
            </w:pPr>
            <w:r>
              <w:rPr>
                <w:color w:val="000000"/>
                <w:kern w:val="0"/>
                <w:sz w:val="22"/>
                <w:szCs w:val="22"/>
              </w:rPr>
              <w:t>600</w:t>
            </w:r>
          </w:p>
        </w:tc>
      </w:tr>
      <w:tr>
        <w:tblPrEx>
          <w:tblCellMar>
            <w:top w:w="15" w:type="dxa"/>
            <w:left w:w="15" w:type="dxa"/>
            <w:bottom w:w="15" w:type="dxa"/>
            <w:right w:w="15" w:type="dxa"/>
          </w:tblCellMar>
        </w:tblPrEx>
        <w:trPr>
          <w:trHeight w:val="330"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color w:val="000000"/>
                <w:sz w:val="22"/>
                <w:szCs w:val="22"/>
              </w:rPr>
            </w:pPr>
          </w:p>
        </w:tc>
        <w:tc>
          <w:tcPr>
            <w:tcW w:w="4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2"/>
                <w:szCs w:val="22"/>
              </w:rPr>
            </w:pPr>
            <w:r>
              <w:rPr>
                <w:rStyle w:val="57"/>
              </w:rPr>
              <w:t>求职创业补贴</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2"/>
                <w:szCs w:val="22"/>
              </w:rPr>
            </w:pPr>
            <w:r>
              <w:rPr>
                <w:color w:val="000000"/>
                <w:kern w:val="0"/>
                <w:sz w:val="22"/>
                <w:szCs w:val="22"/>
              </w:rPr>
              <w:t>400</w:t>
            </w:r>
          </w:p>
        </w:tc>
      </w:tr>
      <w:tr>
        <w:tblPrEx>
          <w:tblCellMar>
            <w:top w:w="15" w:type="dxa"/>
            <w:left w:w="15" w:type="dxa"/>
            <w:bottom w:w="15" w:type="dxa"/>
            <w:right w:w="15" w:type="dxa"/>
          </w:tblCellMar>
        </w:tblPrEx>
        <w:trPr>
          <w:trHeight w:val="330"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color w:val="000000"/>
                <w:sz w:val="22"/>
                <w:szCs w:val="22"/>
              </w:rPr>
            </w:pPr>
          </w:p>
        </w:tc>
        <w:tc>
          <w:tcPr>
            <w:tcW w:w="4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2"/>
                <w:szCs w:val="22"/>
              </w:rPr>
            </w:pPr>
            <w:r>
              <w:rPr>
                <w:rStyle w:val="57"/>
              </w:rPr>
              <w:t>就业见习补贴</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2"/>
                <w:szCs w:val="22"/>
              </w:rPr>
            </w:pPr>
            <w:r>
              <w:rPr>
                <w:color w:val="000000"/>
                <w:kern w:val="0"/>
                <w:sz w:val="22"/>
                <w:szCs w:val="22"/>
              </w:rPr>
              <w:t>80</w:t>
            </w:r>
          </w:p>
        </w:tc>
      </w:tr>
      <w:tr>
        <w:tblPrEx>
          <w:tblCellMar>
            <w:top w:w="15" w:type="dxa"/>
            <w:left w:w="15" w:type="dxa"/>
            <w:bottom w:w="15" w:type="dxa"/>
            <w:right w:w="15" w:type="dxa"/>
          </w:tblCellMar>
        </w:tblPrEx>
        <w:trPr>
          <w:trHeight w:val="330"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color w:val="000000"/>
                <w:sz w:val="22"/>
                <w:szCs w:val="22"/>
              </w:rPr>
            </w:pPr>
          </w:p>
        </w:tc>
        <w:tc>
          <w:tcPr>
            <w:tcW w:w="4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color w:val="000000"/>
                <w:sz w:val="22"/>
                <w:szCs w:val="22"/>
              </w:rPr>
            </w:pPr>
            <w:r>
              <w:rPr>
                <w:rStyle w:val="56"/>
              </w:rPr>
              <w:t>小计</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color w:val="000000"/>
                <w:sz w:val="22"/>
                <w:szCs w:val="22"/>
              </w:rPr>
            </w:pPr>
            <w:r>
              <w:rPr>
                <w:b/>
                <w:color w:val="000000"/>
                <w:kern w:val="0"/>
                <w:sz w:val="22"/>
                <w:szCs w:val="22"/>
              </w:rPr>
              <w:t>1102</w:t>
            </w:r>
          </w:p>
        </w:tc>
      </w:tr>
      <w:tr>
        <w:tblPrEx>
          <w:tblCellMar>
            <w:top w:w="15" w:type="dxa"/>
            <w:left w:w="15" w:type="dxa"/>
            <w:bottom w:w="15" w:type="dxa"/>
            <w:right w:w="15" w:type="dxa"/>
          </w:tblCellMar>
        </w:tblPrEx>
        <w:trPr>
          <w:trHeight w:val="330" w:hRule="atLeast"/>
        </w:trPr>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color w:val="000000"/>
                <w:sz w:val="22"/>
                <w:szCs w:val="22"/>
              </w:rPr>
            </w:pPr>
            <w:r>
              <w:rPr>
                <w:rStyle w:val="57"/>
              </w:rPr>
              <w:t>其他类</w:t>
            </w:r>
          </w:p>
        </w:tc>
        <w:tc>
          <w:tcPr>
            <w:tcW w:w="4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2"/>
                <w:szCs w:val="22"/>
              </w:rPr>
            </w:pPr>
            <w:r>
              <w:rPr>
                <w:rStyle w:val="57"/>
              </w:rPr>
              <w:t>农民工政策宣传</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2"/>
                <w:szCs w:val="22"/>
              </w:rPr>
            </w:pPr>
            <w:r>
              <w:rPr>
                <w:color w:val="000000"/>
                <w:kern w:val="0"/>
                <w:sz w:val="22"/>
                <w:szCs w:val="22"/>
              </w:rPr>
              <w:t>2</w:t>
            </w:r>
          </w:p>
        </w:tc>
      </w:tr>
      <w:tr>
        <w:tblPrEx>
          <w:tblCellMar>
            <w:top w:w="15" w:type="dxa"/>
            <w:left w:w="15" w:type="dxa"/>
            <w:bottom w:w="15" w:type="dxa"/>
            <w:right w:w="15" w:type="dxa"/>
          </w:tblCellMar>
        </w:tblPrEx>
        <w:trPr>
          <w:trHeight w:val="330"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color w:val="000000"/>
                <w:sz w:val="22"/>
                <w:szCs w:val="22"/>
              </w:rPr>
            </w:pPr>
          </w:p>
        </w:tc>
        <w:tc>
          <w:tcPr>
            <w:tcW w:w="4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2"/>
                <w:szCs w:val="22"/>
              </w:rPr>
            </w:pPr>
            <w:r>
              <w:rPr>
                <w:rStyle w:val="57"/>
              </w:rPr>
              <w:t>攀枝花日报社合作经费</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2"/>
                <w:szCs w:val="22"/>
              </w:rPr>
            </w:pPr>
            <w:r>
              <w:rPr>
                <w:color w:val="000000"/>
                <w:kern w:val="0"/>
                <w:sz w:val="22"/>
                <w:szCs w:val="22"/>
              </w:rPr>
              <w:t>12</w:t>
            </w:r>
          </w:p>
        </w:tc>
      </w:tr>
      <w:tr>
        <w:tblPrEx>
          <w:tblCellMar>
            <w:top w:w="15" w:type="dxa"/>
            <w:left w:w="15" w:type="dxa"/>
            <w:bottom w:w="15" w:type="dxa"/>
            <w:right w:w="15" w:type="dxa"/>
          </w:tblCellMar>
        </w:tblPrEx>
        <w:trPr>
          <w:trHeight w:val="330"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color w:val="000000"/>
                <w:sz w:val="22"/>
                <w:szCs w:val="22"/>
              </w:rPr>
            </w:pPr>
          </w:p>
        </w:tc>
        <w:tc>
          <w:tcPr>
            <w:tcW w:w="4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2"/>
                <w:szCs w:val="22"/>
              </w:rPr>
            </w:pPr>
            <w:r>
              <w:rPr>
                <w:rStyle w:val="57"/>
              </w:rPr>
              <w:t>四川劳动保障报合作经费</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2"/>
                <w:szCs w:val="22"/>
              </w:rPr>
            </w:pPr>
            <w:r>
              <w:rPr>
                <w:color w:val="000000"/>
                <w:kern w:val="0"/>
                <w:sz w:val="22"/>
                <w:szCs w:val="22"/>
              </w:rPr>
              <w:t>1</w:t>
            </w:r>
          </w:p>
        </w:tc>
      </w:tr>
      <w:tr>
        <w:tblPrEx>
          <w:tblCellMar>
            <w:top w:w="15" w:type="dxa"/>
            <w:left w:w="15" w:type="dxa"/>
            <w:bottom w:w="15" w:type="dxa"/>
            <w:right w:w="15" w:type="dxa"/>
          </w:tblCellMar>
        </w:tblPrEx>
        <w:trPr>
          <w:trHeight w:val="330"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color w:val="000000"/>
                <w:sz w:val="22"/>
                <w:szCs w:val="22"/>
              </w:rPr>
            </w:pPr>
          </w:p>
        </w:tc>
        <w:tc>
          <w:tcPr>
            <w:tcW w:w="4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2"/>
                <w:szCs w:val="22"/>
              </w:rPr>
            </w:pPr>
            <w:r>
              <w:rPr>
                <w:rStyle w:val="57"/>
              </w:rPr>
              <w:t>顶楼大屏宣传运维</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2"/>
                <w:szCs w:val="22"/>
              </w:rPr>
            </w:pPr>
            <w:r>
              <w:rPr>
                <w:color w:val="000000"/>
                <w:kern w:val="0"/>
                <w:sz w:val="22"/>
                <w:szCs w:val="22"/>
              </w:rPr>
              <w:t>0.84</w:t>
            </w:r>
          </w:p>
        </w:tc>
      </w:tr>
      <w:tr>
        <w:tblPrEx>
          <w:tblCellMar>
            <w:top w:w="15" w:type="dxa"/>
            <w:left w:w="15" w:type="dxa"/>
            <w:bottom w:w="15" w:type="dxa"/>
            <w:right w:w="15" w:type="dxa"/>
          </w:tblCellMar>
        </w:tblPrEx>
        <w:trPr>
          <w:trHeight w:val="330"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color w:val="000000"/>
                <w:sz w:val="22"/>
                <w:szCs w:val="22"/>
              </w:rPr>
            </w:pPr>
          </w:p>
        </w:tc>
        <w:tc>
          <w:tcPr>
            <w:tcW w:w="4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2"/>
                <w:szCs w:val="22"/>
              </w:rPr>
            </w:pPr>
            <w:r>
              <w:rPr>
                <w:rStyle w:val="57"/>
              </w:rPr>
              <w:t>政策宣传品广告制作</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2"/>
                <w:szCs w:val="22"/>
              </w:rPr>
            </w:pPr>
            <w:r>
              <w:rPr>
                <w:color w:val="000000"/>
                <w:kern w:val="0"/>
                <w:sz w:val="22"/>
                <w:szCs w:val="22"/>
              </w:rPr>
              <w:t>10</w:t>
            </w:r>
          </w:p>
        </w:tc>
      </w:tr>
      <w:tr>
        <w:tblPrEx>
          <w:tblCellMar>
            <w:top w:w="15" w:type="dxa"/>
            <w:left w:w="15" w:type="dxa"/>
            <w:bottom w:w="15" w:type="dxa"/>
            <w:right w:w="15" w:type="dxa"/>
          </w:tblCellMar>
        </w:tblPrEx>
        <w:trPr>
          <w:trHeight w:val="330"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color w:val="000000"/>
                <w:sz w:val="22"/>
                <w:szCs w:val="22"/>
              </w:rPr>
            </w:pPr>
          </w:p>
        </w:tc>
        <w:tc>
          <w:tcPr>
            <w:tcW w:w="4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2"/>
                <w:szCs w:val="22"/>
              </w:rPr>
            </w:pPr>
            <w:r>
              <w:rPr>
                <w:rStyle w:val="57"/>
              </w:rPr>
              <w:t>各类大赛视频拍摄</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2"/>
                <w:szCs w:val="22"/>
              </w:rPr>
            </w:pPr>
            <w:r>
              <w:rPr>
                <w:color w:val="000000"/>
                <w:kern w:val="0"/>
                <w:sz w:val="22"/>
                <w:szCs w:val="22"/>
              </w:rPr>
              <w:t>7</w:t>
            </w:r>
          </w:p>
        </w:tc>
      </w:tr>
      <w:tr>
        <w:tblPrEx>
          <w:tblCellMar>
            <w:top w:w="15" w:type="dxa"/>
            <w:left w:w="15" w:type="dxa"/>
            <w:bottom w:w="15" w:type="dxa"/>
            <w:right w:w="15" w:type="dxa"/>
          </w:tblCellMar>
        </w:tblPrEx>
        <w:trPr>
          <w:trHeight w:val="330"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color w:val="000000"/>
                <w:sz w:val="22"/>
                <w:szCs w:val="22"/>
              </w:rPr>
            </w:pPr>
          </w:p>
        </w:tc>
        <w:tc>
          <w:tcPr>
            <w:tcW w:w="4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2"/>
                <w:szCs w:val="22"/>
              </w:rPr>
            </w:pPr>
            <w:r>
              <w:rPr>
                <w:rStyle w:val="57"/>
              </w:rPr>
              <w:t>农民工专窗宣传</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2"/>
                <w:szCs w:val="22"/>
              </w:rPr>
            </w:pPr>
            <w:r>
              <w:rPr>
                <w:color w:val="000000"/>
                <w:kern w:val="0"/>
                <w:sz w:val="22"/>
                <w:szCs w:val="22"/>
              </w:rPr>
              <w:t>5</w:t>
            </w:r>
          </w:p>
        </w:tc>
      </w:tr>
      <w:tr>
        <w:tblPrEx>
          <w:tblCellMar>
            <w:top w:w="15" w:type="dxa"/>
            <w:left w:w="15" w:type="dxa"/>
            <w:bottom w:w="15" w:type="dxa"/>
            <w:right w:w="15" w:type="dxa"/>
          </w:tblCellMar>
        </w:tblPrEx>
        <w:trPr>
          <w:trHeight w:val="330"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color w:val="000000"/>
                <w:sz w:val="22"/>
                <w:szCs w:val="22"/>
              </w:rPr>
            </w:pPr>
          </w:p>
        </w:tc>
        <w:tc>
          <w:tcPr>
            <w:tcW w:w="4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color w:val="000000"/>
                <w:sz w:val="22"/>
                <w:szCs w:val="22"/>
              </w:rPr>
            </w:pPr>
            <w:r>
              <w:rPr>
                <w:rStyle w:val="56"/>
              </w:rPr>
              <w:t>小计</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color w:val="000000"/>
                <w:sz w:val="22"/>
                <w:szCs w:val="22"/>
              </w:rPr>
            </w:pPr>
            <w:r>
              <w:rPr>
                <w:b/>
                <w:color w:val="000000"/>
                <w:kern w:val="0"/>
                <w:sz w:val="22"/>
                <w:szCs w:val="22"/>
              </w:rPr>
              <w:t>37.84</w:t>
            </w:r>
          </w:p>
        </w:tc>
      </w:tr>
      <w:tr>
        <w:tblPrEx>
          <w:tblCellMar>
            <w:top w:w="15" w:type="dxa"/>
            <w:left w:w="15" w:type="dxa"/>
            <w:bottom w:w="15" w:type="dxa"/>
            <w:right w:w="15" w:type="dxa"/>
          </w:tblCellMar>
        </w:tblPrEx>
        <w:trPr>
          <w:trHeight w:val="330" w:hRule="atLeast"/>
        </w:trPr>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color w:val="000000"/>
                <w:sz w:val="22"/>
                <w:szCs w:val="22"/>
              </w:rPr>
            </w:pPr>
            <w:r>
              <w:rPr>
                <w:rStyle w:val="57"/>
              </w:rPr>
              <w:t>就业创业服务类</w:t>
            </w:r>
          </w:p>
        </w:tc>
        <w:tc>
          <w:tcPr>
            <w:tcW w:w="4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2"/>
                <w:szCs w:val="22"/>
              </w:rPr>
            </w:pPr>
            <w:r>
              <w:rPr>
                <w:rStyle w:val="57"/>
              </w:rPr>
              <w:t>农村劳动力信息动态维护基础服务费</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2"/>
                <w:szCs w:val="22"/>
              </w:rPr>
            </w:pPr>
            <w:r>
              <w:rPr>
                <w:color w:val="000000"/>
                <w:kern w:val="0"/>
                <w:sz w:val="22"/>
                <w:szCs w:val="22"/>
              </w:rPr>
              <w:t>60</w:t>
            </w:r>
          </w:p>
        </w:tc>
      </w:tr>
      <w:tr>
        <w:tblPrEx>
          <w:tblCellMar>
            <w:top w:w="15" w:type="dxa"/>
            <w:left w:w="15" w:type="dxa"/>
            <w:bottom w:w="15" w:type="dxa"/>
            <w:right w:w="15" w:type="dxa"/>
          </w:tblCellMar>
        </w:tblPrEx>
        <w:trPr>
          <w:trHeight w:val="330"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color w:val="000000"/>
                <w:sz w:val="22"/>
                <w:szCs w:val="22"/>
              </w:rPr>
            </w:pPr>
          </w:p>
        </w:tc>
        <w:tc>
          <w:tcPr>
            <w:tcW w:w="4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2"/>
                <w:szCs w:val="22"/>
              </w:rPr>
            </w:pPr>
            <w:r>
              <w:rPr>
                <w:rStyle w:val="57"/>
              </w:rPr>
              <w:t>农村劳动力信息动态维护费</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2"/>
                <w:szCs w:val="22"/>
              </w:rPr>
            </w:pPr>
            <w:r>
              <w:rPr>
                <w:color w:val="000000"/>
                <w:kern w:val="0"/>
                <w:sz w:val="22"/>
                <w:szCs w:val="22"/>
              </w:rPr>
              <w:t>9</w:t>
            </w:r>
          </w:p>
        </w:tc>
      </w:tr>
      <w:tr>
        <w:tblPrEx>
          <w:tblCellMar>
            <w:top w:w="15" w:type="dxa"/>
            <w:left w:w="15" w:type="dxa"/>
            <w:bottom w:w="15" w:type="dxa"/>
            <w:right w:w="15" w:type="dxa"/>
          </w:tblCellMar>
        </w:tblPrEx>
        <w:trPr>
          <w:trHeight w:val="330"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color w:val="000000"/>
                <w:sz w:val="22"/>
                <w:szCs w:val="22"/>
              </w:rPr>
            </w:pPr>
          </w:p>
        </w:tc>
        <w:tc>
          <w:tcPr>
            <w:tcW w:w="4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2"/>
                <w:szCs w:val="22"/>
              </w:rPr>
            </w:pPr>
            <w:r>
              <w:rPr>
                <w:rStyle w:val="57"/>
              </w:rPr>
              <w:t>农村劳动力信息摸底调查费</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2"/>
                <w:szCs w:val="22"/>
              </w:rPr>
            </w:pPr>
            <w:r>
              <w:rPr>
                <w:color w:val="000000"/>
                <w:kern w:val="0"/>
                <w:sz w:val="22"/>
                <w:szCs w:val="22"/>
              </w:rPr>
              <w:t>6</w:t>
            </w:r>
          </w:p>
        </w:tc>
      </w:tr>
      <w:tr>
        <w:tblPrEx>
          <w:tblCellMar>
            <w:top w:w="15" w:type="dxa"/>
            <w:left w:w="15" w:type="dxa"/>
            <w:bottom w:w="15" w:type="dxa"/>
            <w:right w:w="15" w:type="dxa"/>
          </w:tblCellMar>
        </w:tblPrEx>
        <w:trPr>
          <w:trHeight w:val="330"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color w:val="000000"/>
                <w:sz w:val="22"/>
                <w:szCs w:val="22"/>
              </w:rPr>
            </w:pPr>
          </w:p>
        </w:tc>
        <w:tc>
          <w:tcPr>
            <w:tcW w:w="4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2"/>
                <w:szCs w:val="22"/>
              </w:rPr>
            </w:pPr>
            <w:r>
              <w:rPr>
                <w:rStyle w:val="57"/>
              </w:rPr>
              <w:t>农村劳动力第三方服务费</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2"/>
                <w:szCs w:val="22"/>
              </w:rPr>
            </w:pPr>
            <w:r>
              <w:rPr>
                <w:color w:val="000000"/>
                <w:kern w:val="0"/>
                <w:sz w:val="22"/>
                <w:szCs w:val="22"/>
              </w:rPr>
              <w:t>24.9</w:t>
            </w:r>
          </w:p>
        </w:tc>
      </w:tr>
      <w:tr>
        <w:tblPrEx>
          <w:tblCellMar>
            <w:top w:w="15" w:type="dxa"/>
            <w:left w:w="15" w:type="dxa"/>
            <w:bottom w:w="15" w:type="dxa"/>
            <w:right w:w="15" w:type="dxa"/>
          </w:tblCellMar>
        </w:tblPrEx>
        <w:trPr>
          <w:trHeight w:val="330"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color w:val="000000"/>
                <w:sz w:val="22"/>
                <w:szCs w:val="22"/>
              </w:rPr>
            </w:pPr>
          </w:p>
        </w:tc>
        <w:tc>
          <w:tcPr>
            <w:tcW w:w="4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2"/>
                <w:szCs w:val="22"/>
              </w:rPr>
            </w:pPr>
            <w:r>
              <w:rPr>
                <w:rStyle w:val="57"/>
              </w:rPr>
              <w:t>省级创业孵化基地补助（攀枝花学院）</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2"/>
                <w:szCs w:val="22"/>
              </w:rPr>
            </w:pPr>
            <w:r>
              <w:rPr>
                <w:color w:val="000000"/>
                <w:kern w:val="0"/>
                <w:sz w:val="22"/>
                <w:szCs w:val="22"/>
              </w:rPr>
              <w:t>43</w:t>
            </w:r>
          </w:p>
        </w:tc>
      </w:tr>
      <w:tr>
        <w:tblPrEx>
          <w:tblCellMar>
            <w:top w:w="15" w:type="dxa"/>
            <w:left w:w="15" w:type="dxa"/>
            <w:bottom w:w="15" w:type="dxa"/>
            <w:right w:w="15" w:type="dxa"/>
          </w:tblCellMar>
        </w:tblPrEx>
        <w:trPr>
          <w:trHeight w:val="330"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color w:val="000000"/>
                <w:sz w:val="22"/>
                <w:szCs w:val="22"/>
              </w:rPr>
            </w:pPr>
          </w:p>
        </w:tc>
        <w:tc>
          <w:tcPr>
            <w:tcW w:w="4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2"/>
                <w:szCs w:val="22"/>
              </w:rPr>
            </w:pPr>
            <w:r>
              <w:rPr>
                <w:rStyle w:val="57"/>
              </w:rPr>
              <w:t>市级创业孵化基地补助</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2"/>
                <w:szCs w:val="22"/>
              </w:rPr>
            </w:pPr>
            <w:r>
              <w:rPr>
                <w:color w:val="000000"/>
                <w:kern w:val="0"/>
                <w:sz w:val="22"/>
                <w:szCs w:val="22"/>
              </w:rPr>
              <w:t>30</w:t>
            </w:r>
          </w:p>
        </w:tc>
      </w:tr>
      <w:tr>
        <w:tblPrEx>
          <w:tblCellMar>
            <w:top w:w="15" w:type="dxa"/>
            <w:left w:w="15" w:type="dxa"/>
            <w:bottom w:w="15" w:type="dxa"/>
            <w:right w:w="15" w:type="dxa"/>
          </w:tblCellMar>
        </w:tblPrEx>
        <w:trPr>
          <w:trHeight w:val="330"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color w:val="000000"/>
                <w:sz w:val="22"/>
                <w:szCs w:val="22"/>
              </w:rPr>
            </w:pPr>
          </w:p>
        </w:tc>
        <w:tc>
          <w:tcPr>
            <w:tcW w:w="4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2"/>
                <w:szCs w:val="22"/>
              </w:rPr>
            </w:pPr>
            <w:r>
              <w:rPr>
                <w:rStyle w:val="57"/>
              </w:rPr>
              <w:t>政府购买服务（市创业服务中心运营经费）</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2"/>
                <w:szCs w:val="22"/>
              </w:rPr>
            </w:pPr>
            <w:r>
              <w:rPr>
                <w:color w:val="000000"/>
                <w:kern w:val="0"/>
                <w:sz w:val="22"/>
                <w:szCs w:val="22"/>
              </w:rPr>
              <w:t>80</w:t>
            </w:r>
          </w:p>
        </w:tc>
      </w:tr>
      <w:tr>
        <w:tblPrEx>
          <w:tblCellMar>
            <w:top w:w="15" w:type="dxa"/>
            <w:left w:w="15" w:type="dxa"/>
            <w:bottom w:w="15" w:type="dxa"/>
            <w:right w:w="15" w:type="dxa"/>
          </w:tblCellMar>
        </w:tblPrEx>
        <w:trPr>
          <w:trHeight w:val="330"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color w:val="000000"/>
                <w:sz w:val="22"/>
                <w:szCs w:val="22"/>
              </w:rPr>
            </w:pPr>
          </w:p>
        </w:tc>
        <w:tc>
          <w:tcPr>
            <w:tcW w:w="4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2"/>
                <w:szCs w:val="22"/>
              </w:rPr>
            </w:pPr>
            <w:r>
              <w:rPr>
                <w:rStyle w:val="57"/>
              </w:rPr>
              <w:t>中国创翼大赛</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2"/>
                <w:szCs w:val="22"/>
              </w:rPr>
            </w:pPr>
            <w:r>
              <w:rPr>
                <w:color w:val="000000"/>
                <w:kern w:val="0"/>
                <w:sz w:val="22"/>
                <w:szCs w:val="22"/>
              </w:rPr>
              <w:t>10</w:t>
            </w:r>
          </w:p>
        </w:tc>
      </w:tr>
      <w:tr>
        <w:tblPrEx>
          <w:tblCellMar>
            <w:top w:w="15" w:type="dxa"/>
            <w:left w:w="15" w:type="dxa"/>
            <w:bottom w:w="15" w:type="dxa"/>
            <w:right w:w="15" w:type="dxa"/>
          </w:tblCellMar>
        </w:tblPrEx>
        <w:trPr>
          <w:trHeight w:val="330"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color w:val="000000"/>
                <w:sz w:val="22"/>
                <w:szCs w:val="22"/>
              </w:rPr>
            </w:pPr>
          </w:p>
        </w:tc>
        <w:tc>
          <w:tcPr>
            <w:tcW w:w="4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2"/>
                <w:szCs w:val="22"/>
              </w:rPr>
            </w:pPr>
            <w:r>
              <w:rPr>
                <w:rStyle w:val="57"/>
              </w:rPr>
              <w:t>创业活动</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2"/>
                <w:szCs w:val="22"/>
              </w:rPr>
            </w:pPr>
            <w:r>
              <w:rPr>
                <w:color w:val="000000"/>
                <w:kern w:val="0"/>
                <w:sz w:val="22"/>
                <w:szCs w:val="22"/>
              </w:rPr>
              <w:t>10</w:t>
            </w:r>
          </w:p>
        </w:tc>
      </w:tr>
      <w:tr>
        <w:tblPrEx>
          <w:tblCellMar>
            <w:top w:w="15" w:type="dxa"/>
            <w:left w:w="15" w:type="dxa"/>
            <w:bottom w:w="15" w:type="dxa"/>
            <w:right w:w="15" w:type="dxa"/>
          </w:tblCellMar>
        </w:tblPrEx>
        <w:trPr>
          <w:trHeight w:val="330"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color w:val="000000"/>
                <w:sz w:val="22"/>
                <w:szCs w:val="22"/>
              </w:rPr>
            </w:pPr>
          </w:p>
        </w:tc>
        <w:tc>
          <w:tcPr>
            <w:tcW w:w="4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2"/>
                <w:szCs w:val="22"/>
              </w:rPr>
            </w:pPr>
            <w:r>
              <w:rPr>
                <w:rStyle w:val="57"/>
              </w:rPr>
              <w:t>见习保险</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2"/>
                <w:szCs w:val="22"/>
              </w:rPr>
            </w:pPr>
            <w:r>
              <w:rPr>
                <w:color w:val="000000"/>
                <w:kern w:val="0"/>
                <w:sz w:val="22"/>
                <w:szCs w:val="22"/>
              </w:rPr>
              <w:t>3</w:t>
            </w:r>
          </w:p>
        </w:tc>
      </w:tr>
      <w:tr>
        <w:tblPrEx>
          <w:tblCellMar>
            <w:top w:w="15" w:type="dxa"/>
            <w:left w:w="15" w:type="dxa"/>
            <w:bottom w:w="15" w:type="dxa"/>
            <w:right w:w="15" w:type="dxa"/>
          </w:tblCellMar>
        </w:tblPrEx>
        <w:trPr>
          <w:trHeight w:val="330"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color w:val="000000"/>
                <w:sz w:val="22"/>
                <w:szCs w:val="22"/>
              </w:rPr>
            </w:pPr>
          </w:p>
        </w:tc>
        <w:tc>
          <w:tcPr>
            <w:tcW w:w="4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2"/>
                <w:szCs w:val="22"/>
              </w:rPr>
            </w:pPr>
            <w:r>
              <w:rPr>
                <w:rStyle w:val="58"/>
              </w:rPr>
              <w:t>2021</w:t>
            </w:r>
            <w:r>
              <w:rPr>
                <w:rStyle w:val="57"/>
              </w:rPr>
              <w:t>年职业指导项目购买服务尾款</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2"/>
                <w:szCs w:val="22"/>
              </w:rPr>
            </w:pPr>
            <w:r>
              <w:rPr>
                <w:color w:val="000000"/>
                <w:kern w:val="0"/>
                <w:sz w:val="22"/>
                <w:szCs w:val="22"/>
              </w:rPr>
              <w:t>12.23</w:t>
            </w:r>
          </w:p>
        </w:tc>
      </w:tr>
      <w:tr>
        <w:tblPrEx>
          <w:tblCellMar>
            <w:top w:w="15" w:type="dxa"/>
            <w:left w:w="15" w:type="dxa"/>
            <w:bottom w:w="15" w:type="dxa"/>
            <w:right w:w="15" w:type="dxa"/>
          </w:tblCellMar>
        </w:tblPrEx>
        <w:trPr>
          <w:trHeight w:val="330"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color w:val="000000"/>
                <w:sz w:val="22"/>
                <w:szCs w:val="22"/>
              </w:rPr>
            </w:pPr>
          </w:p>
        </w:tc>
        <w:tc>
          <w:tcPr>
            <w:tcW w:w="4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2"/>
                <w:szCs w:val="22"/>
              </w:rPr>
            </w:pPr>
            <w:r>
              <w:rPr>
                <w:rStyle w:val="57"/>
              </w:rPr>
              <w:t>职业指导大赛</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2"/>
                <w:szCs w:val="22"/>
              </w:rPr>
            </w:pPr>
            <w:r>
              <w:rPr>
                <w:color w:val="000000"/>
                <w:kern w:val="0"/>
                <w:sz w:val="22"/>
                <w:szCs w:val="22"/>
              </w:rPr>
              <w:t>15</w:t>
            </w:r>
          </w:p>
        </w:tc>
      </w:tr>
      <w:tr>
        <w:tblPrEx>
          <w:tblCellMar>
            <w:top w:w="15" w:type="dxa"/>
            <w:left w:w="15" w:type="dxa"/>
            <w:bottom w:w="15" w:type="dxa"/>
            <w:right w:w="15" w:type="dxa"/>
          </w:tblCellMar>
        </w:tblPrEx>
        <w:trPr>
          <w:trHeight w:val="330"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color w:val="000000"/>
                <w:sz w:val="22"/>
                <w:szCs w:val="22"/>
              </w:rPr>
            </w:pPr>
          </w:p>
        </w:tc>
        <w:tc>
          <w:tcPr>
            <w:tcW w:w="4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2"/>
                <w:szCs w:val="22"/>
              </w:rPr>
            </w:pPr>
            <w:r>
              <w:rPr>
                <w:rStyle w:val="57"/>
              </w:rPr>
              <w:t>小型流动招聘会</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2"/>
                <w:szCs w:val="22"/>
              </w:rPr>
            </w:pPr>
            <w:r>
              <w:rPr>
                <w:color w:val="000000"/>
                <w:kern w:val="0"/>
                <w:sz w:val="22"/>
                <w:szCs w:val="22"/>
              </w:rPr>
              <w:t>17</w:t>
            </w:r>
          </w:p>
        </w:tc>
      </w:tr>
      <w:tr>
        <w:tblPrEx>
          <w:tblCellMar>
            <w:top w:w="15" w:type="dxa"/>
            <w:left w:w="15" w:type="dxa"/>
            <w:bottom w:w="15" w:type="dxa"/>
            <w:right w:w="15" w:type="dxa"/>
          </w:tblCellMar>
        </w:tblPrEx>
        <w:trPr>
          <w:trHeight w:val="330"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color w:val="000000"/>
                <w:sz w:val="22"/>
                <w:szCs w:val="22"/>
              </w:rPr>
            </w:pPr>
          </w:p>
        </w:tc>
        <w:tc>
          <w:tcPr>
            <w:tcW w:w="4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2"/>
                <w:szCs w:val="22"/>
              </w:rPr>
            </w:pPr>
            <w:r>
              <w:rPr>
                <w:rStyle w:val="57"/>
              </w:rPr>
              <w:t>大型（赴外）招聘会</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2"/>
                <w:szCs w:val="22"/>
              </w:rPr>
            </w:pPr>
            <w:r>
              <w:rPr>
                <w:color w:val="000000"/>
                <w:kern w:val="0"/>
                <w:sz w:val="22"/>
                <w:szCs w:val="22"/>
              </w:rPr>
              <w:t>25</w:t>
            </w:r>
          </w:p>
        </w:tc>
      </w:tr>
      <w:tr>
        <w:tblPrEx>
          <w:tblCellMar>
            <w:top w:w="15" w:type="dxa"/>
            <w:left w:w="15" w:type="dxa"/>
            <w:bottom w:w="15" w:type="dxa"/>
            <w:right w:w="15" w:type="dxa"/>
          </w:tblCellMar>
        </w:tblPrEx>
        <w:trPr>
          <w:trHeight w:val="330"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color w:val="000000"/>
                <w:sz w:val="22"/>
                <w:szCs w:val="22"/>
              </w:rPr>
            </w:pPr>
          </w:p>
        </w:tc>
        <w:tc>
          <w:tcPr>
            <w:tcW w:w="4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2"/>
                <w:szCs w:val="22"/>
              </w:rPr>
            </w:pPr>
            <w:r>
              <w:rPr>
                <w:rStyle w:val="58"/>
              </w:rPr>
              <w:t>2021</w:t>
            </w:r>
            <w:r>
              <w:rPr>
                <w:rStyle w:val="57"/>
              </w:rPr>
              <w:t>年会理会东招聘会费用尾款</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2"/>
                <w:szCs w:val="22"/>
              </w:rPr>
            </w:pPr>
            <w:r>
              <w:rPr>
                <w:color w:val="000000"/>
                <w:kern w:val="0"/>
                <w:sz w:val="22"/>
                <w:szCs w:val="22"/>
              </w:rPr>
              <w:t>4.431</w:t>
            </w:r>
          </w:p>
        </w:tc>
      </w:tr>
      <w:tr>
        <w:tblPrEx>
          <w:tblCellMar>
            <w:top w:w="15" w:type="dxa"/>
            <w:left w:w="15" w:type="dxa"/>
            <w:bottom w:w="15" w:type="dxa"/>
            <w:right w:w="15" w:type="dxa"/>
          </w:tblCellMar>
        </w:tblPrEx>
        <w:trPr>
          <w:trHeight w:val="330"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color w:val="000000"/>
                <w:sz w:val="22"/>
                <w:szCs w:val="22"/>
              </w:rPr>
            </w:pPr>
          </w:p>
        </w:tc>
        <w:tc>
          <w:tcPr>
            <w:tcW w:w="4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2"/>
                <w:szCs w:val="22"/>
              </w:rPr>
            </w:pPr>
            <w:r>
              <w:rPr>
                <w:rStyle w:val="57"/>
              </w:rPr>
              <w:t>市级虚拟服务点补助</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2"/>
                <w:szCs w:val="22"/>
              </w:rPr>
            </w:pPr>
            <w:r>
              <w:rPr>
                <w:color w:val="000000"/>
                <w:kern w:val="0"/>
                <w:sz w:val="22"/>
                <w:szCs w:val="22"/>
              </w:rPr>
              <w:t>6</w:t>
            </w:r>
          </w:p>
        </w:tc>
      </w:tr>
      <w:tr>
        <w:tblPrEx>
          <w:tblCellMar>
            <w:top w:w="15" w:type="dxa"/>
            <w:left w:w="15" w:type="dxa"/>
            <w:bottom w:w="15" w:type="dxa"/>
            <w:right w:w="15" w:type="dxa"/>
          </w:tblCellMar>
        </w:tblPrEx>
        <w:trPr>
          <w:trHeight w:val="330"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color w:val="000000"/>
                <w:sz w:val="22"/>
                <w:szCs w:val="22"/>
              </w:rPr>
            </w:pPr>
          </w:p>
        </w:tc>
        <w:tc>
          <w:tcPr>
            <w:tcW w:w="4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2"/>
                <w:szCs w:val="22"/>
              </w:rPr>
            </w:pPr>
            <w:r>
              <w:rPr>
                <w:rStyle w:val="57"/>
              </w:rPr>
              <w:t>省级比赛集训、参赛费用</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2"/>
                <w:szCs w:val="22"/>
              </w:rPr>
            </w:pPr>
            <w:r>
              <w:rPr>
                <w:color w:val="000000"/>
                <w:kern w:val="0"/>
                <w:sz w:val="22"/>
                <w:szCs w:val="22"/>
              </w:rPr>
              <w:t>50</w:t>
            </w:r>
          </w:p>
        </w:tc>
      </w:tr>
      <w:tr>
        <w:tblPrEx>
          <w:tblCellMar>
            <w:top w:w="15" w:type="dxa"/>
            <w:left w:w="15" w:type="dxa"/>
            <w:bottom w:w="15" w:type="dxa"/>
            <w:right w:w="15" w:type="dxa"/>
          </w:tblCellMar>
        </w:tblPrEx>
        <w:trPr>
          <w:trHeight w:val="330"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color w:val="000000"/>
                <w:sz w:val="22"/>
                <w:szCs w:val="22"/>
              </w:rPr>
            </w:pPr>
          </w:p>
        </w:tc>
        <w:tc>
          <w:tcPr>
            <w:tcW w:w="4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2"/>
                <w:szCs w:val="22"/>
              </w:rPr>
            </w:pPr>
            <w:r>
              <w:rPr>
                <w:rStyle w:val="57"/>
              </w:rPr>
              <w:t>机构师资培训费用</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2"/>
                <w:szCs w:val="22"/>
              </w:rPr>
            </w:pPr>
            <w:r>
              <w:rPr>
                <w:color w:val="000000"/>
                <w:kern w:val="0"/>
                <w:sz w:val="22"/>
                <w:szCs w:val="22"/>
              </w:rPr>
              <w:t>30</w:t>
            </w:r>
          </w:p>
        </w:tc>
      </w:tr>
      <w:tr>
        <w:tblPrEx>
          <w:tblCellMar>
            <w:top w:w="15" w:type="dxa"/>
            <w:left w:w="15" w:type="dxa"/>
            <w:bottom w:w="15" w:type="dxa"/>
            <w:right w:w="15" w:type="dxa"/>
          </w:tblCellMar>
        </w:tblPrEx>
        <w:trPr>
          <w:trHeight w:val="330"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color w:val="000000"/>
                <w:sz w:val="22"/>
                <w:szCs w:val="22"/>
              </w:rPr>
            </w:pPr>
          </w:p>
        </w:tc>
        <w:tc>
          <w:tcPr>
            <w:tcW w:w="4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color w:val="000000"/>
                <w:sz w:val="22"/>
                <w:szCs w:val="22"/>
              </w:rPr>
            </w:pPr>
            <w:r>
              <w:rPr>
                <w:rStyle w:val="57"/>
              </w:rPr>
              <w:t>企业薪酬调查</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2"/>
                <w:szCs w:val="22"/>
              </w:rPr>
            </w:pPr>
            <w:r>
              <w:rPr>
                <w:color w:val="000000"/>
                <w:kern w:val="0"/>
                <w:sz w:val="22"/>
                <w:szCs w:val="22"/>
              </w:rPr>
              <w:t>2.5</w:t>
            </w:r>
          </w:p>
        </w:tc>
      </w:tr>
      <w:tr>
        <w:tblPrEx>
          <w:tblCellMar>
            <w:top w:w="15" w:type="dxa"/>
            <w:left w:w="15" w:type="dxa"/>
            <w:bottom w:w="15" w:type="dxa"/>
            <w:right w:w="15" w:type="dxa"/>
          </w:tblCellMar>
        </w:tblPrEx>
        <w:trPr>
          <w:trHeight w:val="330"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color w:val="000000"/>
                <w:sz w:val="22"/>
                <w:szCs w:val="22"/>
              </w:rPr>
            </w:pPr>
          </w:p>
        </w:tc>
        <w:tc>
          <w:tcPr>
            <w:tcW w:w="47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color w:val="000000"/>
                <w:sz w:val="22"/>
                <w:szCs w:val="22"/>
              </w:rPr>
            </w:pPr>
            <w:r>
              <w:rPr>
                <w:rStyle w:val="56"/>
              </w:rPr>
              <w:t>小计</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color w:val="000000"/>
                <w:sz w:val="22"/>
                <w:szCs w:val="22"/>
              </w:rPr>
            </w:pPr>
            <w:r>
              <w:rPr>
                <w:b/>
                <w:color w:val="000000"/>
                <w:kern w:val="0"/>
                <w:sz w:val="22"/>
                <w:szCs w:val="22"/>
              </w:rPr>
              <w:t>438.061</w:t>
            </w:r>
          </w:p>
        </w:tc>
      </w:tr>
      <w:tr>
        <w:tblPrEx>
          <w:tblCellMar>
            <w:top w:w="15" w:type="dxa"/>
            <w:left w:w="15" w:type="dxa"/>
            <w:bottom w:w="15" w:type="dxa"/>
            <w:right w:w="15" w:type="dxa"/>
          </w:tblCellMar>
        </w:tblPrEx>
        <w:trPr>
          <w:trHeight w:val="330" w:hRule="atLeast"/>
        </w:trPr>
        <w:tc>
          <w:tcPr>
            <w:tcW w:w="5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2"/>
                <w:szCs w:val="22"/>
              </w:rPr>
            </w:pPr>
            <w:r>
              <w:rPr>
                <w:rStyle w:val="59"/>
              </w:rPr>
              <w:t>合计</w:t>
            </w:r>
          </w:p>
        </w:tc>
        <w:tc>
          <w:tcPr>
            <w:tcW w:w="2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 w:val="22"/>
                <w:szCs w:val="22"/>
              </w:rPr>
            </w:pPr>
            <w:r>
              <w:rPr>
                <w:color w:val="000000"/>
                <w:kern w:val="0"/>
                <w:sz w:val="22"/>
                <w:szCs w:val="22"/>
              </w:rPr>
              <w:t>1577.901</w:t>
            </w:r>
          </w:p>
        </w:tc>
      </w:tr>
      <w:tr>
        <w:tblPrEx>
          <w:tblCellMar>
            <w:top w:w="15" w:type="dxa"/>
            <w:left w:w="15" w:type="dxa"/>
            <w:bottom w:w="15" w:type="dxa"/>
            <w:right w:w="15" w:type="dxa"/>
          </w:tblCellMar>
        </w:tblPrEx>
        <w:trPr>
          <w:trHeight w:val="301" w:hRule="atLeast"/>
        </w:trPr>
        <w:tc>
          <w:tcPr>
            <w:tcW w:w="1170" w:type="dxa"/>
            <w:shd w:val="clear" w:color="auto" w:fill="auto"/>
            <w:vAlign w:val="center"/>
          </w:tcPr>
          <w:p>
            <w:pPr>
              <w:rPr>
                <w:rFonts w:ascii="宋体" w:hAnsi="宋体" w:cs="宋体"/>
                <w:color w:val="000000"/>
                <w:sz w:val="24"/>
              </w:rPr>
            </w:pPr>
          </w:p>
        </w:tc>
        <w:tc>
          <w:tcPr>
            <w:tcW w:w="4771" w:type="dxa"/>
            <w:shd w:val="clear" w:color="auto" w:fill="auto"/>
            <w:vAlign w:val="center"/>
          </w:tcPr>
          <w:p>
            <w:pPr>
              <w:rPr>
                <w:rFonts w:ascii="宋体" w:hAnsi="宋体" w:cs="宋体"/>
                <w:color w:val="000000"/>
                <w:sz w:val="24"/>
              </w:rPr>
            </w:pPr>
          </w:p>
        </w:tc>
        <w:tc>
          <w:tcPr>
            <w:tcW w:w="2729" w:type="dxa"/>
            <w:shd w:val="clear" w:color="auto" w:fill="auto"/>
            <w:vAlign w:val="center"/>
          </w:tcPr>
          <w:p>
            <w:pPr>
              <w:rPr>
                <w:rFonts w:ascii="宋体" w:hAnsi="宋体" w:cs="宋体"/>
                <w:color w:val="000000"/>
                <w:sz w:val="24"/>
              </w:rPr>
            </w:pPr>
          </w:p>
        </w:tc>
      </w:tr>
      <w:tr>
        <w:tblPrEx>
          <w:tblCellMar>
            <w:top w:w="15" w:type="dxa"/>
            <w:left w:w="15" w:type="dxa"/>
            <w:bottom w:w="15" w:type="dxa"/>
            <w:right w:w="15" w:type="dxa"/>
          </w:tblCellMar>
        </w:tblPrEx>
        <w:trPr>
          <w:trHeight w:val="301" w:hRule="atLeast"/>
        </w:trPr>
        <w:tc>
          <w:tcPr>
            <w:tcW w:w="1170" w:type="dxa"/>
            <w:shd w:val="clear" w:color="auto" w:fill="auto"/>
            <w:vAlign w:val="center"/>
          </w:tcPr>
          <w:p>
            <w:pPr>
              <w:rPr>
                <w:rFonts w:ascii="宋体" w:hAnsi="宋体" w:cs="宋体"/>
                <w:color w:val="000000"/>
                <w:sz w:val="24"/>
              </w:rPr>
            </w:pPr>
          </w:p>
        </w:tc>
        <w:tc>
          <w:tcPr>
            <w:tcW w:w="4771" w:type="dxa"/>
            <w:shd w:val="clear" w:color="auto" w:fill="auto"/>
            <w:vAlign w:val="center"/>
          </w:tcPr>
          <w:p>
            <w:pPr>
              <w:rPr>
                <w:rFonts w:ascii="宋体" w:hAnsi="宋体" w:cs="宋体"/>
                <w:color w:val="000000"/>
                <w:sz w:val="24"/>
              </w:rPr>
            </w:pPr>
          </w:p>
        </w:tc>
        <w:tc>
          <w:tcPr>
            <w:tcW w:w="2729" w:type="dxa"/>
            <w:shd w:val="clear" w:color="auto" w:fill="auto"/>
            <w:vAlign w:val="center"/>
          </w:tcPr>
          <w:p>
            <w:pPr>
              <w:rPr>
                <w:rFonts w:ascii="宋体" w:hAnsi="宋体" w:cs="宋体"/>
                <w:color w:val="000000"/>
                <w:sz w:val="24"/>
              </w:rPr>
            </w:pPr>
          </w:p>
        </w:tc>
      </w:tr>
    </w:tbl>
    <w:p>
      <w:pPr>
        <w:adjustRightInd w:val="0"/>
        <w:snapToGrid w:val="0"/>
        <w:spacing w:line="600" w:lineRule="exact"/>
        <w:rPr>
          <w:lang w:val="zh-CN"/>
        </w:rPr>
      </w:pPr>
    </w:p>
    <w:p>
      <w:pPr>
        <w:numPr>
          <w:ilvl w:val="0"/>
          <w:numId w:val="9"/>
        </w:numPr>
        <w:adjustRightInd w:val="0"/>
        <w:snapToGrid w:val="0"/>
        <w:spacing w:line="600" w:lineRule="exact"/>
        <w:ind w:firstLine="640" w:firstLineChars="200"/>
        <w:rPr>
          <w:lang w:val="zh-CN"/>
        </w:rPr>
      </w:pPr>
      <w:r>
        <w:rPr>
          <w:rFonts w:eastAsia="楷体_GB2312"/>
          <w:sz w:val="32"/>
          <w:szCs w:val="32"/>
          <w:lang w:val="zh-CN"/>
        </w:rPr>
        <w:t>资金到位。</w:t>
      </w:r>
      <w:r>
        <w:rPr>
          <w:rFonts w:hint="eastAsia" w:eastAsia="仿宋_GB2312"/>
          <w:sz w:val="32"/>
          <w:szCs w:val="32"/>
        </w:rPr>
        <w:t>截至2022年12月31日，共计下达市本级2022年中央和省级就业创业补助资金2004.83万元。资金到位率100%。</w:t>
      </w:r>
    </w:p>
    <w:p>
      <w:pPr>
        <w:adjustRightInd w:val="0"/>
        <w:snapToGrid w:val="0"/>
        <w:spacing w:line="560" w:lineRule="exact"/>
        <w:ind w:firstLine="640" w:firstLineChars="200"/>
        <w:jc w:val="left"/>
        <w:rPr>
          <w:rFonts w:ascii="仿宋_GB2312" w:hAnsi="宋体"/>
          <w:lang w:val="zh-CN"/>
        </w:rPr>
      </w:pPr>
      <w:r>
        <w:rPr>
          <w:rFonts w:hint="eastAsia" w:eastAsia="楷体_GB2312"/>
          <w:sz w:val="32"/>
          <w:szCs w:val="32"/>
          <w:lang w:val="zh-CN"/>
        </w:rPr>
        <w:t>3.</w:t>
      </w:r>
      <w:r>
        <w:rPr>
          <w:rFonts w:eastAsia="楷体_GB2312"/>
          <w:sz w:val="32"/>
          <w:szCs w:val="32"/>
          <w:lang w:val="zh-CN"/>
        </w:rPr>
        <w:t>资金使用。</w:t>
      </w:r>
      <w:r>
        <w:rPr>
          <w:rFonts w:hint="eastAsia" w:eastAsia="仿宋_GB2312"/>
          <w:sz w:val="32"/>
          <w:szCs w:val="32"/>
        </w:rPr>
        <w:t>截至2022年12月31日，2022年支出共计1977.18万元，其中：职业培训补贴964.95万元；公益性岗位补贴1.08万元；创业补贴20.9万元；就业见习补贴160.8万元；求职创业补贴306.15万元；就业创业服务补助333.98万元；高技能人才培养补助50万元；其他支出139.32万元。所有支付依据合规合法，资金支付与预算相符。</w:t>
      </w:r>
    </w:p>
    <w:p>
      <w:pPr>
        <w:adjustRightInd w:val="0"/>
        <w:snapToGrid w:val="0"/>
        <w:spacing w:line="600" w:lineRule="exact"/>
        <w:ind w:firstLine="643" w:firstLineChars="200"/>
        <w:rPr>
          <w:rFonts w:eastAsia="楷体_GB2312"/>
          <w:b/>
          <w:sz w:val="32"/>
          <w:szCs w:val="32"/>
          <w:lang w:val="zh-CN"/>
        </w:rPr>
      </w:pPr>
      <w:r>
        <w:rPr>
          <w:rFonts w:eastAsia="楷体_GB2312"/>
          <w:b/>
          <w:sz w:val="32"/>
          <w:szCs w:val="32"/>
          <w:lang w:val="zh-CN"/>
        </w:rPr>
        <w:t>（三）项目财务管理情况。</w:t>
      </w:r>
    </w:p>
    <w:p>
      <w:pPr>
        <w:ind w:firstLine="640" w:firstLineChars="200"/>
        <w:rPr>
          <w:rFonts w:eastAsia="仿宋_GB2312"/>
          <w:sz w:val="32"/>
          <w:szCs w:val="32"/>
        </w:rPr>
      </w:pPr>
      <w:r>
        <w:rPr>
          <w:rFonts w:hint="eastAsia" w:eastAsia="仿宋_GB2312"/>
          <w:sz w:val="32"/>
          <w:szCs w:val="32"/>
        </w:rPr>
        <w:t>我中心认真落实中央、省、市就业创业补助资金管理规定，建立健全了就业创业补助资金财务管理制度，我市制定了《攀枝花市公益性岗位补贴和岗位补贴审核、拨付管理制度》《攀枝花市社保补贴审核管理制度》《攀枝花市就业专项资金监督管理制度》《攀枝花市就业专项资金统计管理制度》《攀枝花市就业服务管理局廉政风险防控手册》和《攀枝花市就业服务管理局财务内控制度》。就业创业补助资金</w:t>
      </w:r>
      <w:r>
        <w:rPr>
          <w:rFonts w:eastAsia="仿宋_GB2312"/>
          <w:sz w:val="32"/>
          <w:szCs w:val="32"/>
        </w:rPr>
        <w:t>严格执行财务管理制度，</w:t>
      </w:r>
      <w:r>
        <w:rPr>
          <w:rFonts w:hint="eastAsia" w:eastAsia="仿宋_GB2312"/>
          <w:sz w:val="32"/>
          <w:szCs w:val="32"/>
        </w:rPr>
        <w:t>实行专户管理，专款专用，</w:t>
      </w:r>
      <w:r>
        <w:rPr>
          <w:rFonts w:eastAsia="仿宋_GB2312"/>
          <w:sz w:val="32"/>
          <w:szCs w:val="32"/>
        </w:rPr>
        <w:t>会计核算规范，</w:t>
      </w:r>
      <w:r>
        <w:rPr>
          <w:rFonts w:hint="eastAsia" w:eastAsia="仿宋_GB2312"/>
          <w:sz w:val="32"/>
          <w:szCs w:val="32"/>
        </w:rPr>
        <w:t>资金使用做到不滞留、不截停，及时兑现。</w:t>
      </w:r>
    </w:p>
    <w:p>
      <w:pPr>
        <w:ind w:firstLine="640" w:firstLineChars="200"/>
        <w:rPr>
          <w:rFonts w:eastAsia="仿宋_GB2312"/>
          <w:sz w:val="32"/>
          <w:szCs w:val="32"/>
        </w:rPr>
      </w:pPr>
      <w:r>
        <w:rPr>
          <w:rFonts w:eastAsia="仿宋_GB2312"/>
          <w:sz w:val="32"/>
          <w:szCs w:val="32"/>
        </w:rPr>
        <w:t>三、项目实施及管理情况</w:t>
      </w:r>
    </w:p>
    <w:p>
      <w:pPr>
        <w:numPr>
          <w:ilvl w:val="0"/>
          <w:numId w:val="10"/>
        </w:numPr>
        <w:adjustRightInd w:val="0"/>
        <w:snapToGrid w:val="0"/>
        <w:spacing w:line="600" w:lineRule="exact"/>
        <w:ind w:firstLine="720"/>
        <w:rPr>
          <w:rFonts w:eastAsia="楷体_GB2312"/>
          <w:b/>
          <w:sz w:val="32"/>
          <w:szCs w:val="32"/>
          <w:lang w:val="zh-CN"/>
        </w:rPr>
      </w:pPr>
      <w:r>
        <w:rPr>
          <w:rFonts w:eastAsia="楷体_GB2312"/>
          <w:b/>
          <w:sz w:val="32"/>
          <w:szCs w:val="32"/>
          <w:lang w:val="zh-CN"/>
        </w:rPr>
        <w:t>项目组织架构及实施流程。</w:t>
      </w:r>
    </w:p>
    <w:p>
      <w:pPr>
        <w:ind w:firstLine="640" w:firstLineChars="200"/>
        <w:rPr>
          <w:rFonts w:eastAsia="仿宋_GB2312"/>
          <w:sz w:val="32"/>
          <w:szCs w:val="32"/>
        </w:rPr>
      </w:pPr>
      <w:r>
        <w:rPr>
          <w:rFonts w:hint="eastAsia" w:eastAsia="仿宋_GB2312"/>
          <w:sz w:val="32"/>
          <w:szCs w:val="32"/>
        </w:rPr>
        <w:t>1.对补贴资料申报审核实行“三级联审”制度，而外部实行“逐级审核”制度。申报审批流程规范，做到系统内部和系统外部实现相互之间的有效监督和制约。</w:t>
      </w:r>
    </w:p>
    <w:p>
      <w:pPr>
        <w:ind w:firstLine="640" w:firstLineChars="200"/>
        <w:outlineLvl w:val="0"/>
        <w:rPr>
          <w:rFonts w:eastAsia="仿宋_GB2312"/>
          <w:sz w:val="32"/>
          <w:szCs w:val="32"/>
        </w:rPr>
      </w:pPr>
      <w:bookmarkStart w:id="84" w:name="_Toc1831"/>
      <w:r>
        <w:rPr>
          <w:rFonts w:hint="eastAsia" w:eastAsia="仿宋_GB2312"/>
          <w:sz w:val="32"/>
          <w:szCs w:val="32"/>
        </w:rPr>
        <w:t>2.建立健全了就业创业补助资金监督、管理、统计制度。对各项补贴审核、拨付严格按照工作业务流程及风险防控体系落实就业政策。</w:t>
      </w:r>
      <w:bookmarkEnd w:id="84"/>
    </w:p>
    <w:p>
      <w:pPr>
        <w:ind w:firstLine="640" w:firstLineChars="200"/>
        <w:outlineLvl w:val="0"/>
        <w:rPr>
          <w:rFonts w:eastAsia="仿宋_GB2312"/>
          <w:sz w:val="32"/>
          <w:szCs w:val="32"/>
        </w:rPr>
      </w:pPr>
      <w:bookmarkStart w:id="85" w:name="_Toc4428"/>
      <w:r>
        <w:rPr>
          <w:rFonts w:hint="eastAsia" w:eastAsia="仿宋_GB2312"/>
          <w:sz w:val="32"/>
          <w:szCs w:val="32"/>
        </w:rPr>
        <w:t>3.公开各项补贴申报、审批工作流程，对申报单位及相关申报材料进行公示；设立群众举报电话和信箱，公开资金使用问题反映的联系方式，公布就业创业补助资金支出项目、金额等情况，接受群众的广泛监督。</w:t>
      </w:r>
      <w:bookmarkEnd w:id="85"/>
    </w:p>
    <w:p>
      <w:pPr>
        <w:ind w:firstLine="640" w:firstLineChars="200"/>
        <w:outlineLvl w:val="0"/>
        <w:rPr>
          <w:rFonts w:eastAsia="仿宋_GB2312"/>
          <w:sz w:val="32"/>
          <w:szCs w:val="32"/>
        </w:rPr>
      </w:pPr>
      <w:bookmarkStart w:id="86" w:name="_Toc9617"/>
      <w:r>
        <w:rPr>
          <w:rFonts w:hint="eastAsia" w:eastAsia="仿宋_GB2312"/>
          <w:sz w:val="32"/>
          <w:szCs w:val="32"/>
        </w:rPr>
        <w:t>4.规范各项补贴业务的操作程序，有效利用就业服务管理信息系统实现对各项补贴业务流程的管理，简化群众办事程序，提高工作效率。</w:t>
      </w:r>
      <w:bookmarkEnd w:id="86"/>
    </w:p>
    <w:p>
      <w:pPr>
        <w:adjustRightInd w:val="0"/>
        <w:snapToGrid w:val="0"/>
        <w:spacing w:line="600" w:lineRule="exact"/>
        <w:ind w:firstLine="720"/>
        <w:rPr>
          <w:sz w:val="32"/>
          <w:szCs w:val="32"/>
          <w:lang w:val="zh-CN"/>
        </w:rPr>
      </w:pPr>
      <w:r>
        <w:rPr>
          <w:rFonts w:eastAsia="楷体_GB2312"/>
          <w:b/>
          <w:sz w:val="32"/>
          <w:szCs w:val="32"/>
          <w:lang w:val="zh-CN"/>
        </w:rPr>
        <w:t>（二）项目管理情况。</w:t>
      </w:r>
    </w:p>
    <w:p>
      <w:pPr>
        <w:adjustRightInd w:val="0"/>
        <w:snapToGrid w:val="0"/>
        <w:spacing w:line="600" w:lineRule="exact"/>
        <w:ind w:firstLine="720"/>
        <w:rPr>
          <w:rFonts w:eastAsia="仿宋_GB2312"/>
          <w:sz w:val="32"/>
          <w:szCs w:val="32"/>
        </w:rPr>
      </w:pPr>
      <w:r>
        <w:rPr>
          <w:rFonts w:hint="eastAsia" w:eastAsia="仿宋_GB2312"/>
          <w:sz w:val="32"/>
          <w:szCs w:val="32"/>
        </w:rPr>
        <w:t>为全面、深入掌握各项购买服务项目开展情况，客观反映工作实效，我中心各项工作按照年初工作计划分步实施，按要求与每个项目签订运营（实施）合同，</w:t>
      </w:r>
      <w:r>
        <w:rPr>
          <w:rFonts w:eastAsia="仿宋_GB2312"/>
          <w:sz w:val="32"/>
          <w:szCs w:val="32"/>
        </w:rPr>
        <w:t>明确</w:t>
      </w:r>
      <w:r>
        <w:rPr>
          <w:rFonts w:hint="eastAsia" w:eastAsia="仿宋_GB2312"/>
          <w:sz w:val="32"/>
          <w:szCs w:val="32"/>
        </w:rPr>
        <w:t>了</w:t>
      </w:r>
      <w:r>
        <w:rPr>
          <w:rFonts w:eastAsia="仿宋_GB2312"/>
          <w:sz w:val="32"/>
          <w:szCs w:val="32"/>
        </w:rPr>
        <w:t>工作要求、预算额度</w:t>
      </w:r>
      <w:r>
        <w:rPr>
          <w:rFonts w:hint="eastAsia" w:eastAsia="仿宋_GB2312"/>
          <w:sz w:val="32"/>
          <w:szCs w:val="32"/>
        </w:rPr>
        <w:t>、</w:t>
      </w:r>
      <w:r>
        <w:rPr>
          <w:rFonts w:eastAsia="仿宋_GB2312"/>
          <w:sz w:val="32"/>
          <w:szCs w:val="32"/>
        </w:rPr>
        <w:t>工作职责和服务事项等要求，</w:t>
      </w:r>
      <w:r>
        <w:rPr>
          <w:rFonts w:hint="eastAsia" w:eastAsia="仿宋_GB2312"/>
          <w:sz w:val="32"/>
          <w:szCs w:val="32"/>
        </w:rPr>
        <w:t>并将服务项目分解细化，根据工作量、难度、成本确定各子项目费用，根据合同进行管理，</w:t>
      </w:r>
      <w:r>
        <w:rPr>
          <w:rFonts w:eastAsia="仿宋_GB2312"/>
          <w:sz w:val="32"/>
          <w:szCs w:val="32"/>
        </w:rPr>
        <w:t>严格按照经费使用范围</w:t>
      </w:r>
      <w:r>
        <w:rPr>
          <w:rFonts w:hint="eastAsia" w:eastAsia="仿宋_GB2312"/>
          <w:sz w:val="32"/>
          <w:szCs w:val="32"/>
        </w:rPr>
        <w:t>及</w:t>
      </w:r>
      <w:r>
        <w:rPr>
          <w:rFonts w:eastAsia="仿宋_GB2312"/>
          <w:sz w:val="32"/>
          <w:szCs w:val="32"/>
        </w:rPr>
        <w:t>中心内部的资金使用管理要求</w:t>
      </w:r>
      <w:r>
        <w:rPr>
          <w:rFonts w:hint="eastAsia" w:eastAsia="仿宋_GB2312"/>
          <w:sz w:val="32"/>
          <w:szCs w:val="32"/>
        </w:rPr>
        <w:t>，按照各项补贴申报、审批工作流程规定，</w:t>
      </w:r>
      <w:r>
        <w:rPr>
          <w:rFonts w:eastAsia="仿宋_GB2312"/>
          <w:sz w:val="32"/>
          <w:szCs w:val="32"/>
        </w:rPr>
        <w:t>履行资金使用程序</w:t>
      </w:r>
      <w:r>
        <w:rPr>
          <w:rFonts w:hint="eastAsia" w:eastAsia="仿宋_GB2312"/>
          <w:sz w:val="32"/>
          <w:szCs w:val="32"/>
        </w:rPr>
        <w:t>并兑付资金。</w:t>
      </w:r>
    </w:p>
    <w:p>
      <w:pPr>
        <w:adjustRightInd w:val="0"/>
        <w:snapToGrid w:val="0"/>
        <w:spacing w:line="600" w:lineRule="exact"/>
        <w:ind w:firstLine="720"/>
        <w:rPr>
          <w:sz w:val="32"/>
          <w:szCs w:val="32"/>
          <w:lang w:val="zh-CN"/>
        </w:rPr>
      </w:pPr>
      <w:r>
        <w:rPr>
          <w:rFonts w:eastAsia="楷体_GB2312"/>
          <w:b/>
          <w:sz w:val="32"/>
          <w:szCs w:val="32"/>
          <w:lang w:val="zh-CN"/>
        </w:rPr>
        <w:t>（三）项目监管情况。</w:t>
      </w:r>
    </w:p>
    <w:p>
      <w:pPr>
        <w:ind w:firstLine="640" w:firstLineChars="200"/>
        <w:rPr>
          <w:rFonts w:eastAsia="仿宋_GB2312"/>
          <w:sz w:val="32"/>
          <w:szCs w:val="32"/>
        </w:rPr>
      </w:pPr>
      <w:r>
        <w:rPr>
          <w:rFonts w:hint="eastAsia" w:eastAsia="仿宋_GB2312"/>
          <w:sz w:val="32"/>
          <w:szCs w:val="32"/>
        </w:rPr>
        <w:t>1.</w:t>
      </w:r>
      <w:r>
        <w:rPr>
          <w:rFonts w:eastAsia="仿宋_GB2312"/>
          <w:sz w:val="32"/>
          <w:szCs w:val="32"/>
        </w:rPr>
        <w:t xml:space="preserve"> 做好与市人才服务中心的工作对接，共享攀西人才网和攀枝花公共招聘网求职招聘信息。</w:t>
      </w:r>
      <w:r>
        <w:rPr>
          <w:rFonts w:hint="eastAsia" w:eastAsia="仿宋_GB2312"/>
          <w:sz w:val="32"/>
          <w:szCs w:val="32"/>
        </w:rPr>
        <w:t>监管发布招聘信息的真实性、合理性；确保就业信息系统的正常完整使用，保证就业创业补助资金的安全。</w:t>
      </w:r>
    </w:p>
    <w:p>
      <w:pPr>
        <w:ind w:firstLine="640" w:firstLineChars="200"/>
        <w:rPr>
          <w:rFonts w:eastAsia="仿宋_GB2312"/>
          <w:sz w:val="32"/>
          <w:szCs w:val="32"/>
        </w:rPr>
      </w:pPr>
      <w:r>
        <w:rPr>
          <w:rFonts w:hint="eastAsia" w:eastAsia="仿宋_GB2312"/>
          <w:sz w:val="32"/>
          <w:szCs w:val="32"/>
        </w:rPr>
        <w:t>2.开展5个县（区）就业创业补助资金检查审核；抽取15个街道（乡镇）、20个社区（村）公共就业经办专项服务测评。针对职业培训领域“技能提升行动”专账资金使用情况进行随机抽查，抽查比例不低于20%。开展就业扶贫领域资金使用回头看，赴贫困村现场查看落实情况。</w:t>
      </w:r>
    </w:p>
    <w:p>
      <w:pPr>
        <w:ind w:firstLine="640" w:firstLineChars="200"/>
        <w:rPr>
          <w:rFonts w:eastAsia="仿宋_GB2312"/>
          <w:sz w:val="32"/>
          <w:szCs w:val="32"/>
        </w:rPr>
      </w:pPr>
      <w:r>
        <w:rPr>
          <w:rFonts w:hint="eastAsia" w:eastAsia="仿宋_GB2312"/>
          <w:sz w:val="32"/>
          <w:szCs w:val="32"/>
        </w:rPr>
        <w:t>3.按季度向人社部报送失业预警报告。</w:t>
      </w:r>
    </w:p>
    <w:p>
      <w:pPr>
        <w:ind w:firstLine="640" w:firstLineChars="200"/>
        <w:rPr>
          <w:rFonts w:eastAsia="仿宋_GB2312"/>
          <w:sz w:val="32"/>
          <w:szCs w:val="32"/>
        </w:rPr>
      </w:pPr>
      <w:r>
        <w:rPr>
          <w:rFonts w:hint="eastAsia" w:eastAsia="仿宋_GB2312"/>
          <w:sz w:val="32"/>
          <w:szCs w:val="32"/>
        </w:rPr>
        <w:t>4.作为项目主管部门及资金的具体使用部门，结合财政下达资金文件，明确资金使用范围，完善目标绩效申报和管理，开展绩效评价检查。</w:t>
      </w:r>
    </w:p>
    <w:p>
      <w:pPr>
        <w:adjustRightInd w:val="0"/>
        <w:snapToGrid w:val="0"/>
        <w:spacing w:line="600" w:lineRule="exact"/>
        <w:ind w:firstLine="720"/>
        <w:rPr>
          <w:sz w:val="32"/>
          <w:szCs w:val="32"/>
          <w:lang w:val="zh-CN"/>
        </w:rPr>
      </w:pPr>
      <w:r>
        <w:rPr>
          <w:rFonts w:eastAsia="黑体"/>
          <w:sz w:val="32"/>
          <w:szCs w:val="32"/>
        </w:rPr>
        <w:t>四、项目绩效情况</w:t>
      </w:r>
      <w:r>
        <w:rPr>
          <w:sz w:val="32"/>
          <w:szCs w:val="32"/>
          <w:lang w:val="zh-CN"/>
        </w:rPr>
        <w:tab/>
      </w:r>
    </w:p>
    <w:p>
      <w:pPr>
        <w:adjustRightInd w:val="0"/>
        <w:snapToGrid w:val="0"/>
        <w:spacing w:line="600" w:lineRule="exact"/>
        <w:ind w:firstLine="720"/>
        <w:rPr>
          <w:rFonts w:eastAsia="楷体_GB2312"/>
          <w:b/>
          <w:sz w:val="32"/>
          <w:szCs w:val="32"/>
          <w:lang w:val="zh-CN"/>
        </w:rPr>
      </w:pPr>
      <w:r>
        <w:rPr>
          <w:rFonts w:eastAsia="楷体_GB2312"/>
          <w:b/>
          <w:sz w:val="32"/>
          <w:szCs w:val="32"/>
          <w:lang w:val="zh-CN"/>
        </w:rPr>
        <w:t>（一）项目完成情况。</w:t>
      </w:r>
    </w:p>
    <w:p>
      <w:pPr>
        <w:ind w:firstLine="640" w:firstLineChars="200"/>
        <w:rPr>
          <w:rFonts w:eastAsia="仿宋_GB2312"/>
          <w:sz w:val="32"/>
          <w:szCs w:val="32"/>
        </w:rPr>
      </w:pPr>
      <w:r>
        <w:rPr>
          <w:rFonts w:hint="eastAsia" w:eastAsia="仿宋_GB2312"/>
          <w:sz w:val="32"/>
          <w:szCs w:val="32"/>
        </w:rPr>
        <w:t>（1）项目完成数量。</w:t>
      </w:r>
    </w:p>
    <w:p>
      <w:pPr>
        <w:ind w:firstLine="640" w:firstLineChars="200"/>
        <w:rPr>
          <w:rFonts w:eastAsia="仿宋_GB2312"/>
          <w:sz w:val="32"/>
          <w:szCs w:val="32"/>
        </w:rPr>
      </w:pPr>
      <w:r>
        <w:rPr>
          <w:rFonts w:hint="eastAsia" w:eastAsia="仿宋_GB2312"/>
          <w:sz w:val="32"/>
          <w:szCs w:val="32"/>
        </w:rPr>
        <w:t>截至2022年12月31日，市本级享受职业培训补贴14640人次；享受公益性岗位补贴2人；享受创业补贴21人次；享受就业见习补贴168人次；享受求职创业补贴2041人次；享受其他就业创业政策281人次，享受国家级高技能人才培训基地项目1个。</w:t>
      </w:r>
    </w:p>
    <w:p>
      <w:pPr>
        <w:ind w:firstLine="640" w:firstLineChars="200"/>
        <w:rPr>
          <w:rFonts w:eastAsia="仿宋_GB2312"/>
          <w:sz w:val="32"/>
          <w:szCs w:val="32"/>
        </w:rPr>
      </w:pPr>
      <w:r>
        <w:rPr>
          <w:rFonts w:hint="eastAsia" w:eastAsia="仿宋_GB2312"/>
          <w:sz w:val="32"/>
          <w:szCs w:val="32"/>
        </w:rPr>
        <w:t>（2）项目完成质量。</w:t>
      </w:r>
    </w:p>
    <w:p>
      <w:pPr>
        <w:ind w:firstLine="640" w:firstLineChars="200"/>
        <w:rPr>
          <w:rFonts w:eastAsia="仿宋_GB2312"/>
          <w:sz w:val="32"/>
          <w:szCs w:val="32"/>
        </w:rPr>
      </w:pPr>
      <w:r>
        <w:rPr>
          <w:rFonts w:hint="eastAsia" w:eastAsia="仿宋_GB2312"/>
          <w:sz w:val="32"/>
          <w:szCs w:val="32"/>
        </w:rPr>
        <w:t>职业培训补贴发放准确率，接受职业培训后取得职业资格证书（或专项能力证书、培训合格证书）人员的比率，社会保险补贴发放率，公益性岗位补贴发放率，就业见习补贴发放率，求职创业补贴发放率均达到100%。</w:t>
      </w:r>
    </w:p>
    <w:p>
      <w:pPr>
        <w:ind w:firstLine="640" w:firstLineChars="200"/>
        <w:rPr>
          <w:rFonts w:eastAsia="仿宋_GB2312"/>
          <w:sz w:val="32"/>
          <w:szCs w:val="32"/>
        </w:rPr>
      </w:pPr>
      <w:r>
        <w:rPr>
          <w:rFonts w:hint="eastAsia" w:eastAsia="仿宋_GB2312"/>
          <w:sz w:val="32"/>
          <w:szCs w:val="32"/>
        </w:rPr>
        <w:t>（3）项目实施进度。</w:t>
      </w:r>
    </w:p>
    <w:p>
      <w:pPr>
        <w:ind w:firstLine="640" w:firstLineChars="200"/>
        <w:rPr>
          <w:rFonts w:eastAsia="仿宋_GB2312"/>
          <w:sz w:val="32"/>
          <w:szCs w:val="32"/>
        </w:rPr>
      </w:pPr>
      <w:r>
        <w:rPr>
          <w:rFonts w:hint="eastAsia" w:eastAsia="仿宋_GB2312"/>
          <w:sz w:val="32"/>
          <w:szCs w:val="32"/>
        </w:rPr>
        <w:t>截至2022年12月31日，已完成所有符合申报条件的各项就业创业补贴的支付。</w:t>
      </w:r>
    </w:p>
    <w:p>
      <w:pPr>
        <w:ind w:firstLine="640" w:firstLineChars="200"/>
        <w:rPr>
          <w:rFonts w:eastAsia="仿宋_GB2312"/>
          <w:sz w:val="32"/>
          <w:szCs w:val="32"/>
        </w:rPr>
      </w:pPr>
      <w:r>
        <w:rPr>
          <w:rFonts w:hint="eastAsia" w:eastAsia="仿宋_GB2312"/>
          <w:sz w:val="32"/>
          <w:szCs w:val="32"/>
        </w:rPr>
        <w:t>（4）项目成本节约情况。</w:t>
      </w:r>
    </w:p>
    <w:p>
      <w:pPr>
        <w:ind w:firstLine="640" w:firstLineChars="200"/>
        <w:rPr>
          <w:rFonts w:eastAsia="仿宋_GB2312"/>
          <w:sz w:val="32"/>
          <w:szCs w:val="32"/>
        </w:rPr>
      </w:pPr>
      <w:r>
        <w:rPr>
          <w:rFonts w:hint="eastAsia" w:eastAsia="仿宋_GB2312"/>
          <w:sz w:val="32"/>
          <w:szCs w:val="32"/>
        </w:rPr>
        <w:t>资金审核、资金拨付、使用监督、公示和资金使用跟踪反馈情况等方面运行管理规范，制度建设完善，台账资料完整真实，资金使用有依有据，做到专账专户、专款专用，所有专项资金全部用于兑现符合政策的补贴。</w:t>
      </w:r>
    </w:p>
    <w:p>
      <w:pPr>
        <w:adjustRightInd w:val="0"/>
        <w:snapToGrid w:val="0"/>
        <w:spacing w:line="600" w:lineRule="exact"/>
        <w:ind w:firstLine="720"/>
        <w:rPr>
          <w:rFonts w:eastAsia="楷体_GB2312"/>
          <w:b/>
          <w:sz w:val="32"/>
          <w:szCs w:val="32"/>
          <w:lang w:val="zh-CN"/>
        </w:rPr>
      </w:pPr>
      <w:r>
        <w:rPr>
          <w:rFonts w:eastAsia="楷体_GB2312"/>
          <w:b/>
          <w:sz w:val="32"/>
          <w:szCs w:val="32"/>
          <w:lang w:val="zh-CN"/>
        </w:rPr>
        <w:t>（二）项目效益情况。</w:t>
      </w:r>
    </w:p>
    <w:p>
      <w:pPr>
        <w:ind w:firstLine="640" w:firstLineChars="200"/>
        <w:rPr>
          <w:rFonts w:eastAsia="仿宋_GB2312"/>
          <w:sz w:val="32"/>
          <w:szCs w:val="32"/>
        </w:rPr>
      </w:pPr>
      <w:r>
        <w:rPr>
          <w:rFonts w:hint="eastAsia" w:eastAsia="仿宋_GB2312"/>
          <w:sz w:val="32"/>
          <w:szCs w:val="32"/>
        </w:rPr>
        <w:t>（1）项目实施的经济效益分析。</w:t>
      </w:r>
    </w:p>
    <w:p>
      <w:pPr>
        <w:ind w:firstLine="640" w:firstLineChars="200"/>
        <w:rPr>
          <w:rFonts w:eastAsia="仿宋_GB2312"/>
          <w:sz w:val="32"/>
          <w:szCs w:val="32"/>
        </w:rPr>
      </w:pPr>
      <w:r>
        <w:rPr>
          <w:rFonts w:hint="eastAsia" w:eastAsia="仿宋_GB2312"/>
          <w:sz w:val="32"/>
          <w:szCs w:val="32"/>
        </w:rPr>
        <w:t>完成2022年全市相关就业创业工作目标任务，通过指导、开展就业创业工作，促进城镇新增就业19260人，控制我市城镇登记失业率在3.63%,高校毕业生总体就业率保持基本稳定，城镇失业人员再就业7172人，就业困难人员就业1632人。</w:t>
      </w:r>
    </w:p>
    <w:p>
      <w:pPr>
        <w:ind w:firstLine="640" w:firstLineChars="200"/>
        <w:rPr>
          <w:rFonts w:eastAsia="仿宋_GB2312"/>
          <w:sz w:val="32"/>
          <w:szCs w:val="32"/>
        </w:rPr>
      </w:pPr>
      <w:r>
        <w:rPr>
          <w:rFonts w:hint="eastAsia" w:eastAsia="仿宋_GB2312"/>
          <w:sz w:val="32"/>
          <w:szCs w:val="32"/>
        </w:rPr>
        <w:t>（2）项目实施的社会效益分析。</w:t>
      </w:r>
    </w:p>
    <w:p>
      <w:pPr>
        <w:ind w:firstLine="640" w:firstLineChars="200"/>
        <w:rPr>
          <w:rFonts w:eastAsia="仿宋_GB2312"/>
          <w:sz w:val="32"/>
          <w:szCs w:val="32"/>
        </w:rPr>
      </w:pPr>
      <w:r>
        <w:rPr>
          <w:rFonts w:hint="eastAsia" w:eastAsia="仿宋_GB2312"/>
          <w:sz w:val="32"/>
          <w:szCs w:val="32"/>
        </w:rPr>
        <w:t>2022年，对零就业家庭帮扶率超过95%，无因就业问题发生重大群体性事件。</w:t>
      </w:r>
    </w:p>
    <w:p>
      <w:pPr>
        <w:ind w:firstLine="640" w:firstLineChars="200"/>
        <w:rPr>
          <w:rFonts w:eastAsia="仿宋_GB2312"/>
          <w:sz w:val="32"/>
          <w:szCs w:val="32"/>
        </w:rPr>
      </w:pPr>
      <w:r>
        <w:rPr>
          <w:rFonts w:hint="eastAsia" w:eastAsia="仿宋_GB2312"/>
          <w:sz w:val="32"/>
          <w:szCs w:val="32"/>
        </w:rPr>
        <w:t>（3）项目实施的可持续影响分析。</w:t>
      </w:r>
    </w:p>
    <w:p>
      <w:pPr>
        <w:ind w:firstLine="640" w:firstLineChars="200"/>
        <w:rPr>
          <w:rFonts w:eastAsia="仿宋_GB2312"/>
          <w:sz w:val="32"/>
          <w:szCs w:val="32"/>
        </w:rPr>
      </w:pPr>
      <w:r>
        <w:rPr>
          <w:rFonts w:hint="eastAsia" w:eastAsia="仿宋_GB2312"/>
          <w:sz w:val="32"/>
          <w:szCs w:val="32"/>
        </w:rPr>
        <w:t>就业创业补助资金兑现了现行各项就业创业政策，促进全市城镇新增就业、城镇失业人员再就业、就业困难人员就业工作开展，帮助创业人员实施创业项目。</w:t>
      </w:r>
    </w:p>
    <w:p>
      <w:pPr>
        <w:ind w:firstLine="640" w:firstLineChars="200"/>
        <w:rPr>
          <w:rFonts w:eastAsia="仿宋_GB2312"/>
          <w:sz w:val="32"/>
          <w:szCs w:val="32"/>
        </w:rPr>
      </w:pPr>
      <w:r>
        <w:rPr>
          <w:rFonts w:hint="eastAsia" w:eastAsia="仿宋_GB2312"/>
          <w:sz w:val="32"/>
          <w:szCs w:val="32"/>
        </w:rPr>
        <w:t>3.满意度指标完成情况分析。</w:t>
      </w:r>
    </w:p>
    <w:p>
      <w:pPr>
        <w:ind w:firstLine="640" w:firstLineChars="200"/>
        <w:rPr>
          <w:rFonts w:eastAsia="仿宋_GB2312"/>
          <w:sz w:val="32"/>
          <w:szCs w:val="32"/>
        </w:rPr>
      </w:pPr>
      <w:r>
        <w:rPr>
          <w:rFonts w:hint="eastAsia" w:eastAsia="仿宋_GB2312"/>
          <w:sz w:val="32"/>
          <w:szCs w:val="32"/>
        </w:rPr>
        <w:t>公共就业服务满意度超过90%，就业扶持政策经办服务满意度超过90%。</w:t>
      </w:r>
    </w:p>
    <w:p>
      <w:pPr>
        <w:adjustRightInd w:val="0"/>
        <w:snapToGrid w:val="0"/>
        <w:spacing w:line="600" w:lineRule="exact"/>
        <w:ind w:firstLine="720"/>
        <w:rPr>
          <w:rFonts w:eastAsia="黑体"/>
          <w:sz w:val="32"/>
          <w:szCs w:val="32"/>
        </w:rPr>
      </w:pPr>
      <w:r>
        <w:rPr>
          <w:rFonts w:eastAsia="黑体"/>
          <w:sz w:val="32"/>
          <w:szCs w:val="32"/>
        </w:rPr>
        <w:t>五、评价结论及建议</w:t>
      </w:r>
    </w:p>
    <w:p>
      <w:pPr>
        <w:adjustRightInd w:val="0"/>
        <w:snapToGrid w:val="0"/>
        <w:spacing w:line="600" w:lineRule="exact"/>
        <w:ind w:firstLine="720"/>
        <w:rPr>
          <w:rFonts w:eastAsia="楷体_GB2312"/>
          <w:b/>
          <w:sz w:val="32"/>
          <w:szCs w:val="32"/>
          <w:lang w:val="zh-CN"/>
        </w:rPr>
      </w:pPr>
      <w:r>
        <w:rPr>
          <w:rFonts w:eastAsia="楷体_GB2312"/>
          <w:b/>
          <w:sz w:val="32"/>
          <w:szCs w:val="32"/>
          <w:lang w:val="zh-CN"/>
        </w:rPr>
        <w:t>（一）评价结论。</w:t>
      </w:r>
    </w:p>
    <w:p>
      <w:pPr>
        <w:pStyle w:val="9"/>
        <w:spacing w:line="58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202</w:t>
      </w:r>
      <w:r>
        <w:rPr>
          <w:rFonts w:hint="eastAsia" w:ascii="Times New Roman" w:hAnsi="Times New Roman" w:eastAsia="仿宋_GB2312"/>
          <w:sz w:val="32"/>
          <w:szCs w:val="32"/>
        </w:rPr>
        <w:t>2</w:t>
      </w:r>
      <w:r>
        <w:rPr>
          <w:rFonts w:ascii="Times New Roman" w:hAnsi="Times New Roman" w:eastAsia="仿宋_GB2312"/>
          <w:sz w:val="32"/>
          <w:szCs w:val="32"/>
        </w:rPr>
        <w:t>年，我中心部门项目支出绩效指标达到了预期设定目标值，绩效目标完成情况较好，各项工作立项依据充分、程序合规、资金使用计划可行，审批手续齐全，项目组织健全，分工明确，资金管理制度健全，资金分配合理，资金申报、批准、下达程序规范，在预算执行过程中，通过事中绩效自评监控，确保各预算项目资金无挤占挪用、按进度执行。通过项目实施，</w:t>
      </w:r>
      <w:r>
        <w:rPr>
          <w:rFonts w:hint="eastAsia" w:ascii="Times New Roman" w:hAnsi="Times New Roman" w:eastAsia="仿宋_GB2312"/>
          <w:sz w:val="32"/>
          <w:szCs w:val="32"/>
        </w:rPr>
        <w:t>2022年</w:t>
      </w:r>
      <w:r>
        <w:rPr>
          <w:rFonts w:ascii="Times New Roman" w:hAnsi="Times New Roman" w:eastAsia="仿宋_GB2312"/>
          <w:bCs/>
          <w:color w:val="000000" w:themeColor="text1"/>
          <w:sz w:val="32"/>
          <w:szCs w:val="32"/>
        </w:rPr>
        <w:t>全市城镇新增就业19260人，失业人员再就业7211人，就业困难人员实现就业1634人，城镇登记失业率3.63%；应届离校未就业高校毕业生联系率99.68%，就业创业比例95.46%；新增青年就业见习1082人；开展创业培训9420人；发放创业担保贷款29851万元，所有目标任务</w:t>
      </w:r>
      <w:r>
        <w:rPr>
          <w:rFonts w:hint="eastAsia" w:ascii="Times New Roman" w:hAnsi="Times New Roman" w:eastAsia="仿宋_GB2312"/>
          <w:bCs/>
          <w:color w:val="000000" w:themeColor="text1"/>
          <w:sz w:val="32"/>
          <w:szCs w:val="32"/>
        </w:rPr>
        <w:t>均</w:t>
      </w:r>
      <w:r>
        <w:rPr>
          <w:rFonts w:ascii="Times New Roman" w:hAnsi="Times New Roman" w:eastAsia="仿宋_GB2312"/>
          <w:bCs/>
          <w:color w:val="000000" w:themeColor="text1"/>
          <w:sz w:val="32"/>
          <w:szCs w:val="32"/>
        </w:rPr>
        <w:t>全面完成。</w:t>
      </w:r>
      <w:r>
        <w:rPr>
          <w:rFonts w:ascii="Times New Roman" w:hAnsi="Times New Roman" w:eastAsia="仿宋_GB2312"/>
          <w:sz w:val="32"/>
          <w:szCs w:val="32"/>
        </w:rPr>
        <w:t>全市就业创业工作得到稳定，项目经济效益、社会效益、就业扶持政策享受者、创业者等满意度显著提高。</w:t>
      </w:r>
    </w:p>
    <w:p>
      <w:pPr>
        <w:adjustRightInd w:val="0"/>
        <w:snapToGrid w:val="0"/>
        <w:spacing w:line="600" w:lineRule="exact"/>
        <w:ind w:firstLine="630" w:firstLineChars="196"/>
        <w:rPr>
          <w:rFonts w:eastAsia="楷体_GB2312"/>
          <w:b/>
          <w:sz w:val="32"/>
          <w:szCs w:val="32"/>
          <w:lang w:val="zh-CN"/>
        </w:rPr>
      </w:pPr>
      <w:r>
        <w:rPr>
          <w:rFonts w:eastAsia="楷体_GB2312"/>
          <w:b/>
          <w:sz w:val="32"/>
          <w:szCs w:val="32"/>
          <w:lang w:val="zh-CN"/>
        </w:rPr>
        <w:t>（二）存在的问题。</w:t>
      </w:r>
    </w:p>
    <w:p>
      <w:pPr>
        <w:ind w:firstLine="640" w:firstLineChars="200"/>
        <w:rPr>
          <w:rFonts w:eastAsia="仿宋_GB2312"/>
          <w:bCs/>
          <w:color w:val="000000" w:themeColor="text1"/>
          <w:sz w:val="32"/>
          <w:szCs w:val="32"/>
        </w:rPr>
      </w:pPr>
      <w:r>
        <w:rPr>
          <w:rFonts w:hint="eastAsia" w:eastAsia="仿宋_GB2312"/>
          <w:bCs/>
          <w:color w:val="000000" w:themeColor="text1"/>
          <w:sz w:val="32"/>
          <w:szCs w:val="32"/>
        </w:rPr>
        <w:t>因未享受政策的就业困难人员人数减少，享受社会保险贴人员数量未达到指标值，今后将加大就业困难人员认定、社保补贴政策宣传力度，使更多就业困难人员申报补贴。</w:t>
      </w:r>
    </w:p>
    <w:p>
      <w:pPr>
        <w:adjustRightInd w:val="0"/>
        <w:snapToGrid w:val="0"/>
        <w:spacing w:line="600" w:lineRule="exact"/>
        <w:ind w:firstLine="630" w:firstLineChars="196"/>
        <w:rPr>
          <w:rFonts w:eastAsia="楷体_GB2312"/>
          <w:b/>
          <w:sz w:val="32"/>
          <w:szCs w:val="32"/>
          <w:lang w:val="zh-CN"/>
        </w:rPr>
      </w:pPr>
      <w:r>
        <w:rPr>
          <w:rFonts w:eastAsia="楷体_GB2312"/>
          <w:b/>
          <w:sz w:val="32"/>
          <w:szCs w:val="32"/>
          <w:lang w:val="zh-CN"/>
        </w:rPr>
        <w:t>（三）相关建议。</w:t>
      </w:r>
    </w:p>
    <w:p>
      <w:pPr>
        <w:pStyle w:val="9"/>
        <w:spacing w:line="580" w:lineRule="exact"/>
        <w:ind w:firstLine="640" w:firstLineChars="200"/>
        <w:jc w:val="left"/>
        <w:rPr>
          <w:rFonts w:ascii="Times New Roman" w:hAnsi="Times New Roman" w:eastAsia="仿宋_GB2312"/>
          <w:b/>
          <w:bCs/>
          <w:sz w:val="32"/>
          <w:szCs w:val="32"/>
        </w:rPr>
      </w:pPr>
      <w:r>
        <w:rPr>
          <w:rFonts w:hint="eastAsia" w:ascii="Times New Roman" w:hAnsi="Times New Roman" w:eastAsia="仿宋_GB2312"/>
          <w:sz w:val="32"/>
          <w:szCs w:val="32"/>
        </w:rPr>
        <w:t>建议财政确保</w:t>
      </w:r>
      <w:r>
        <w:rPr>
          <w:rFonts w:ascii="Times New Roman" w:hAnsi="Times New Roman" w:eastAsia="仿宋_GB2312"/>
          <w:sz w:val="32"/>
          <w:szCs w:val="32"/>
        </w:rPr>
        <w:t>专项资金</w:t>
      </w:r>
      <w:r>
        <w:rPr>
          <w:rFonts w:hint="eastAsia" w:ascii="Times New Roman" w:hAnsi="Times New Roman" w:eastAsia="仿宋_GB2312"/>
          <w:sz w:val="32"/>
          <w:szCs w:val="32"/>
        </w:rPr>
        <w:t>及时、足额到位</w:t>
      </w:r>
      <w:r>
        <w:rPr>
          <w:rFonts w:ascii="Times New Roman" w:hAnsi="Times New Roman" w:eastAsia="仿宋_GB2312"/>
          <w:sz w:val="32"/>
          <w:szCs w:val="32"/>
        </w:rPr>
        <w:t>，避免出现预算支出调剂及挤占情况，最大化保障各项支出准确性和执行率，</w:t>
      </w:r>
      <w:r>
        <w:rPr>
          <w:rFonts w:hint="eastAsia" w:ascii="仿宋_GB2312" w:hAnsi="Times New Roman" w:eastAsia="仿宋_GB2312" w:cs="黑体"/>
          <w:bCs/>
          <w:sz w:val="32"/>
          <w:szCs w:val="32"/>
        </w:rPr>
        <w:t>尽量确保服务对象百分百满意。</w:t>
      </w:r>
    </w:p>
    <w:p>
      <w:pPr>
        <w:spacing w:line="600" w:lineRule="exact"/>
        <w:outlineLvl w:val="0"/>
        <w:rPr>
          <w:rFonts w:ascii="黑体" w:hAnsi="黑体" w:eastAsia="黑体"/>
          <w:sz w:val="44"/>
          <w:szCs w:val="44"/>
        </w:rPr>
      </w:pPr>
    </w:p>
    <w:p>
      <w:pPr>
        <w:spacing w:line="600" w:lineRule="exact"/>
        <w:jc w:val="center"/>
        <w:outlineLvl w:val="0"/>
        <w:rPr>
          <w:rFonts w:ascii="仿宋" w:hAnsi="仿宋" w:eastAsia="仿宋"/>
        </w:rPr>
      </w:pPr>
      <w:bookmarkStart w:id="87" w:name="_Toc16404"/>
      <w:r>
        <w:rPr>
          <w:rFonts w:hint="eastAsia" w:ascii="黑体" w:hAnsi="黑体" w:eastAsia="黑体"/>
          <w:sz w:val="44"/>
          <w:szCs w:val="44"/>
        </w:rPr>
        <w:t>第</w:t>
      </w:r>
      <w:r>
        <w:rPr>
          <w:rStyle w:val="30"/>
          <w:rFonts w:hint="eastAsia" w:ascii="黑体" w:hAnsi="黑体" w:eastAsia="黑体"/>
          <w:b w:val="0"/>
        </w:rPr>
        <w:t>五部分 附表</w:t>
      </w:r>
      <w:bookmarkEnd w:id="79"/>
      <w:bookmarkEnd w:id="83"/>
      <w:bookmarkEnd w:id="87"/>
      <w:bookmarkStart w:id="88" w:name="_Toc15396619"/>
    </w:p>
    <w:p>
      <w:pPr>
        <w:pStyle w:val="4"/>
        <w:rPr>
          <w:rFonts w:ascii="仿宋" w:hAnsi="仿宋" w:eastAsia="仿宋"/>
        </w:rPr>
      </w:pPr>
      <w:bookmarkStart w:id="89" w:name="_Toc23624"/>
      <w:r>
        <w:rPr>
          <w:rFonts w:hint="eastAsia" w:ascii="仿宋" w:hAnsi="仿宋" w:eastAsia="仿宋"/>
          <w:b w:val="0"/>
        </w:rPr>
        <w:t>一、收</w:t>
      </w:r>
      <w:r>
        <w:rPr>
          <w:rStyle w:val="31"/>
          <w:rFonts w:hint="eastAsia" w:ascii="仿宋" w:hAnsi="仿宋" w:eastAsia="仿宋"/>
          <w:b w:val="0"/>
          <w:bCs w:val="0"/>
        </w:rPr>
        <w:t>入支出决算总表</w:t>
      </w:r>
      <w:bookmarkEnd w:id="88"/>
      <w:bookmarkEnd w:id="89"/>
    </w:p>
    <w:p>
      <w:pPr>
        <w:pStyle w:val="4"/>
        <w:rPr>
          <w:rFonts w:ascii="仿宋" w:hAnsi="仿宋" w:eastAsia="仿宋"/>
        </w:rPr>
      </w:pPr>
      <w:bookmarkStart w:id="90" w:name="_Toc15396620"/>
      <w:bookmarkStart w:id="91" w:name="_Toc12131"/>
      <w:r>
        <w:rPr>
          <w:rFonts w:hint="eastAsia" w:ascii="仿宋" w:hAnsi="仿宋" w:eastAsia="仿宋"/>
          <w:b w:val="0"/>
        </w:rPr>
        <w:t>二、收</w:t>
      </w:r>
      <w:r>
        <w:rPr>
          <w:rStyle w:val="31"/>
          <w:rFonts w:hint="eastAsia" w:ascii="仿宋" w:hAnsi="仿宋" w:eastAsia="仿宋"/>
          <w:b w:val="0"/>
          <w:bCs w:val="0"/>
        </w:rPr>
        <w:t>入决算表</w:t>
      </w:r>
      <w:bookmarkEnd w:id="90"/>
      <w:bookmarkEnd w:id="91"/>
    </w:p>
    <w:p>
      <w:pPr>
        <w:pStyle w:val="4"/>
        <w:rPr>
          <w:rFonts w:ascii="仿宋" w:hAnsi="仿宋" w:eastAsia="仿宋"/>
        </w:rPr>
      </w:pPr>
      <w:bookmarkStart w:id="92" w:name="_Toc15902"/>
      <w:bookmarkStart w:id="93" w:name="_Toc15396621"/>
      <w:r>
        <w:rPr>
          <w:rStyle w:val="31"/>
          <w:rFonts w:hint="eastAsia" w:ascii="仿宋" w:hAnsi="仿宋" w:eastAsia="仿宋"/>
          <w:b w:val="0"/>
          <w:bCs w:val="0"/>
        </w:rPr>
        <w:t>三、</w:t>
      </w:r>
      <w:r>
        <w:rPr>
          <w:rFonts w:hint="eastAsia" w:ascii="仿宋" w:hAnsi="仿宋" w:eastAsia="仿宋"/>
          <w:b w:val="0"/>
        </w:rPr>
        <w:t>支</w:t>
      </w:r>
      <w:r>
        <w:rPr>
          <w:rStyle w:val="31"/>
          <w:rFonts w:hint="eastAsia" w:ascii="仿宋" w:hAnsi="仿宋" w:eastAsia="仿宋"/>
          <w:b w:val="0"/>
          <w:bCs w:val="0"/>
        </w:rPr>
        <w:t>出决算表</w:t>
      </w:r>
      <w:bookmarkEnd w:id="92"/>
      <w:bookmarkEnd w:id="93"/>
    </w:p>
    <w:p>
      <w:pPr>
        <w:pStyle w:val="4"/>
        <w:rPr>
          <w:rFonts w:ascii="仿宋" w:hAnsi="仿宋" w:eastAsia="仿宋"/>
          <w:b w:val="0"/>
        </w:rPr>
      </w:pPr>
      <w:bookmarkStart w:id="94" w:name="_Toc15396622"/>
      <w:bookmarkStart w:id="95" w:name="_Toc15411"/>
      <w:r>
        <w:rPr>
          <w:rStyle w:val="31"/>
          <w:rFonts w:hint="eastAsia" w:ascii="仿宋" w:hAnsi="仿宋" w:eastAsia="仿宋"/>
          <w:b w:val="0"/>
          <w:bCs w:val="0"/>
        </w:rPr>
        <w:t>四、</w:t>
      </w:r>
      <w:r>
        <w:rPr>
          <w:rFonts w:hint="eastAsia" w:ascii="仿宋" w:hAnsi="仿宋" w:eastAsia="仿宋"/>
          <w:b w:val="0"/>
        </w:rPr>
        <w:t>财</w:t>
      </w:r>
      <w:r>
        <w:rPr>
          <w:rStyle w:val="31"/>
          <w:rFonts w:hint="eastAsia" w:ascii="仿宋" w:hAnsi="仿宋" w:eastAsia="仿宋"/>
          <w:b w:val="0"/>
          <w:bCs w:val="0"/>
        </w:rPr>
        <w:t>政拨款收入支出决算总表</w:t>
      </w:r>
      <w:bookmarkEnd w:id="94"/>
      <w:bookmarkEnd w:id="95"/>
    </w:p>
    <w:p>
      <w:pPr>
        <w:pStyle w:val="4"/>
        <w:rPr>
          <w:rStyle w:val="31"/>
          <w:rFonts w:ascii="仿宋" w:hAnsi="仿宋" w:eastAsia="仿宋"/>
          <w:b w:val="0"/>
          <w:bCs w:val="0"/>
        </w:rPr>
      </w:pPr>
      <w:bookmarkStart w:id="96" w:name="_Toc15396623"/>
      <w:bookmarkStart w:id="97" w:name="_Toc15313"/>
      <w:r>
        <w:rPr>
          <w:rStyle w:val="31"/>
          <w:rFonts w:hint="eastAsia" w:ascii="仿宋" w:hAnsi="仿宋" w:eastAsia="仿宋"/>
          <w:b w:val="0"/>
          <w:bCs w:val="0"/>
        </w:rPr>
        <w:t>五、</w:t>
      </w:r>
      <w:r>
        <w:rPr>
          <w:rFonts w:hint="eastAsia" w:ascii="仿宋" w:hAnsi="仿宋" w:eastAsia="仿宋"/>
          <w:b w:val="0"/>
        </w:rPr>
        <w:t>财</w:t>
      </w:r>
      <w:r>
        <w:rPr>
          <w:rStyle w:val="31"/>
          <w:rFonts w:hint="eastAsia" w:ascii="仿宋" w:hAnsi="仿宋" w:eastAsia="仿宋"/>
          <w:b w:val="0"/>
          <w:bCs w:val="0"/>
        </w:rPr>
        <w:t>政拨款支出决算明细表</w:t>
      </w:r>
      <w:bookmarkEnd w:id="96"/>
      <w:bookmarkEnd w:id="97"/>
      <w:bookmarkStart w:id="98" w:name="_Toc15396624"/>
    </w:p>
    <w:p>
      <w:pPr>
        <w:pStyle w:val="4"/>
        <w:rPr>
          <w:rFonts w:ascii="仿宋" w:hAnsi="仿宋" w:eastAsia="仿宋"/>
        </w:rPr>
      </w:pPr>
      <w:bookmarkStart w:id="99" w:name="_Toc9554"/>
      <w:r>
        <w:rPr>
          <w:rStyle w:val="31"/>
          <w:rFonts w:hint="eastAsia" w:ascii="仿宋" w:hAnsi="仿宋" w:eastAsia="仿宋"/>
          <w:b w:val="0"/>
          <w:bCs w:val="0"/>
        </w:rPr>
        <w:t>六、</w:t>
      </w:r>
      <w:r>
        <w:rPr>
          <w:rFonts w:hint="eastAsia" w:ascii="仿宋" w:hAnsi="仿宋" w:eastAsia="仿宋"/>
          <w:b w:val="0"/>
        </w:rPr>
        <w:t>一</w:t>
      </w:r>
      <w:r>
        <w:rPr>
          <w:rStyle w:val="31"/>
          <w:rFonts w:hint="eastAsia" w:ascii="仿宋" w:hAnsi="仿宋" w:eastAsia="仿宋"/>
          <w:b w:val="0"/>
          <w:bCs w:val="0"/>
        </w:rPr>
        <w:t>般公共预算财政拨款支出决算表</w:t>
      </w:r>
      <w:bookmarkEnd w:id="98"/>
      <w:bookmarkEnd w:id="99"/>
    </w:p>
    <w:p>
      <w:pPr>
        <w:pStyle w:val="4"/>
        <w:rPr>
          <w:rFonts w:ascii="仿宋" w:hAnsi="仿宋" w:eastAsia="仿宋"/>
        </w:rPr>
      </w:pPr>
      <w:bookmarkStart w:id="100" w:name="_Toc28147"/>
      <w:bookmarkStart w:id="101" w:name="_Toc15396625"/>
      <w:r>
        <w:rPr>
          <w:rStyle w:val="31"/>
          <w:rFonts w:hint="eastAsia" w:ascii="仿宋" w:hAnsi="仿宋" w:eastAsia="仿宋"/>
          <w:b w:val="0"/>
          <w:bCs w:val="0"/>
        </w:rPr>
        <w:t>七、</w:t>
      </w:r>
      <w:r>
        <w:rPr>
          <w:rFonts w:hint="eastAsia" w:ascii="仿宋" w:hAnsi="仿宋" w:eastAsia="仿宋"/>
          <w:b w:val="0"/>
        </w:rPr>
        <w:t>一</w:t>
      </w:r>
      <w:r>
        <w:rPr>
          <w:rStyle w:val="31"/>
          <w:rFonts w:hint="eastAsia" w:ascii="仿宋" w:hAnsi="仿宋" w:eastAsia="仿宋"/>
          <w:b w:val="0"/>
          <w:bCs w:val="0"/>
        </w:rPr>
        <w:t>般公共预算财政拨款支出决算明细表</w:t>
      </w:r>
      <w:bookmarkEnd w:id="100"/>
      <w:bookmarkEnd w:id="101"/>
    </w:p>
    <w:p>
      <w:pPr>
        <w:pStyle w:val="4"/>
        <w:rPr>
          <w:rFonts w:ascii="仿宋" w:hAnsi="仿宋" w:eastAsia="仿宋"/>
        </w:rPr>
      </w:pPr>
      <w:bookmarkStart w:id="102" w:name="_Toc15396626"/>
      <w:bookmarkStart w:id="103" w:name="_Toc2582"/>
      <w:r>
        <w:rPr>
          <w:rStyle w:val="31"/>
          <w:rFonts w:hint="eastAsia" w:ascii="仿宋" w:hAnsi="仿宋" w:eastAsia="仿宋"/>
          <w:b w:val="0"/>
          <w:bCs w:val="0"/>
        </w:rPr>
        <w:t>八、</w:t>
      </w:r>
      <w:r>
        <w:rPr>
          <w:rFonts w:hint="eastAsia" w:ascii="仿宋" w:hAnsi="仿宋" w:eastAsia="仿宋"/>
          <w:b w:val="0"/>
        </w:rPr>
        <w:t>一</w:t>
      </w:r>
      <w:r>
        <w:rPr>
          <w:rStyle w:val="31"/>
          <w:rFonts w:hint="eastAsia" w:ascii="仿宋" w:hAnsi="仿宋" w:eastAsia="仿宋"/>
          <w:b w:val="0"/>
          <w:bCs w:val="0"/>
        </w:rPr>
        <w:t>般公共预算财政拨款基本支出决算表</w:t>
      </w:r>
      <w:bookmarkEnd w:id="102"/>
      <w:bookmarkEnd w:id="103"/>
    </w:p>
    <w:p>
      <w:pPr>
        <w:pStyle w:val="4"/>
        <w:rPr>
          <w:rFonts w:ascii="仿宋" w:hAnsi="仿宋" w:eastAsia="仿宋"/>
        </w:rPr>
      </w:pPr>
      <w:bookmarkStart w:id="104" w:name="_Toc836"/>
      <w:bookmarkStart w:id="105" w:name="_Toc15396627"/>
      <w:r>
        <w:rPr>
          <w:rStyle w:val="31"/>
          <w:rFonts w:hint="eastAsia" w:ascii="仿宋" w:hAnsi="仿宋" w:eastAsia="仿宋"/>
          <w:b w:val="0"/>
          <w:bCs w:val="0"/>
        </w:rPr>
        <w:t>九、</w:t>
      </w:r>
      <w:r>
        <w:rPr>
          <w:rFonts w:hint="eastAsia" w:ascii="仿宋" w:hAnsi="仿宋" w:eastAsia="仿宋"/>
          <w:b w:val="0"/>
        </w:rPr>
        <w:t>一</w:t>
      </w:r>
      <w:r>
        <w:rPr>
          <w:rStyle w:val="31"/>
          <w:rFonts w:hint="eastAsia" w:ascii="仿宋" w:hAnsi="仿宋" w:eastAsia="仿宋"/>
          <w:b w:val="0"/>
          <w:bCs w:val="0"/>
        </w:rPr>
        <w:t>般公共预算财政拨款项目支出决算表</w:t>
      </w:r>
      <w:bookmarkEnd w:id="104"/>
      <w:bookmarkEnd w:id="105"/>
    </w:p>
    <w:p>
      <w:pPr>
        <w:pStyle w:val="4"/>
        <w:rPr>
          <w:rFonts w:ascii="仿宋" w:hAnsi="仿宋" w:eastAsia="仿宋"/>
        </w:rPr>
      </w:pPr>
      <w:bookmarkStart w:id="106" w:name="_Toc15396628"/>
      <w:bookmarkStart w:id="107" w:name="_Toc24548"/>
      <w:r>
        <w:rPr>
          <w:rStyle w:val="31"/>
          <w:rFonts w:hint="eastAsia" w:ascii="仿宋" w:hAnsi="仿宋" w:eastAsia="仿宋"/>
          <w:b w:val="0"/>
          <w:bCs w:val="0"/>
        </w:rPr>
        <w:t>十、</w:t>
      </w:r>
      <w:bookmarkEnd w:id="106"/>
      <w:r>
        <w:rPr>
          <w:rFonts w:hint="eastAsia" w:ascii="仿宋" w:hAnsi="仿宋" w:eastAsia="仿宋"/>
          <w:b w:val="0"/>
        </w:rPr>
        <w:t>政</w:t>
      </w:r>
      <w:r>
        <w:rPr>
          <w:rStyle w:val="31"/>
          <w:rFonts w:hint="eastAsia" w:ascii="仿宋" w:hAnsi="仿宋" w:eastAsia="仿宋"/>
          <w:b w:val="0"/>
          <w:bCs w:val="0"/>
        </w:rPr>
        <w:t>府性基金预算财政拨款收入支出决算表</w:t>
      </w:r>
      <w:bookmarkEnd w:id="107"/>
    </w:p>
    <w:p>
      <w:pPr>
        <w:pStyle w:val="4"/>
        <w:rPr>
          <w:rFonts w:ascii="仿宋" w:hAnsi="仿宋" w:eastAsia="仿宋"/>
        </w:rPr>
      </w:pPr>
      <w:bookmarkStart w:id="108" w:name="_Toc15396629"/>
      <w:bookmarkStart w:id="109" w:name="_Toc7865"/>
      <w:r>
        <w:rPr>
          <w:rStyle w:val="31"/>
          <w:rFonts w:hint="eastAsia" w:ascii="仿宋" w:hAnsi="仿宋" w:eastAsia="仿宋"/>
          <w:b w:val="0"/>
          <w:bCs w:val="0"/>
        </w:rPr>
        <w:t>十一、</w:t>
      </w:r>
      <w:bookmarkEnd w:id="108"/>
      <w:r>
        <w:rPr>
          <w:rFonts w:hint="eastAsia" w:ascii="仿宋" w:hAnsi="仿宋" w:eastAsia="仿宋"/>
          <w:b w:val="0"/>
        </w:rPr>
        <w:t>国</w:t>
      </w:r>
      <w:r>
        <w:rPr>
          <w:rStyle w:val="31"/>
          <w:rFonts w:hint="eastAsia" w:ascii="仿宋" w:hAnsi="仿宋" w:eastAsia="仿宋"/>
          <w:b w:val="0"/>
          <w:bCs w:val="0"/>
        </w:rPr>
        <w:t>有资本经营预算财政拨款收入支出决算表</w:t>
      </w:r>
      <w:bookmarkEnd w:id="109"/>
    </w:p>
    <w:p>
      <w:pPr>
        <w:pStyle w:val="4"/>
        <w:rPr>
          <w:rFonts w:ascii="仿宋" w:hAnsi="仿宋" w:eastAsia="仿宋"/>
        </w:rPr>
      </w:pPr>
      <w:bookmarkStart w:id="110" w:name="_Toc15396630"/>
      <w:bookmarkStart w:id="111" w:name="_Toc7312"/>
      <w:r>
        <w:rPr>
          <w:rStyle w:val="31"/>
          <w:rFonts w:hint="eastAsia" w:ascii="仿宋" w:hAnsi="仿宋" w:eastAsia="仿宋"/>
          <w:b w:val="0"/>
          <w:bCs w:val="0"/>
        </w:rPr>
        <w:t>十二、</w:t>
      </w:r>
      <w:bookmarkEnd w:id="110"/>
      <w:r>
        <w:rPr>
          <w:rStyle w:val="31"/>
          <w:rFonts w:hint="eastAsia" w:ascii="仿宋" w:hAnsi="仿宋" w:eastAsia="仿宋"/>
          <w:b w:val="0"/>
          <w:bCs w:val="0"/>
        </w:rPr>
        <w:t>国有资本经营预算财政拨款支出决算表</w:t>
      </w:r>
      <w:bookmarkEnd w:id="111"/>
    </w:p>
    <w:p>
      <w:pPr>
        <w:pStyle w:val="4"/>
        <w:rPr>
          <w:rFonts w:eastAsia="仿宋"/>
        </w:rPr>
      </w:pPr>
      <w:bookmarkStart w:id="112" w:name="_Toc15396631"/>
      <w:bookmarkStart w:id="113" w:name="_Toc2745"/>
      <w:r>
        <w:rPr>
          <w:rStyle w:val="31"/>
          <w:rFonts w:hint="eastAsia" w:ascii="仿宋" w:hAnsi="仿宋" w:eastAsia="仿宋"/>
          <w:b w:val="0"/>
          <w:bCs w:val="0"/>
        </w:rPr>
        <w:t>十三、</w:t>
      </w:r>
      <w:bookmarkEnd w:id="112"/>
      <w:r>
        <w:rPr>
          <w:rStyle w:val="31"/>
          <w:rFonts w:hint="eastAsia" w:ascii="仿宋" w:hAnsi="仿宋" w:eastAsia="仿宋"/>
          <w:b w:val="0"/>
          <w:bCs w:val="0"/>
        </w:rPr>
        <w:t>财政拨款“三公”经费支出决算表</w:t>
      </w:r>
      <w:bookmarkEnd w:id="113"/>
    </w:p>
    <w:sectPr>
      <w:footerReference r:id="rId13" w:type="first"/>
      <w:footerReference r:id="rId12"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4102" o:spid="_x0000_s4102"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11"/>
                </w:pPr>
                <w:r>
                  <w:fldChar w:fldCharType="begin"/>
                </w:r>
                <w:r>
                  <w:instrText xml:space="preserve"> PAGE  \* MERGEFORMAT </w:instrText>
                </w:r>
                <w:r>
                  <w:fldChar w:fldCharType="separate"/>
                </w:r>
                <w:r>
                  <w:t>21</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4100" o:spid="_x0000_s4100"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1"/>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11</w:t>
                </w:r>
                <w:r>
                  <w:rPr>
                    <w:rFonts w:hint="eastAsia" w:ascii="宋体" w:hAnsi="宋体" w:cs="宋体"/>
                    <w:sz w:val="28"/>
                    <w:szCs w:val="28"/>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4099" o:spid="_x0000_s4099"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1"/>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DEBEF323"/>
    <w:multiLevelType w:val="singleLevel"/>
    <w:tmpl w:val="DEBEF323"/>
    <w:lvl w:ilvl="0" w:tentative="0">
      <w:start w:val="4"/>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FFF674BC"/>
    <w:multiLevelType w:val="singleLevel"/>
    <w:tmpl w:val="FFF674BC"/>
    <w:lvl w:ilvl="0" w:tentative="0">
      <w:start w:val="1"/>
      <w:numFmt w:val="chineseCounting"/>
      <w:suff w:val="nothing"/>
      <w:lvlText w:val="%1、"/>
      <w:lvlJc w:val="left"/>
      <w:rPr>
        <w:rFonts w:hint="eastAsia"/>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6482D8CB"/>
    <w:multiLevelType w:val="singleLevel"/>
    <w:tmpl w:val="6482D8CB"/>
    <w:lvl w:ilvl="0" w:tentative="0">
      <w:start w:val="1"/>
      <w:numFmt w:val="chineseCounting"/>
      <w:suff w:val="nothing"/>
      <w:lvlText w:val="%1、"/>
      <w:lvlJc w:val="left"/>
    </w:lvl>
  </w:abstractNum>
  <w:abstractNum w:abstractNumId="6">
    <w:nsid w:val="6482DA8C"/>
    <w:multiLevelType w:val="singleLevel"/>
    <w:tmpl w:val="6482DA8C"/>
    <w:lvl w:ilvl="0" w:tentative="0">
      <w:start w:val="3"/>
      <w:numFmt w:val="decimal"/>
      <w:suff w:val="nothing"/>
      <w:lvlText w:val="%1．"/>
      <w:lvlJc w:val="left"/>
    </w:lvl>
  </w:abstractNum>
  <w:abstractNum w:abstractNumId="7">
    <w:nsid w:val="6482E0DE"/>
    <w:multiLevelType w:val="singleLevel"/>
    <w:tmpl w:val="6482E0DE"/>
    <w:lvl w:ilvl="0" w:tentative="0">
      <w:start w:val="2"/>
      <w:numFmt w:val="decimal"/>
      <w:suff w:val="nothing"/>
      <w:lvlText w:val="%1．"/>
      <w:lvlJc w:val="left"/>
    </w:lvl>
  </w:abstractNum>
  <w:abstractNum w:abstractNumId="8">
    <w:nsid w:val="6482E233"/>
    <w:multiLevelType w:val="singleLevel"/>
    <w:tmpl w:val="6482E233"/>
    <w:lvl w:ilvl="0" w:tentative="0">
      <w:start w:val="1"/>
      <w:numFmt w:val="chineseCounting"/>
      <w:suff w:val="nothing"/>
      <w:lvlText w:val="（%1）"/>
      <w:lvlJc w:val="left"/>
    </w:lvl>
  </w:abstractNum>
  <w:abstractNum w:abstractNumId="9">
    <w:nsid w:val="6615780D"/>
    <w:multiLevelType w:val="multilevel"/>
    <w:tmpl w:val="6615780D"/>
    <w:lvl w:ilvl="0" w:tentative="0">
      <w:start w:val="1"/>
      <w:numFmt w:val="japaneseCounting"/>
      <w:lvlText w:val="（%1）"/>
      <w:lvlJc w:val="left"/>
      <w:pPr>
        <w:ind w:left="1648" w:hanging="1005"/>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4"/>
  </w:num>
  <w:num w:numId="2">
    <w:abstractNumId w:val="0"/>
  </w:num>
  <w:num w:numId="3">
    <w:abstractNumId w:val="2"/>
  </w:num>
  <w:num w:numId="4">
    <w:abstractNumId w:val="3"/>
  </w:num>
  <w:num w:numId="5">
    <w:abstractNumId w:val="9"/>
  </w:num>
  <w:num w:numId="6">
    <w:abstractNumId w:val="1"/>
  </w:num>
  <w:num w:numId="7">
    <w:abstractNumId w:val="5"/>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1CAF"/>
    <w:rsid w:val="000222C6"/>
    <w:rsid w:val="0002549F"/>
    <w:rsid w:val="000468DB"/>
    <w:rsid w:val="0006134A"/>
    <w:rsid w:val="0006487A"/>
    <w:rsid w:val="00065F8F"/>
    <w:rsid w:val="00070A43"/>
    <w:rsid w:val="000768F2"/>
    <w:rsid w:val="0007734B"/>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2320"/>
    <w:rsid w:val="00104672"/>
    <w:rsid w:val="00114E9B"/>
    <w:rsid w:val="00136D0C"/>
    <w:rsid w:val="00142216"/>
    <w:rsid w:val="00144D6A"/>
    <w:rsid w:val="0014729F"/>
    <w:rsid w:val="00157BAB"/>
    <w:rsid w:val="001654D1"/>
    <w:rsid w:val="00174518"/>
    <w:rsid w:val="0018106D"/>
    <w:rsid w:val="001877A7"/>
    <w:rsid w:val="00191536"/>
    <w:rsid w:val="00196687"/>
    <w:rsid w:val="001B20AB"/>
    <w:rsid w:val="001B6023"/>
    <w:rsid w:val="001C0962"/>
    <w:rsid w:val="001C40F4"/>
    <w:rsid w:val="001D7531"/>
    <w:rsid w:val="001E2FF1"/>
    <w:rsid w:val="001E5B67"/>
    <w:rsid w:val="001E737D"/>
    <w:rsid w:val="001F0592"/>
    <w:rsid w:val="001F7506"/>
    <w:rsid w:val="002006CD"/>
    <w:rsid w:val="00202B36"/>
    <w:rsid w:val="00204B7A"/>
    <w:rsid w:val="00204CDE"/>
    <w:rsid w:val="0021101A"/>
    <w:rsid w:val="00217081"/>
    <w:rsid w:val="00220536"/>
    <w:rsid w:val="00235629"/>
    <w:rsid w:val="00247B82"/>
    <w:rsid w:val="00260C38"/>
    <w:rsid w:val="002616C0"/>
    <w:rsid w:val="00265372"/>
    <w:rsid w:val="002662AA"/>
    <w:rsid w:val="00280496"/>
    <w:rsid w:val="00294DC9"/>
    <w:rsid w:val="00295495"/>
    <w:rsid w:val="002A31DE"/>
    <w:rsid w:val="002B2613"/>
    <w:rsid w:val="002B33F2"/>
    <w:rsid w:val="002B496F"/>
    <w:rsid w:val="002B6A3C"/>
    <w:rsid w:val="002C6562"/>
    <w:rsid w:val="002D6D05"/>
    <w:rsid w:val="002F1818"/>
    <w:rsid w:val="002F567B"/>
    <w:rsid w:val="003069F9"/>
    <w:rsid w:val="00316302"/>
    <w:rsid w:val="003216A9"/>
    <w:rsid w:val="00335A74"/>
    <w:rsid w:val="0036561B"/>
    <w:rsid w:val="0037013F"/>
    <w:rsid w:val="00373795"/>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46E63"/>
    <w:rsid w:val="00467094"/>
    <w:rsid w:val="00471401"/>
    <w:rsid w:val="00473F31"/>
    <w:rsid w:val="0048263A"/>
    <w:rsid w:val="00487E5D"/>
    <w:rsid w:val="00495957"/>
    <w:rsid w:val="004A38A5"/>
    <w:rsid w:val="004A711F"/>
    <w:rsid w:val="004B199D"/>
    <w:rsid w:val="004B4690"/>
    <w:rsid w:val="004D1000"/>
    <w:rsid w:val="004D5C4F"/>
    <w:rsid w:val="004E0A2D"/>
    <w:rsid w:val="004E206B"/>
    <w:rsid w:val="004E6DF7"/>
    <w:rsid w:val="004F0FBD"/>
    <w:rsid w:val="00505A47"/>
    <w:rsid w:val="00510802"/>
    <w:rsid w:val="00512FDA"/>
    <w:rsid w:val="00520DA0"/>
    <w:rsid w:val="005430D6"/>
    <w:rsid w:val="005664BB"/>
    <w:rsid w:val="00566FFA"/>
    <w:rsid w:val="0057481D"/>
    <w:rsid w:val="0058486E"/>
    <w:rsid w:val="00585B33"/>
    <w:rsid w:val="0059014D"/>
    <w:rsid w:val="005B5C64"/>
    <w:rsid w:val="005B67C6"/>
    <w:rsid w:val="005C5337"/>
    <w:rsid w:val="005C6BD0"/>
    <w:rsid w:val="005D1C8B"/>
    <w:rsid w:val="005D468D"/>
    <w:rsid w:val="005D5CED"/>
    <w:rsid w:val="005D7D8C"/>
    <w:rsid w:val="005F1A4C"/>
    <w:rsid w:val="00605688"/>
    <w:rsid w:val="006070AF"/>
    <w:rsid w:val="00607477"/>
    <w:rsid w:val="00607E6C"/>
    <w:rsid w:val="006101B1"/>
    <w:rsid w:val="00611DF2"/>
    <w:rsid w:val="00614E44"/>
    <w:rsid w:val="0062270A"/>
    <w:rsid w:val="00622830"/>
    <w:rsid w:val="00623DA0"/>
    <w:rsid w:val="00630AEF"/>
    <w:rsid w:val="006325F8"/>
    <w:rsid w:val="00633463"/>
    <w:rsid w:val="00634C9A"/>
    <w:rsid w:val="006440E4"/>
    <w:rsid w:val="00651BFC"/>
    <w:rsid w:val="0066343B"/>
    <w:rsid w:val="00664777"/>
    <w:rsid w:val="00667B73"/>
    <w:rsid w:val="0067280B"/>
    <w:rsid w:val="006748A4"/>
    <w:rsid w:val="00681A31"/>
    <w:rsid w:val="00683E73"/>
    <w:rsid w:val="006A3141"/>
    <w:rsid w:val="006A5E34"/>
    <w:rsid w:val="006B2422"/>
    <w:rsid w:val="006B2B9A"/>
    <w:rsid w:val="006C1937"/>
    <w:rsid w:val="006D4520"/>
    <w:rsid w:val="006F020C"/>
    <w:rsid w:val="007127B7"/>
    <w:rsid w:val="0071798E"/>
    <w:rsid w:val="007416B6"/>
    <w:rsid w:val="007458FF"/>
    <w:rsid w:val="00746F48"/>
    <w:rsid w:val="0075404D"/>
    <w:rsid w:val="0076182A"/>
    <w:rsid w:val="00767B7E"/>
    <w:rsid w:val="007770C3"/>
    <w:rsid w:val="00784D24"/>
    <w:rsid w:val="00785FBA"/>
    <w:rsid w:val="007863DF"/>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2730C"/>
    <w:rsid w:val="0083706E"/>
    <w:rsid w:val="008408F6"/>
    <w:rsid w:val="008423A5"/>
    <w:rsid w:val="00850398"/>
    <w:rsid w:val="00850625"/>
    <w:rsid w:val="00853718"/>
    <w:rsid w:val="00855221"/>
    <w:rsid w:val="008569D9"/>
    <w:rsid w:val="00860645"/>
    <w:rsid w:val="00871F71"/>
    <w:rsid w:val="00872FD8"/>
    <w:rsid w:val="00885AF4"/>
    <w:rsid w:val="008939CD"/>
    <w:rsid w:val="008A5094"/>
    <w:rsid w:val="008B768C"/>
    <w:rsid w:val="008C4DB1"/>
    <w:rsid w:val="008C4EAF"/>
    <w:rsid w:val="008C5176"/>
    <w:rsid w:val="008C7FD0"/>
    <w:rsid w:val="008D6100"/>
    <w:rsid w:val="008E1DE7"/>
    <w:rsid w:val="008E4546"/>
    <w:rsid w:val="008E707C"/>
    <w:rsid w:val="008F0FFC"/>
    <w:rsid w:val="00900B08"/>
    <w:rsid w:val="00902155"/>
    <w:rsid w:val="009027E2"/>
    <w:rsid w:val="00902FA3"/>
    <w:rsid w:val="0091531C"/>
    <w:rsid w:val="00923564"/>
    <w:rsid w:val="0092392E"/>
    <w:rsid w:val="009315F9"/>
    <w:rsid w:val="00933499"/>
    <w:rsid w:val="00935C98"/>
    <w:rsid w:val="00943DCE"/>
    <w:rsid w:val="00946945"/>
    <w:rsid w:val="00951248"/>
    <w:rsid w:val="0095152F"/>
    <w:rsid w:val="00954C49"/>
    <w:rsid w:val="00955E37"/>
    <w:rsid w:val="009647D5"/>
    <w:rsid w:val="0097099F"/>
    <w:rsid w:val="00971997"/>
    <w:rsid w:val="00971FFC"/>
    <w:rsid w:val="00973D06"/>
    <w:rsid w:val="0098660A"/>
    <w:rsid w:val="009931C3"/>
    <w:rsid w:val="009B2C43"/>
    <w:rsid w:val="009B4EAE"/>
    <w:rsid w:val="009B7573"/>
    <w:rsid w:val="009C22F4"/>
    <w:rsid w:val="009C2A4B"/>
    <w:rsid w:val="009C2E98"/>
    <w:rsid w:val="009C4CA2"/>
    <w:rsid w:val="009D3447"/>
    <w:rsid w:val="009D4711"/>
    <w:rsid w:val="009E166B"/>
    <w:rsid w:val="009E4DB6"/>
    <w:rsid w:val="009F1185"/>
    <w:rsid w:val="009F18CD"/>
    <w:rsid w:val="009F2A13"/>
    <w:rsid w:val="009F5540"/>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86BC7"/>
    <w:rsid w:val="00A91760"/>
    <w:rsid w:val="00A93B00"/>
    <w:rsid w:val="00A93C21"/>
    <w:rsid w:val="00AB64C9"/>
    <w:rsid w:val="00AC3C6A"/>
    <w:rsid w:val="00AD5620"/>
    <w:rsid w:val="00AD656B"/>
    <w:rsid w:val="00AD7C1B"/>
    <w:rsid w:val="00AE16BA"/>
    <w:rsid w:val="00AE1EBE"/>
    <w:rsid w:val="00AF0A50"/>
    <w:rsid w:val="00B03C9D"/>
    <w:rsid w:val="00B060AE"/>
    <w:rsid w:val="00B10517"/>
    <w:rsid w:val="00B1360D"/>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A27C0"/>
    <w:rsid w:val="00BB4DF0"/>
    <w:rsid w:val="00BC289F"/>
    <w:rsid w:val="00BC2D50"/>
    <w:rsid w:val="00BC5361"/>
    <w:rsid w:val="00BC5460"/>
    <w:rsid w:val="00BC6B50"/>
    <w:rsid w:val="00BD0E25"/>
    <w:rsid w:val="00BF18F6"/>
    <w:rsid w:val="00BF5BD6"/>
    <w:rsid w:val="00C03E31"/>
    <w:rsid w:val="00C33E72"/>
    <w:rsid w:val="00C354B2"/>
    <w:rsid w:val="00C35554"/>
    <w:rsid w:val="00C42709"/>
    <w:rsid w:val="00C42732"/>
    <w:rsid w:val="00C533CC"/>
    <w:rsid w:val="00C57292"/>
    <w:rsid w:val="00C5751C"/>
    <w:rsid w:val="00C61BFC"/>
    <w:rsid w:val="00C62B85"/>
    <w:rsid w:val="00C65438"/>
    <w:rsid w:val="00C65EA1"/>
    <w:rsid w:val="00C7726C"/>
    <w:rsid w:val="00C87FD8"/>
    <w:rsid w:val="00C91381"/>
    <w:rsid w:val="00C91CBB"/>
    <w:rsid w:val="00C923F0"/>
    <w:rsid w:val="00CB4E70"/>
    <w:rsid w:val="00CC09B6"/>
    <w:rsid w:val="00CC666F"/>
    <w:rsid w:val="00CC6BAC"/>
    <w:rsid w:val="00CD0183"/>
    <w:rsid w:val="00CD1E3F"/>
    <w:rsid w:val="00CE44F6"/>
    <w:rsid w:val="00CE49DA"/>
    <w:rsid w:val="00CE7B61"/>
    <w:rsid w:val="00D00095"/>
    <w:rsid w:val="00D10B8F"/>
    <w:rsid w:val="00D114F0"/>
    <w:rsid w:val="00D20620"/>
    <w:rsid w:val="00D254F7"/>
    <w:rsid w:val="00D26091"/>
    <w:rsid w:val="00D2685C"/>
    <w:rsid w:val="00D34E7C"/>
    <w:rsid w:val="00D34F17"/>
    <w:rsid w:val="00D35489"/>
    <w:rsid w:val="00D36AFE"/>
    <w:rsid w:val="00D4486D"/>
    <w:rsid w:val="00D51276"/>
    <w:rsid w:val="00D7035F"/>
    <w:rsid w:val="00D902A7"/>
    <w:rsid w:val="00DA634F"/>
    <w:rsid w:val="00DA65AC"/>
    <w:rsid w:val="00DB1913"/>
    <w:rsid w:val="00DC410D"/>
    <w:rsid w:val="00DC4B63"/>
    <w:rsid w:val="00DC5A81"/>
    <w:rsid w:val="00DC68CA"/>
    <w:rsid w:val="00DC7CBA"/>
    <w:rsid w:val="00DD73B7"/>
    <w:rsid w:val="00DF06E2"/>
    <w:rsid w:val="00DF28BC"/>
    <w:rsid w:val="00DF34B9"/>
    <w:rsid w:val="00E01053"/>
    <w:rsid w:val="00E07ACF"/>
    <w:rsid w:val="00E211A5"/>
    <w:rsid w:val="00E22135"/>
    <w:rsid w:val="00E250B3"/>
    <w:rsid w:val="00E331A1"/>
    <w:rsid w:val="00E33202"/>
    <w:rsid w:val="00E336A9"/>
    <w:rsid w:val="00E33774"/>
    <w:rsid w:val="00E467CB"/>
    <w:rsid w:val="00E472B1"/>
    <w:rsid w:val="00E50624"/>
    <w:rsid w:val="00E5285B"/>
    <w:rsid w:val="00E568DF"/>
    <w:rsid w:val="00E64269"/>
    <w:rsid w:val="00E76708"/>
    <w:rsid w:val="00E82267"/>
    <w:rsid w:val="00E853CE"/>
    <w:rsid w:val="00E867B6"/>
    <w:rsid w:val="00EA010F"/>
    <w:rsid w:val="00EC7765"/>
    <w:rsid w:val="00ED1B63"/>
    <w:rsid w:val="00ED3C1F"/>
    <w:rsid w:val="00ED4085"/>
    <w:rsid w:val="00ED420E"/>
    <w:rsid w:val="00ED4487"/>
    <w:rsid w:val="00ED6FBE"/>
    <w:rsid w:val="00EE2F57"/>
    <w:rsid w:val="00EF39C0"/>
    <w:rsid w:val="00EF4C34"/>
    <w:rsid w:val="00EF77C6"/>
    <w:rsid w:val="00F05438"/>
    <w:rsid w:val="00F11038"/>
    <w:rsid w:val="00F1361C"/>
    <w:rsid w:val="00F156F0"/>
    <w:rsid w:val="00F160C7"/>
    <w:rsid w:val="00F2408F"/>
    <w:rsid w:val="00F240E9"/>
    <w:rsid w:val="00F36D8F"/>
    <w:rsid w:val="00F37E3B"/>
    <w:rsid w:val="00F417B1"/>
    <w:rsid w:val="00F45853"/>
    <w:rsid w:val="00F602DF"/>
    <w:rsid w:val="00F7541A"/>
    <w:rsid w:val="00F754A1"/>
    <w:rsid w:val="00F81FD9"/>
    <w:rsid w:val="00F841AA"/>
    <w:rsid w:val="00F84A94"/>
    <w:rsid w:val="00F84B2C"/>
    <w:rsid w:val="00F87E96"/>
    <w:rsid w:val="00FA23E8"/>
    <w:rsid w:val="00FD3CC1"/>
    <w:rsid w:val="00FE266B"/>
    <w:rsid w:val="00FF1E02"/>
    <w:rsid w:val="00FF30B4"/>
    <w:rsid w:val="015975B8"/>
    <w:rsid w:val="02143E91"/>
    <w:rsid w:val="066E0107"/>
    <w:rsid w:val="07996F6E"/>
    <w:rsid w:val="07F324A4"/>
    <w:rsid w:val="0A2032A3"/>
    <w:rsid w:val="0F98263C"/>
    <w:rsid w:val="101860EC"/>
    <w:rsid w:val="10C055FF"/>
    <w:rsid w:val="118107EC"/>
    <w:rsid w:val="13D50BC4"/>
    <w:rsid w:val="16BB723D"/>
    <w:rsid w:val="1BE8440E"/>
    <w:rsid w:val="1D155CEE"/>
    <w:rsid w:val="1FF35744"/>
    <w:rsid w:val="23860B96"/>
    <w:rsid w:val="240371BF"/>
    <w:rsid w:val="29FD04D3"/>
    <w:rsid w:val="2C8A61B5"/>
    <w:rsid w:val="2DF04E50"/>
    <w:rsid w:val="2F040D46"/>
    <w:rsid w:val="319F7F4E"/>
    <w:rsid w:val="3304709D"/>
    <w:rsid w:val="36AA5135"/>
    <w:rsid w:val="376D39B2"/>
    <w:rsid w:val="37E16F03"/>
    <w:rsid w:val="38D469F0"/>
    <w:rsid w:val="3B04457C"/>
    <w:rsid w:val="3D98207C"/>
    <w:rsid w:val="3E78745D"/>
    <w:rsid w:val="430C0D33"/>
    <w:rsid w:val="44E268DA"/>
    <w:rsid w:val="4A627F82"/>
    <w:rsid w:val="4B0E749A"/>
    <w:rsid w:val="4B4F25DA"/>
    <w:rsid w:val="4BE068DB"/>
    <w:rsid w:val="4D577224"/>
    <w:rsid w:val="4EAB630A"/>
    <w:rsid w:val="4ECE2238"/>
    <w:rsid w:val="537E6D0A"/>
    <w:rsid w:val="5AF92295"/>
    <w:rsid w:val="5CD71FC4"/>
    <w:rsid w:val="6C4A05C8"/>
    <w:rsid w:val="6E7E3605"/>
    <w:rsid w:val="6FF5CC65"/>
    <w:rsid w:val="715C0E4B"/>
    <w:rsid w:val="72734D90"/>
    <w:rsid w:val="73AD73D5"/>
    <w:rsid w:val="73B6EB34"/>
    <w:rsid w:val="744731E5"/>
    <w:rsid w:val="76E3355F"/>
    <w:rsid w:val="778769C8"/>
    <w:rsid w:val="78EDA50C"/>
    <w:rsid w:val="79EE5BA4"/>
    <w:rsid w:val="7A894339"/>
    <w:rsid w:val="7EEF11D3"/>
    <w:rsid w:val="7FA30C79"/>
    <w:rsid w:val="7FB7269E"/>
    <w:rsid w:val="7FC96657"/>
    <w:rsid w:val="D8D6DB89"/>
    <w:rsid w:val="DB6F4CAB"/>
    <w:rsid w:val="DF6F978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99"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4"/>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7"/>
    <w:qFormat/>
    <w:uiPriority w:val="99"/>
    <w:pPr>
      <w:spacing w:beforeLines="30"/>
    </w:pPr>
    <w:rPr>
      <w:rFonts w:ascii="仿宋_GB2312" w:eastAsia="仿宋_GB2312"/>
      <w:kern w:val="0"/>
      <w:sz w:val="30"/>
    </w:rPr>
  </w:style>
  <w:style w:type="paragraph" w:styleId="6">
    <w:name w:val="Document Map"/>
    <w:basedOn w:val="1"/>
    <w:link w:val="52"/>
    <w:qFormat/>
    <w:uiPriority w:val="0"/>
    <w:rPr>
      <w:rFonts w:ascii="宋体"/>
      <w:sz w:val="18"/>
      <w:szCs w:val="18"/>
    </w:rPr>
  </w:style>
  <w:style w:type="paragraph" w:styleId="7">
    <w:name w:val="Body Text Indent"/>
    <w:basedOn w:val="1"/>
    <w:qFormat/>
    <w:uiPriority w:val="0"/>
    <w:pPr>
      <w:spacing w:after="120"/>
      <w:ind w:left="200" w:leftChars="200"/>
    </w:pPr>
    <w:rPr>
      <w:rFonts w:ascii="仿宋_GB2312"/>
      <w:szCs w:val="32"/>
    </w:rPr>
  </w:style>
  <w:style w:type="paragraph" w:styleId="8">
    <w:name w:val="toc 3"/>
    <w:basedOn w:val="1"/>
    <w:next w:val="1"/>
    <w:unhideWhenUsed/>
    <w:qFormat/>
    <w:uiPriority w:val="39"/>
    <w:pPr>
      <w:tabs>
        <w:tab w:val="right" w:leader="dot" w:pos="8296"/>
      </w:tabs>
      <w:ind w:left="840" w:leftChars="400"/>
    </w:pPr>
  </w:style>
  <w:style w:type="paragraph" w:styleId="9">
    <w:name w:val="Plain Text"/>
    <w:basedOn w:val="1"/>
    <w:link w:val="53"/>
    <w:qFormat/>
    <w:uiPriority w:val="0"/>
    <w:rPr>
      <w:rFonts w:ascii="宋体" w:hAnsi="Courier New"/>
    </w:rPr>
  </w:style>
  <w:style w:type="paragraph" w:styleId="10">
    <w:name w:val="Balloon Text"/>
    <w:basedOn w:val="1"/>
    <w:link w:val="33"/>
    <w:semiHidden/>
    <w:unhideWhenUsed/>
    <w:qFormat/>
    <w:uiPriority w:val="99"/>
    <w:rPr>
      <w:sz w:val="18"/>
      <w:szCs w:val="18"/>
    </w:rPr>
  </w:style>
  <w:style w:type="paragraph" w:styleId="11">
    <w:name w:val="footer"/>
    <w:basedOn w:val="1"/>
    <w:link w:val="25"/>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oc 2"/>
    <w:basedOn w:val="1"/>
    <w:next w:val="1"/>
    <w:unhideWhenUsed/>
    <w:qFormat/>
    <w:uiPriority w:val="39"/>
    <w:pPr>
      <w:tabs>
        <w:tab w:val="right" w:leader="dot" w:pos="8296"/>
      </w:tabs>
      <w:ind w:left="420" w:leftChars="200"/>
    </w:pPr>
  </w:style>
  <w:style w:type="paragraph" w:styleId="15">
    <w:name w:val="Body Text First Indent 2"/>
    <w:basedOn w:val="7"/>
    <w:unhideWhenUsed/>
    <w:qFormat/>
    <w:uiPriority w:val="99"/>
    <w:pPr>
      <w:ind w:firstLine="420" w:firstLineChars="200"/>
    </w:pPr>
  </w:style>
  <w:style w:type="character" w:styleId="18">
    <w:name w:val="Strong"/>
    <w:basedOn w:val="17"/>
    <w:qFormat/>
    <w:uiPriority w:val="99"/>
    <w:rPr>
      <w:b/>
    </w:rPr>
  </w:style>
  <w:style w:type="character" w:styleId="19">
    <w:name w:val="FollowedHyperlink"/>
    <w:basedOn w:val="17"/>
    <w:semiHidden/>
    <w:unhideWhenUsed/>
    <w:qFormat/>
    <w:uiPriority w:val="99"/>
    <w:rPr>
      <w:color w:val="954F72"/>
      <w:u w:val="single"/>
    </w:rPr>
  </w:style>
  <w:style w:type="character" w:styleId="20">
    <w:name w:val="Hyperlink"/>
    <w:basedOn w:val="17"/>
    <w:unhideWhenUsed/>
    <w:qFormat/>
    <w:uiPriority w:val="99"/>
    <w:rPr>
      <w:color w:val="0000FF" w:themeColor="hyperlink"/>
      <w:u w:val="single"/>
    </w:rPr>
  </w:style>
  <w:style w:type="paragraph" w:customStyle="1" w:styleId="21">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2">
    <w:name w:val="Header Char"/>
    <w:basedOn w:val="17"/>
    <w:semiHidden/>
    <w:qFormat/>
    <w:uiPriority w:val="99"/>
    <w:rPr>
      <w:rFonts w:ascii="Times New Roman" w:hAnsi="Times New Roman"/>
      <w:sz w:val="18"/>
      <w:szCs w:val="18"/>
    </w:rPr>
  </w:style>
  <w:style w:type="character" w:customStyle="1" w:styleId="23">
    <w:name w:val="页眉 Char"/>
    <w:link w:val="12"/>
    <w:semiHidden/>
    <w:qFormat/>
    <w:locked/>
    <w:uiPriority w:val="99"/>
    <w:rPr>
      <w:sz w:val="18"/>
    </w:rPr>
  </w:style>
  <w:style w:type="character" w:customStyle="1" w:styleId="24">
    <w:name w:val="Footer Char"/>
    <w:basedOn w:val="17"/>
    <w:semiHidden/>
    <w:qFormat/>
    <w:uiPriority w:val="99"/>
    <w:rPr>
      <w:rFonts w:ascii="Times New Roman" w:hAnsi="Times New Roman"/>
      <w:sz w:val="18"/>
      <w:szCs w:val="18"/>
    </w:rPr>
  </w:style>
  <w:style w:type="character" w:customStyle="1" w:styleId="25">
    <w:name w:val="页脚 Char"/>
    <w:link w:val="11"/>
    <w:qFormat/>
    <w:locked/>
    <w:uiPriority w:val="99"/>
    <w:rPr>
      <w:sz w:val="18"/>
    </w:rPr>
  </w:style>
  <w:style w:type="character" w:customStyle="1" w:styleId="26">
    <w:name w:val="Body Text Char"/>
    <w:basedOn w:val="17"/>
    <w:semiHidden/>
    <w:qFormat/>
    <w:uiPriority w:val="99"/>
    <w:rPr>
      <w:rFonts w:ascii="Times New Roman" w:hAnsi="Times New Roman"/>
      <w:szCs w:val="24"/>
    </w:rPr>
  </w:style>
  <w:style w:type="character" w:customStyle="1" w:styleId="27">
    <w:name w:val="正文文本 Char"/>
    <w:link w:val="2"/>
    <w:qFormat/>
    <w:locked/>
    <w:uiPriority w:val="99"/>
    <w:rPr>
      <w:rFonts w:ascii="仿宋_GB2312" w:hAnsi="Times New Roman" w:eastAsia="仿宋_GB2312"/>
      <w:sz w:val="24"/>
    </w:rPr>
  </w:style>
  <w:style w:type="paragraph" w:customStyle="1" w:styleId="28">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9">
    <w:name w:val="List Paragraph"/>
    <w:basedOn w:val="1"/>
    <w:qFormat/>
    <w:uiPriority w:val="34"/>
    <w:pPr>
      <w:ind w:firstLine="420" w:firstLineChars="200"/>
    </w:pPr>
  </w:style>
  <w:style w:type="character" w:customStyle="1" w:styleId="30">
    <w:name w:val="标题 1 Char"/>
    <w:basedOn w:val="17"/>
    <w:link w:val="3"/>
    <w:qFormat/>
    <w:uiPriority w:val="9"/>
    <w:rPr>
      <w:rFonts w:ascii="Times New Roman" w:hAnsi="Times New Roman"/>
      <w:b/>
      <w:bCs/>
      <w:kern w:val="44"/>
      <w:sz w:val="44"/>
      <w:szCs w:val="44"/>
    </w:rPr>
  </w:style>
  <w:style w:type="character" w:customStyle="1" w:styleId="31">
    <w:name w:val="标题 2 Char"/>
    <w:basedOn w:val="17"/>
    <w:link w:val="4"/>
    <w:qFormat/>
    <w:uiPriority w:val="9"/>
    <w:rPr>
      <w:rFonts w:asciiTheme="majorHAnsi" w:hAnsiTheme="majorHAnsi" w:eastAsiaTheme="majorEastAsia" w:cstheme="majorBidi"/>
      <w:b/>
      <w:bCs/>
      <w:kern w:val="2"/>
      <w:sz w:val="32"/>
      <w:szCs w:val="32"/>
    </w:rPr>
  </w:style>
  <w:style w:type="paragraph" w:customStyle="1" w:styleId="32">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3">
    <w:name w:val="批注框文本 Char"/>
    <w:basedOn w:val="17"/>
    <w:link w:val="10"/>
    <w:semiHidden/>
    <w:qFormat/>
    <w:uiPriority w:val="99"/>
    <w:rPr>
      <w:rFonts w:ascii="Times New Roman" w:hAnsi="Times New Roman"/>
      <w:kern w:val="2"/>
      <w:sz w:val="18"/>
      <w:szCs w:val="18"/>
    </w:rPr>
  </w:style>
  <w:style w:type="character" w:customStyle="1" w:styleId="34">
    <w:name w:val="标题 3 Char"/>
    <w:basedOn w:val="17"/>
    <w:link w:val="5"/>
    <w:qFormat/>
    <w:uiPriority w:val="9"/>
    <w:rPr>
      <w:rFonts w:ascii="Times New Roman" w:hAnsi="Times New Roman"/>
      <w:b/>
      <w:bCs/>
      <w:kern w:val="2"/>
      <w:sz w:val="32"/>
      <w:szCs w:val="32"/>
    </w:rPr>
  </w:style>
  <w:style w:type="paragraph" w:customStyle="1" w:styleId="35">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6">
    <w:name w:val="四号正文"/>
    <w:basedOn w:val="1"/>
    <w:qFormat/>
    <w:uiPriority w:val="0"/>
    <w:pPr>
      <w:spacing w:line="360" w:lineRule="auto"/>
    </w:pPr>
    <w:rPr>
      <w:rFonts w:ascii="??" w:hAnsi="??"/>
      <w:color w:val="000000"/>
      <w:kern w:val="0"/>
      <w:sz w:val="28"/>
      <w:szCs w:val="21"/>
      <w:lang w:val="zh-CN"/>
    </w:rPr>
  </w:style>
  <w:style w:type="paragraph" w:customStyle="1" w:styleId="37">
    <w:name w:val="TOC 标题3"/>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paragraph" w:customStyle="1" w:styleId="38">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40">
    <w:name w:val="xl6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color w:val="000000"/>
      <w:kern w:val="0"/>
      <w:sz w:val="18"/>
      <w:szCs w:val="18"/>
    </w:rPr>
  </w:style>
  <w:style w:type="paragraph" w:customStyle="1" w:styleId="41">
    <w:name w:val="xl64"/>
    <w:basedOn w:val="1"/>
    <w:qFormat/>
    <w:uiPriority w:val="0"/>
    <w:pPr>
      <w:widowControl/>
      <w:spacing w:before="100" w:beforeAutospacing="1" w:after="100" w:afterAutospacing="1"/>
      <w:jc w:val="left"/>
    </w:pPr>
    <w:rPr>
      <w:rFonts w:ascii="Courier New" w:hAnsi="Courier New" w:cs="Courier New"/>
      <w:color w:val="000000"/>
      <w:kern w:val="0"/>
      <w:sz w:val="18"/>
      <w:szCs w:val="18"/>
    </w:rPr>
  </w:style>
  <w:style w:type="paragraph" w:customStyle="1" w:styleId="42">
    <w:name w:val="xl6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8"/>
      <w:szCs w:val="18"/>
    </w:rPr>
  </w:style>
  <w:style w:type="paragraph" w:customStyle="1" w:styleId="43">
    <w:name w:val="xl6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8"/>
      <w:szCs w:val="18"/>
    </w:rPr>
  </w:style>
  <w:style w:type="paragraph" w:customStyle="1" w:styleId="44">
    <w:name w:val="xl6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8"/>
      <w:szCs w:val="18"/>
    </w:rPr>
  </w:style>
  <w:style w:type="paragraph" w:customStyle="1" w:styleId="45">
    <w:name w:val="xl6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微软雅黑" w:hAnsi="微软雅黑" w:eastAsia="微软雅黑" w:cs="宋体"/>
      <w:i/>
      <w:iCs/>
      <w:color w:val="000000"/>
      <w:kern w:val="0"/>
      <w:sz w:val="16"/>
      <w:szCs w:val="16"/>
    </w:rPr>
  </w:style>
  <w:style w:type="paragraph" w:customStyle="1" w:styleId="46">
    <w:name w:val="xl6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7">
    <w:name w:val="xl7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黑体" w:hAnsi="黑体" w:eastAsia="黑体" w:cs="宋体"/>
      <w:b/>
      <w:bCs/>
      <w:color w:val="000000"/>
      <w:kern w:val="0"/>
      <w:sz w:val="30"/>
      <w:szCs w:val="30"/>
    </w:rPr>
  </w:style>
  <w:style w:type="paragraph" w:customStyle="1" w:styleId="48">
    <w:name w:val="xl7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Courier New" w:hAnsi="Courier New" w:cs="Courier New"/>
      <w:color w:val="000000"/>
      <w:kern w:val="0"/>
      <w:sz w:val="18"/>
      <w:szCs w:val="18"/>
    </w:rPr>
  </w:style>
  <w:style w:type="paragraph" w:customStyle="1" w:styleId="49">
    <w:name w:val="xl7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Courier New" w:hAnsi="Courier New" w:cs="Courier New"/>
      <w:color w:val="000000"/>
      <w:kern w:val="0"/>
      <w:sz w:val="18"/>
      <w:szCs w:val="18"/>
    </w:rPr>
  </w:style>
  <w:style w:type="paragraph" w:customStyle="1" w:styleId="50">
    <w:name w:val="xl7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Courier New" w:hAnsi="Courier New" w:cs="Courier New"/>
      <w:i/>
      <w:iCs/>
      <w:color w:val="000000"/>
      <w:kern w:val="0"/>
      <w:sz w:val="18"/>
      <w:szCs w:val="18"/>
    </w:rPr>
  </w:style>
  <w:style w:type="paragraph" w:customStyle="1" w:styleId="51">
    <w:name w:val="xl7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i/>
      <w:iCs/>
      <w:color w:val="000000"/>
      <w:kern w:val="0"/>
      <w:sz w:val="16"/>
      <w:szCs w:val="16"/>
    </w:rPr>
  </w:style>
  <w:style w:type="character" w:customStyle="1" w:styleId="52">
    <w:name w:val="文档结构图 Char"/>
    <w:basedOn w:val="17"/>
    <w:link w:val="6"/>
    <w:qFormat/>
    <w:uiPriority w:val="0"/>
    <w:rPr>
      <w:rFonts w:ascii="宋体" w:hAnsi="Times New Roman" w:eastAsia="宋体" w:cs="Times New Roman"/>
      <w:kern w:val="2"/>
      <w:sz w:val="18"/>
      <w:szCs w:val="18"/>
    </w:rPr>
  </w:style>
  <w:style w:type="character" w:customStyle="1" w:styleId="53">
    <w:name w:val="纯文本 Char"/>
    <w:basedOn w:val="17"/>
    <w:link w:val="9"/>
    <w:qFormat/>
    <w:uiPriority w:val="0"/>
    <w:rPr>
      <w:rFonts w:ascii="宋体" w:hAnsi="Courier New" w:eastAsia="宋体" w:cs="Times New Roman"/>
      <w:kern w:val="2"/>
      <w:sz w:val="21"/>
      <w:szCs w:val="24"/>
    </w:rPr>
  </w:style>
  <w:style w:type="character" w:customStyle="1" w:styleId="54">
    <w:name w:val="font11"/>
    <w:basedOn w:val="17"/>
    <w:qFormat/>
    <w:uiPriority w:val="0"/>
    <w:rPr>
      <w:rFonts w:hint="default" w:ascii="Times New Roman" w:hAnsi="Times New Roman" w:cs="Times New Roman"/>
      <w:color w:val="000000"/>
      <w:sz w:val="36"/>
      <w:szCs w:val="36"/>
      <w:u w:val="none"/>
    </w:rPr>
  </w:style>
  <w:style w:type="character" w:customStyle="1" w:styleId="55">
    <w:name w:val="font21"/>
    <w:basedOn w:val="17"/>
    <w:qFormat/>
    <w:uiPriority w:val="0"/>
    <w:rPr>
      <w:rFonts w:ascii="方正小标宋_GBK" w:hAnsi="方正小标宋_GBK" w:eastAsia="方正小标宋_GBK" w:cs="方正小标宋_GBK"/>
      <w:color w:val="000000"/>
      <w:sz w:val="36"/>
      <w:szCs w:val="36"/>
      <w:u w:val="none"/>
    </w:rPr>
  </w:style>
  <w:style w:type="character" w:customStyle="1" w:styleId="56">
    <w:name w:val="font81"/>
    <w:basedOn w:val="17"/>
    <w:qFormat/>
    <w:uiPriority w:val="0"/>
    <w:rPr>
      <w:rFonts w:ascii="方正仿宋_GBK" w:hAnsi="方正仿宋_GBK" w:eastAsia="方正仿宋_GBK" w:cs="方正仿宋_GBK"/>
      <w:b/>
      <w:color w:val="000000"/>
      <w:sz w:val="22"/>
      <w:szCs w:val="22"/>
      <w:u w:val="none"/>
    </w:rPr>
  </w:style>
  <w:style w:type="character" w:customStyle="1" w:styleId="57">
    <w:name w:val="font61"/>
    <w:basedOn w:val="17"/>
    <w:qFormat/>
    <w:uiPriority w:val="0"/>
    <w:rPr>
      <w:rFonts w:hint="default" w:ascii="方正仿宋_GBK" w:hAnsi="方正仿宋_GBK" w:eastAsia="方正仿宋_GBK" w:cs="方正仿宋_GBK"/>
      <w:color w:val="000000"/>
      <w:sz w:val="22"/>
      <w:szCs w:val="22"/>
      <w:u w:val="none"/>
    </w:rPr>
  </w:style>
  <w:style w:type="character" w:customStyle="1" w:styleId="58">
    <w:name w:val="font51"/>
    <w:basedOn w:val="17"/>
    <w:qFormat/>
    <w:uiPriority w:val="0"/>
    <w:rPr>
      <w:rFonts w:hint="default" w:ascii="Times New Roman" w:hAnsi="Times New Roman" w:cs="Times New Roman"/>
      <w:color w:val="000000"/>
      <w:sz w:val="22"/>
      <w:szCs w:val="22"/>
      <w:u w:val="none"/>
    </w:rPr>
  </w:style>
  <w:style w:type="character" w:customStyle="1" w:styleId="59">
    <w:name w:val="font31"/>
    <w:basedOn w:val="17"/>
    <w:qFormat/>
    <w:uiPriority w:val="0"/>
    <w:rPr>
      <w:rFonts w:ascii="方正黑体_GBK" w:hAnsi="方正黑体_GBK" w:eastAsia="方正黑体_GBK" w:cs="方正黑体_GBK"/>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6.png"/><Relationship Id="rId20" Type="http://schemas.openxmlformats.org/officeDocument/2006/relationships/image" Target="media/image5.png"/><Relationship Id="rId2" Type="http://schemas.openxmlformats.org/officeDocument/2006/relationships/settings" Target="settings.xml"/><Relationship Id="rId19" Type="http://schemas.openxmlformats.org/officeDocument/2006/relationships/image" Target="media/image4.png"/><Relationship Id="rId18" Type="http://schemas.openxmlformats.org/officeDocument/2006/relationships/image" Target="media/image3.png"/><Relationship Id="rId17" Type="http://schemas.openxmlformats.org/officeDocument/2006/relationships/image" Target="media/image2.png"/><Relationship Id="rId16" Type="http://schemas.openxmlformats.org/officeDocument/2006/relationships/chart" Target="charts/chart1.xm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收入总计</c:v>
                </c:pt>
              </c:strCache>
            </c:strRef>
          </c:tx>
          <c:explosion val="0"/>
          <c:dPt>
            <c:idx val="0"/>
            <c:bubble3D val="0"/>
          </c:dPt>
          <c:dPt>
            <c:idx val="1"/>
            <c:bubble3D val="0"/>
          </c:dPt>
          <c:dPt>
            <c:idx val="2"/>
            <c:bubble3D val="0"/>
          </c:dPt>
          <c:dPt>
            <c:idx val="3"/>
            <c:bubble3D val="0"/>
          </c:dPt>
          <c:dLbls>
            <c:delete val="1"/>
          </c:dLbls>
          <c:cat>
            <c:strRef>
              <c:f>Sheet1!$A$2:$A$5</c:f>
              <c:strCache>
                <c:ptCount val="4"/>
                <c:pt idx="0">
                  <c:v>一般公共预算财政拨款收入</c:v>
                </c:pt>
                <c:pt idx="1">
                  <c:v>政府性基金预算财政拨款收入</c:v>
                </c:pt>
                <c:pt idx="2">
                  <c:v>国有资本经营预算财政拨款收入</c:v>
                </c:pt>
                <c:pt idx="3">
                  <c:v>其他收入</c:v>
                </c:pt>
              </c:strCache>
            </c:strRef>
          </c:cat>
          <c:val>
            <c:numRef>
              <c:f>Sheet1!$B$2:$B$5</c:f>
              <c:numCache>
                <c:formatCode>General</c:formatCode>
                <c:ptCount val="4"/>
                <c:pt idx="0">
                  <c:v>3306</c:v>
                </c:pt>
                <c:pt idx="1">
                  <c:v>0</c:v>
                </c:pt>
                <c:pt idx="2">
                  <c:v>0</c:v>
                </c:pt>
                <c:pt idx="3">
                  <c:v>0</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102"/>
    <customShpInfo spid="_x0000_s4100"/>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35</Pages>
  <Words>2394</Words>
  <Characters>13652</Characters>
  <Lines>113</Lines>
  <Paragraphs>32</Paragraphs>
  <TotalTime>16</TotalTime>
  <ScaleCrop>false</ScaleCrop>
  <LinksUpToDate>false</LinksUpToDate>
  <CharactersWithSpaces>16014</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2023-08-31T16:49:00Z</dcterms:created>
  <dc:creator>曹颖</dc:creator>
  <cp:lastModifiedBy>宋琪麟</cp:lastModifiedBy>
  <cp:lastPrinted>2023-07-31T10:35:00Z</cp:lastPrinted>
  <dcterms:modified xsi:type="dcterms:W3CDTF">2023-09-18T08:39:35Z</dcterms:modified>
  <dc:title>四川省***</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004451ECAE6D4342997EA359B403D78A</vt:lpwstr>
  </property>
</Properties>
</file>