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77425"/>
      <w:bookmarkStart w:id="3" w:name="_Toc15396597"/>
      <w:bookmarkStart w:id="4" w:name="_Toc15377193"/>
      <w:bookmarkStart w:id="5" w:name="_Toc1539647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96598"/>
      <w:bookmarkStart w:id="8" w:name="_Toc15377194"/>
      <w:bookmarkStart w:id="9" w:name="_Toc15377426"/>
      <w:bookmarkStart w:id="10" w:name="_Toc15396476"/>
      <w:r>
        <w:rPr>
          <w:rFonts w:hint="eastAsia" w:ascii="方正小标宋简体" w:hAnsi="方正小标宋简体" w:eastAsia="方正小标宋简体" w:cs="方正小标宋简体"/>
          <w:sz w:val="72"/>
          <w:szCs w:val="72"/>
        </w:rPr>
        <w:t>攀枝花市</w:t>
      </w:r>
      <w:bookmarkEnd w:id="0"/>
      <w:bookmarkStart w:id="11" w:name="_Toc15306268"/>
      <w:r>
        <w:rPr>
          <w:rFonts w:hint="eastAsia" w:ascii="方正小标宋简体" w:hAnsi="方正小标宋简体" w:eastAsia="方正小标宋简体" w:cs="方正小标宋简体"/>
          <w:sz w:val="72"/>
          <w:szCs w:val="72"/>
        </w:rPr>
        <w:t>人事考试中心</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jc w:val="center"/>
      </w:pPr>
      <w:r>
        <w:rPr>
          <w:rFonts w:hint="eastAsia"/>
        </w:rPr>
        <w:t>公开时间：2023年9月</w:t>
      </w:r>
      <w:r>
        <w:t>1</w:t>
      </w:r>
      <w:r>
        <w:rPr>
          <w:rFonts w:hint="eastAsia"/>
          <w:lang w:val="en-US" w:eastAsia="zh-CN"/>
        </w:rPr>
        <w:t>5</w:t>
      </w:r>
      <w:bookmarkStart w:id="67" w:name="_GoBack"/>
      <w:bookmarkEnd w:id="67"/>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Pr>
          <w:rFonts w:cstheme="minorBidi"/>
          <w:sz w:val="24"/>
          <w:szCs w:val="24"/>
        </w:rPr>
        <w:tab/>
      </w:r>
      <w:r>
        <w:rPr>
          <w:rFonts w:hint="eastAsia" w:cstheme="minorBidi"/>
          <w:sz w:val="24"/>
          <w:szCs w:val="24"/>
        </w:rPr>
        <w:t>4</w:t>
      </w:r>
    </w:p>
    <w:p>
      <w:pPr>
        <w:pStyle w:val="11"/>
        <w:adjustRightInd w:val="0"/>
        <w:snapToGrid w:val="0"/>
        <w:spacing w:line="440" w:lineRule="exact"/>
        <w:jc w:val="left"/>
      </w:pPr>
      <w:r>
        <w:rPr>
          <w:rFonts w:hint="eastAsia"/>
          <w:sz w:val="24"/>
        </w:rPr>
        <w:t>一、主要职责</w:t>
      </w:r>
      <w:r>
        <w:rPr>
          <w:rFonts w:cstheme="minorBidi"/>
          <w:sz w:val="24"/>
        </w:rPr>
        <w:tab/>
      </w:r>
      <w:r>
        <w:rPr>
          <w:rFonts w:hint="eastAsia" w:cstheme="minorBidi"/>
          <w:sz w:val="24"/>
        </w:rPr>
        <w:t>4</w:t>
      </w:r>
    </w:p>
    <w:p>
      <w:pPr>
        <w:pStyle w:val="11"/>
        <w:adjustRightInd w:val="0"/>
        <w:snapToGrid w:val="0"/>
        <w:spacing w:line="440" w:lineRule="exact"/>
        <w:jc w:val="left"/>
      </w:pPr>
      <w:r>
        <w:rPr>
          <w:rFonts w:hint="eastAsia"/>
          <w:sz w:val="24"/>
        </w:rPr>
        <w:t>二、机构设置</w:t>
      </w:r>
      <w:r>
        <w:rPr>
          <w:rFonts w:cstheme="minorBidi"/>
          <w:sz w:val="24"/>
        </w:rPr>
        <w:tab/>
      </w:r>
      <w:r>
        <w:rPr>
          <w:rFonts w:hint="eastAsia" w:cstheme="minorBidi"/>
          <w:sz w:val="24"/>
        </w:rPr>
        <w:t>4</w:t>
      </w:r>
    </w:p>
    <w:p>
      <w:pPr>
        <w:pStyle w:val="11"/>
        <w:adjustRightInd w:val="0"/>
        <w:snapToGrid w:val="0"/>
        <w:spacing w:line="440" w:lineRule="exact"/>
        <w:ind w:left="0" w:leftChars="0"/>
        <w:jc w:val="left"/>
        <w:rPr>
          <w:sz w:val="24"/>
        </w:rPr>
      </w:pPr>
      <w:r>
        <w:rPr>
          <w:rFonts w:hint="eastAsia" w:ascii="仿宋" w:hAnsi="仿宋" w:eastAsia="仿宋"/>
          <w:sz w:val="24"/>
          <w:szCs w:val="28"/>
        </w:rPr>
        <w:t>第二部分 2022年度单位决算情况说明</w:t>
      </w:r>
      <w:r>
        <w:rPr>
          <w:rFonts w:cstheme="minorBidi"/>
          <w:sz w:val="24"/>
        </w:rPr>
        <w:tab/>
      </w:r>
      <w:r>
        <w:rPr>
          <w:rFonts w:hint="eastAsia" w:cstheme="minorBidi"/>
          <w:sz w:val="24"/>
        </w:rPr>
        <w:t>5</w:t>
      </w:r>
    </w:p>
    <w:p>
      <w:pPr>
        <w:pStyle w:val="11"/>
        <w:adjustRightInd w:val="0"/>
        <w:snapToGrid w:val="0"/>
        <w:spacing w:line="440" w:lineRule="exact"/>
        <w:jc w:val="left"/>
        <w:rPr>
          <w:rFonts w:ascii="仿宋" w:hAnsi="仿宋" w:cstheme="minorBidi"/>
          <w:sz w:val="24"/>
        </w:rPr>
      </w:pPr>
      <w:r>
        <w:rPr>
          <w:rFonts w:hint="eastAsia"/>
          <w:sz w:val="24"/>
        </w:rPr>
        <w:t>一、收入支出决算总体情况说明</w:t>
      </w:r>
      <w:r>
        <w:rPr>
          <w:rFonts w:cstheme="minorBidi"/>
          <w:sz w:val="24"/>
        </w:rPr>
        <w:tab/>
      </w:r>
      <w:r>
        <w:rPr>
          <w:rFonts w:hint="eastAsia" w:cstheme="minorBidi"/>
          <w:sz w:val="24"/>
        </w:rPr>
        <w:t>5</w:t>
      </w:r>
    </w:p>
    <w:p>
      <w:pPr>
        <w:pStyle w:val="11"/>
        <w:adjustRightInd w:val="0"/>
        <w:snapToGrid w:val="0"/>
        <w:spacing w:line="440" w:lineRule="exact"/>
        <w:jc w:val="left"/>
        <w:rPr>
          <w:rFonts w:ascii="仿宋" w:hAnsi="仿宋" w:cstheme="minorBidi"/>
          <w:sz w:val="24"/>
        </w:rPr>
      </w:pPr>
      <w:r>
        <w:rPr>
          <w:rFonts w:hint="eastAsia"/>
          <w:sz w:val="24"/>
        </w:rPr>
        <w:t>二、收入决算情况说明</w:t>
      </w:r>
      <w:r>
        <w:rPr>
          <w:rFonts w:cstheme="minorBidi"/>
          <w:sz w:val="24"/>
        </w:rPr>
        <w:tab/>
      </w:r>
      <w:r>
        <w:rPr>
          <w:rFonts w:hint="eastAsia" w:cstheme="minorBidi"/>
          <w:sz w:val="24"/>
        </w:rPr>
        <w:t>5</w:t>
      </w:r>
    </w:p>
    <w:p>
      <w:pPr>
        <w:pStyle w:val="11"/>
        <w:adjustRightInd w:val="0"/>
        <w:snapToGrid w:val="0"/>
        <w:spacing w:line="440" w:lineRule="exact"/>
        <w:jc w:val="left"/>
        <w:rPr>
          <w:rFonts w:ascii="仿宋" w:hAnsi="仿宋" w:cstheme="minorBidi"/>
          <w:sz w:val="24"/>
        </w:rPr>
      </w:pPr>
      <w:r>
        <w:rPr>
          <w:rFonts w:hint="eastAsia"/>
          <w:sz w:val="24"/>
        </w:rPr>
        <w:t>三、支出决算情况说明</w:t>
      </w:r>
      <w:r>
        <w:rPr>
          <w:rFonts w:cstheme="minorBidi"/>
          <w:sz w:val="24"/>
        </w:rPr>
        <w:tab/>
      </w:r>
      <w:r>
        <w:rPr>
          <w:rFonts w:hint="eastAsia" w:cstheme="minorBidi"/>
          <w:sz w:val="24"/>
        </w:rPr>
        <w:t>6</w:t>
      </w:r>
    </w:p>
    <w:p>
      <w:pPr>
        <w:pStyle w:val="11"/>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cstheme="minorBidi"/>
          <w:sz w:val="24"/>
        </w:rPr>
        <w:tab/>
      </w:r>
      <w:r>
        <w:rPr>
          <w:rFonts w:hint="eastAsia" w:cstheme="minorBidi"/>
          <w:sz w:val="24"/>
        </w:rPr>
        <w:t>7</w:t>
      </w:r>
    </w:p>
    <w:p>
      <w:pPr>
        <w:pStyle w:val="11"/>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cstheme="minorBidi"/>
          <w:sz w:val="24"/>
        </w:rPr>
        <w:tab/>
      </w:r>
      <w:r>
        <w:rPr>
          <w:rFonts w:hint="eastAsia" w:cstheme="minorBidi"/>
          <w:sz w:val="24"/>
        </w:rPr>
        <w:t>7</w:t>
      </w:r>
    </w:p>
    <w:p>
      <w:pPr>
        <w:pStyle w:val="11"/>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cstheme="minorBidi"/>
          <w:sz w:val="24"/>
        </w:rPr>
        <w:tab/>
      </w:r>
      <w:r>
        <w:rPr>
          <w:rFonts w:hint="eastAsia" w:cstheme="minorBidi"/>
          <w:sz w:val="24"/>
        </w:rPr>
        <w:t>10</w:t>
      </w:r>
    </w:p>
    <w:p>
      <w:pPr>
        <w:pStyle w:val="11"/>
        <w:adjustRightInd w:val="0"/>
        <w:snapToGrid w:val="0"/>
        <w:spacing w:line="440" w:lineRule="exact"/>
        <w:jc w:val="left"/>
        <w:rPr>
          <w:rFonts w:ascii="仿宋" w:hAnsi="仿宋" w:cstheme="minorBidi"/>
          <w:sz w:val="24"/>
        </w:rPr>
      </w:pPr>
      <w:r>
        <w:rPr>
          <w:rFonts w:hint="eastAsia"/>
          <w:sz w:val="24"/>
        </w:rPr>
        <w:t>七、财政拨款“三公”经费支出决算情况说明</w:t>
      </w:r>
      <w:r>
        <w:rPr>
          <w:rFonts w:cstheme="minorBidi"/>
          <w:sz w:val="24"/>
        </w:rPr>
        <w:tab/>
      </w:r>
      <w:r>
        <w:rPr>
          <w:rFonts w:hint="eastAsia" w:cstheme="minorBidi"/>
          <w:sz w:val="24"/>
        </w:rPr>
        <w:t>10</w:t>
      </w:r>
    </w:p>
    <w:p>
      <w:pPr>
        <w:pStyle w:val="11"/>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cstheme="minorBidi"/>
          <w:sz w:val="24"/>
        </w:rPr>
        <w:tab/>
      </w:r>
      <w:r>
        <w:rPr>
          <w:rFonts w:hint="eastAsia" w:cstheme="minorBidi"/>
          <w:sz w:val="24"/>
        </w:rPr>
        <w:t>12</w:t>
      </w:r>
    </w:p>
    <w:p>
      <w:pPr>
        <w:pStyle w:val="11"/>
        <w:adjustRightInd w:val="0"/>
        <w:snapToGrid w:val="0"/>
        <w:spacing w:line="440" w:lineRule="exact"/>
        <w:jc w:val="left"/>
        <w:rPr>
          <w:sz w:val="24"/>
        </w:rPr>
      </w:pPr>
      <w:r>
        <w:rPr>
          <w:rFonts w:hint="eastAsia"/>
          <w:sz w:val="24"/>
        </w:rPr>
        <w:t>九、国有资本经营预算支出决算情况说明</w:t>
      </w:r>
      <w:r>
        <w:rPr>
          <w:rFonts w:cstheme="minorBidi"/>
          <w:sz w:val="24"/>
        </w:rPr>
        <w:tab/>
      </w:r>
      <w:r>
        <w:rPr>
          <w:rFonts w:hint="eastAsia" w:cstheme="minorBidi"/>
          <w:sz w:val="24"/>
        </w:rPr>
        <w:t>12</w:t>
      </w:r>
    </w:p>
    <w:p>
      <w:pPr>
        <w:pStyle w:val="11"/>
        <w:adjustRightInd w:val="0"/>
        <w:snapToGrid w:val="0"/>
        <w:spacing w:line="440" w:lineRule="exact"/>
        <w:jc w:val="left"/>
        <w:rPr>
          <w:sz w:val="24"/>
        </w:rPr>
      </w:pPr>
      <w:r>
        <w:rPr>
          <w:rFonts w:hint="eastAsia"/>
          <w:sz w:val="24"/>
        </w:rPr>
        <w:t>十、其他重要事项的情况说明</w:t>
      </w:r>
      <w:r>
        <w:rPr>
          <w:rFonts w:cstheme="minorBidi"/>
          <w:sz w:val="24"/>
        </w:rPr>
        <w:tab/>
      </w:r>
      <w:r>
        <w:rPr>
          <w:rFonts w:hint="eastAsia" w:cstheme="minorBidi"/>
          <w:sz w:val="24"/>
        </w:rPr>
        <w:t>12</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cstheme="minorBidi"/>
          <w:sz w:val="24"/>
        </w:rPr>
        <w:tab/>
      </w:r>
      <w:r>
        <w:rPr>
          <w:rFonts w:hint="eastAsia" w:cstheme="minorBidi"/>
          <w:sz w:val="24"/>
        </w:rPr>
        <w:t>14</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rFonts w:cstheme="minorBidi"/>
          <w:sz w:val="24"/>
        </w:rPr>
        <w:tab/>
      </w:r>
      <w:r>
        <w:rPr>
          <w:rFonts w:hint="eastAsia" w:cstheme="minorBidi"/>
          <w:sz w:val="24"/>
        </w:rPr>
        <w:t>16</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一、收入支出决算总表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二、收入决算表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三、支出决算表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四、财政拨款收入支出决算总表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五、财政拨款支出决算明细表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六、一般公共预算财政拨款支出决算表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七、一般公共预算财政拨款支出决算明细表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八、一般公共预算财政拨款基本支出决算明细表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九、一般公共预算财政拨款项目支出决算表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十、政府性基金预算财政拨款收入支出决算表（此表无数据）</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十一、国有资本经营预算财政拨款收入支出决算表（此表无数据）</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十二、国有资本经营预算财政拨款支出决算表（此表无数据）</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十三、财政拨款“三公”经费支出决算表</w:t>
      </w:r>
      <w:r>
        <w:rPr>
          <w:rFonts w:cstheme="minorBidi"/>
          <w:sz w:val="24"/>
        </w:rPr>
        <w:tab/>
      </w:r>
      <w:r>
        <w:rPr>
          <w:rFonts w:hint="eastAsia" w:cstheme="minorBidi"/>
          <w:sz w:val="24"/>
        </w:rPr>
        <w:t>17</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5"/>
          <w:rFonts w:ascii="黑体" w:hAnsi="黑体" w:eastAsia="黑体"/>
          <w:b w:val="0"/>
          <w:bCs w:val="0"/>
        </w:rPr>
      </w:pPr>
      <w:bookmarkStart w:id="14" w:name="_Toc15377197"/>
      <w:bookmarkStart w:id="15" w:name="_Toc15396600"/>
      <w:r>
        <w:rPr>
          <w:rStyle w:val="25"/>
          <w:rFonts w:hint="eastAsia" w:ascii="黑体" w:hAnsi="黑体" w:eastAsia="黑体"/>
          <w:b w:val="0"/>
          <w:bCs w:val="0"/>
        </w:rPr>
        <w:t>主要职责</w:t>
      </w:r>
    </w:p>
    <w:p>
      <w:pPr>
        <w:ind w:firstLine="640" w:firstLineChars="200"/>
        <w:rPr>
          <w:rFonts w:hint="eastAsia" w:ascii="仿宋" w:hAnsi="仿宋" w:eastAsia="仿宋"/>
          <w:sz w:val="32"/>
          <w:szCs w:val="32"/>
        </w:rPr>
      </w:pPr>
      <w:r>
        <w:rPr>
          <w:rFonts w:hint="eastAsia" w:ascii="仿宋" w:hAnsi="仿宋" w:eastAsia="仿宋"/>
          <w:sz w:val="32"/>
          <w:szCs w:val="32"/>
        </w:rPr>
        <w:t>我单位主要承担我市由国家人社部、省人社厅和有关部（厅）委推行的各类职业（执业）资格考试、专业技术资格考试、公务员录用考试、社会化委托考试、企事业单位招聘考试和人才测评等工作。</w:t>
      </w:r>
    </w:p>
    <w:p>
      <w:pPr>
        <w:pStyle w:val="2"/>
        <w:spacing w:before="93"/>
      </w:pPr>
    </w:p>
    <w:p>
      <w:pPr>
        <w:pStyle w:val="4"/>
        <w:numPr>
          <w:ilvl w:val="0"/>
          <w:numId w:val="1"/>
        </w:numPr>
        <w:rPr>
          <w:rFonts w:ascii="黑体" w:hAnsi="黑体" w:eastAsia="黑体"/>
          <w:b w:val="0"/>
        </w:rPr>
      </w:pPr>
      <w:r>
        <w:rPr>
          <w:rFonts w:hint="eastAsia" w:ascii="黑体" w:hAnsi="黑体" w:eastAsia="黑体"/>
          <w:b w:val="0"/>
        </w:rPr>
        <w:t>机构设置</w:t>
      </w:r>
    </w:p>
    <w:p>
      <w:pPr>
        <w:ind w:firstLine="640" w:firstLineChars="200"/>
        <w:rPr>
          <w:rFonts w:eastAsia="仿宋"/>
        </w:rPr>
      </w:pPr>
      <w:r>
        <w:rPr>
          <w:rFonts w:hint="eastAsia" w:ascii="仿宋" w:hAnsi="仿宋" w:eastAsia="仿宋"/>
          <w:sz w:val="32"/>
          <w:szCs w:val="32"/>
        </w:rPr>
        <w:t>我单位为攀枝花市人力资源和社会保障局下属事业单位，单位内设综合部和考务部两个部门。</w:t>
      </w:r>
    </w:p>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16" w:name="_Toc15396602"/>
      <w:bookmarkStart w:id="17" w:name="_Toc15377204"/>
      <w:r>
        <w:rPr>
          <w:rFonts w:hint="eastAsia" w:ascii="黑体" w:hAnsi="黑体" w:eastAsia="黑体"/>
          <w:b w:val="0"/>
        </w:rPr>
        <w:t>第二部分 2022年度</w:t>
      </w:r>
      <w:r>
        <w:rPr>
          <w:rStyle w:val="24"/>
          <w:rFonts w:hint="eastAsia" w:ascii="黑体" w:hAnsi="黑体" w:eastAsia="黑体"/>
          <w:b w:val="0"/>
          <w:bCs/>
        </w:rPr>
        <w:t>单位决算情况说明</w:t>
      </w:r>
      <w:bookmarkEnd w:id="16"/>
      <w:bookmarkEnd w:id="17"/>
    </w:p>
    <w:p/>
    <w:p>
      <w:pPr>
        <w:pStyle w:val="23"/>
        <w:numPr>
          <w:ilvl w:val="0"/>
          <w:numId w:val="2"/>
        </w:numPr>
        <w:spacing w:line="600" w:lineRule="exact"/>
        <w:ind w:firstLineChars="0"/>
        <w:outlineLvl w:val="1"/>
        <w:rPr>
          <w:rStyle w:val="25"/>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2022年度收、支总计各638.97万元。与2021年相比，收、支总计各增加347.72万元，增长119.39</w:t>
      </w:r>
      <w:r>
        <w:rPr>
          <w:rFonts w:ascii="仿宋" w:hAnsi="仿宋" w:eastAsia="仿宋"/>
          <w:sz w:val="32"/>
          <w:szCs w:val="32"/>
        </w:rPr>
        <w:t>%</w:t>
      </w:r>
      <w:r>
        <w:rPr>
          <w:rFonts w:hint="eastAsia" w:ascii="仿宋" w:hAnsi="仿宋" w:eastAsia="仿宋"/>
          <w:sz w:val="32"/>
          <w:szCs w:val="32"/>
        </w:rPr>
        <w:t>。主要变动原因是2022年将纳入往来科目其他应付款的省厅核拨考点工作经费调整到非同级财政拨款收入，计入其他收入，在其他支出列支。</w:t>
      </w:r>
    </w:p>
    <w:p>
      <w:pPr>
        <w:pStyle w:val="2"/>
        <w:spacing w:before="93"/>
        <w:ind w:left="1113" w:leftChars="530" w:right="840" w:rightChars="400"/>
      </w:pPr>
      <w:r>
        <w:drawing>
          <wp:inline distT="0" distB="0" distL="114300" distR="114300">
            <wp:extent cx="3743325" cy="2690495"/>
            <wp:effectExtent l="4445" t="5080" r="5080" b="9525"/>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mc:AlternateContent>
          <mc:Choice Requires="wps">
            <w:drawing>
              <wp:anchor distT="0" distB="0" distL="114300" distR="114300" simplePos="0" relativeHeight="251659264" behindDoc="0" locked="0" layoutInCell="1" allowOverlap="1">
                <wp:simplePos x="0" y="0"/>
                <wp:positionH relativeFrom="column">
                  <wp:posOffset>3578225</wp:posOffset>
                </wp:positionH>
                <wp:positionV relativeFrom="paragraph">
                  <wp:posOffset>107315</wp:posOffset>
                </wp:positionV>
                <wp:extent cx="848995" cy="278130"/>
                <wp:effectExtent l="12700" t="12700" r="14605" b="13970"/>
                <wp:wrapNone/>
                <wp:docPr id="1" name="文本框 1"/>
                <wp:cNvGraphicFramePr/>
                <a:graphic xmlns:a="http://schemas.openxmlformats.org/drawingml/2006/main">
                  <a:graphicData uri="http://schemas.microsoft.com/office/word/2010/wordprocessingShape">
                    <wps:wsp>
                      <wps:cNvSpPr txBox="1"/>
                      <wps:spPr>
                        <a:xfrm>
                          <a:off x="2998470" y="3573145"/>
                          <a:ext cx="848995" cy="278130"/>
                        </a:xfrm>
                        <a:prstGeom prst="rect">
                          <a:avLst/>
                        </a:prstGeom>
                      </wps:spPr>
                      <wps:style>
                        <a:lnRef idx="2">
                          <a:schemeClr val="accent1"/>
                        </a:lnRef>
                        <a:fillRef idx="1">
                          <a:schemeClr val="lt1"/>
                        </a:fillRef>
                        <a:effectRef idx="0">
                          <a:schemeClr val="accent1"/>
                        </a:effectRef>
                        <a:fontRef idx="minor">
                          <a:schemeClr val="dk1"/>
                        </a:fontRef>
                      </wps:style>
                      <wps:txbx>
                        <w:txbxContent>
                          <w:p>
                            <w:r>
                              <w:rPr>
                                <w:rFonts w:hint="eastAsia"/>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1.75pt;margin-top:8.45pt;height:21.9pt;width:66.85pt;z-index:251659264;mso-width-relative:page;mso-height-relative:page;" fillcolor="#FFFFFF [3201]" filled="t" stroked="t" coordsize="21600,21600" o:gfxdata="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cW5wT2gAAAAkBAAAPAAAAAAAAAAEAIAAAACIAAABkcnMvZG93bnJldi54&#10;bWxQSwECFAAUAAAACACHTuJANwDpRWoCAACwBAAADgAAAAAAAAABACAAAAApAQAAZHJzL2Uyb0Rv&#10;Yy54bWxQSwUGAAAAAAYABgBZAQAABQYAAAAA&#10;">
                <v:fill on="t" focussize="0,0"/>
                <v:stroke weight="2pt" color="#4F81BD [3204]" joinstyle="round"/>
                <v:imagedata o:title=""/>
                <o:lock v:ext="edit" aspectratio="f"/>
                <v:textbox>
                  <w:txbxContent>
                    <w:p>
                      <w:r>
                        <w:rPr>
                          <w:rFonts w:hint="eastAsia"/>
                        </w:rPr>
                        <w:t>单位：万元</w:t>
                      </w:r>
                    </w:p>
                  </w:txbxContent>
                </v:textbox>
              </v:shape>
            </w:pict>
          </mc:Fallback>
        </mc:AlternateContent>
      </w:r>
    </w:p>
    <w:p>
      <w:pPr>
        <w:spacing w:line="600" w:lineRule="exact"/>
        <w:ind w:firstLine="1600" w:firstLineChars="5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600" w:lineRule="exact"/>
        <w:ind w:firstLine="640" w:firstLineChars="200"/>
        <w:jc w:val="left"/>
        <w:rPr>
          <w:rFonts w:ascii="仿宋_GB2312" w:eastAsia="仿宋_GB2312"/>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22年本年收入合计633.31万元，其中：一般公共预算财政拨款收入324.22万元，占51.19</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；其他收入309.09万元，占48.81</w:t>
      </w:r>
      <w:r>
        <w:rPr>
          <w:rFonts w:ascii="仿宋" w:hAnsi="仿宋" w:eastAsia="仿宋"/>
          <w:sz w:val="32"/>
          <w:szCs w:val="32"/>
        </w:rPr>
        <w:t>%</w:t>
      </w:r>
      <w:r>
        <w:rPr>
          <w:rFonts w:hint="eastAsia" w:ascii="仿宋" w:hAnsi="仿宋" w:eastAsia="仿宋"/>
          <w:sz w:val="32"/>
          <w:szCs w:val="32"/>
        </w:rPr>
        <w:t>。</w:t>
      </w:r>
    </w:p>
    <w:p>
      <w:pPr>
        <w:spacing w:line="600" w:lineRule="exact"/>
        <w:ind w:firstLine="2100" w:firstLineChars="700"/>
        <w:outlineLvl w:val="1"/>
        <w:rPr>
          <w:rFonts w:ascii="仿宋" w:hAnsi="仿宋" w:eastAsia="仿宋"/>
          <w:sz w:val="32"/>
          <w:szCs w:val="32"/>
        </w:rPr>
      </w:pPr>
      <w:r>
        <w:rPr>
          <w:sz w:val="30"/>
        </w:rPr>
        <mc:AlternateContent>
          <mc:Choice Requires="wps">
            <w:drawing>
              <wp:anchor distT="0" distB="0" distL="114300" distR="114300" simplePos="0" relativeHeight="251667456" behindDoc="0" locked="0" layoutInCell="1" allowOverlap="1">
                <wp:simplePos x="0" y="0"/>
                <wp:positionH relativeFrom="column">
                  <wp:posOffset>3381375</wp:posOffset>
                </wp:positionH>
                <wp:positionV relativeFrom="page">
                  <wp:posOffset>1861185</wp:posOffset>
                </wp:positionV>
                <wp:extent cx="841375" cy="278130"/>
                <wp:effectExtent l="12700" t="12700" r="22225" b="13970"/>
                <wp:wrapTopAndBottom/>
                <wp:docPr id="11" name="文本框 11"/>
                <wp:cNvGraphicFramePr/>
                <a:graphic xmlns:a="http://schemas.openxmlformats.org/drawingml/2006/main">
                  <a:graphicData uri="http://schemas.microsoft.com/office/word/2010/wordprocessingShape">
                    <wps:wsp>
                      <wps:cNvSpPr txBox="1"/>
                      <wps:spPr>
                        <a:xfrm>
                          <a:off x="0" y="0"/>
                          <a:ext cx="841375" cy="278130"/>
                        </a:xfrm>
                        <a:prstGeom prst="rect">
                          <a:avLst/>
                        </a:prstGeom>
                      </wps:spPr>
                      <wps:style>
                        <a:lnRef idx="2">
                          <a:schemeClr val="accent1"/>
                        </a:lnRef>
                        <a:fillRef idx="1">
                          <a:schemeClr val="lt1"/>
                        </a:fillRef>
                        <a:effectRef idx="0">
                          <a:schemeClr val="accent1"/>
                        </a:effectRef>
                        <a:fontRef idx="minor">
                          <a:schemeClr val="dk1"/>
                        </a:fontRef>
                      </wps:style>
                      <wps:txbx>
                        <w:txbxContent>
                          <w:p>
                            <w:r>
                              <w:rPr>
                                <w:rFonts w:hint="eastAsia"/>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25pt;margin-top:146.55pt;height:21.9pt;width:66.25pt;mso-position-vertical-relative:page;mso-wrap-distance-bottom:0pt;mso-wrap-distance-top:0pt;z-index:251667456;mso-width-relative:page;mso-height-relative:page;" fillcolor="#FFFFFF [3201]" filled="t" stroked="t" coordsize="21600,21600" o:gfxdata="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kcdp/cAAAACwEAAA8AAAAAAAAAAQAgAAAAIgAAAGRycy9kb3ducmV2LnhtbFBLAQIUABQA&#10;AAAIAIdO4kDuvAVwXgIAAKYEAAAOAAAAAAAAAAEAIAAAACsBAABkcnMvZTJvRG9jLnhtbFBLBQYA&#10;AAAABgAGAFkBAAD7BQAAAAA=&#10;">
                <v:fill on="t" focussize="0,0"/>
                <v:stroke weight="2pt" color="#4F81BD [3204]" joinstyle="round"/>
                <v:imagedata o:title=""/>
                <o:lock v:ext="edit" aspectratio="f"/>
                <v:textbox>
                  <w:txbxContent>
                    <w:p>
                      <w:r>
                        <w:rPr>
                          <w:rFonts w:hint="eastAsia"/>
                        </w:rPr>
                        <w:t>单位：万元</w:t>
                      </w:r>
                    </w:p>
                  </w:txbxContent>
                </v:textbox>
                <w10:wrap type="topAndBottom"/>
              </v:shape>
            </w:pict>
          </mc:Fallback>
        </mc:AlternateContent>
      </w:r>
      <w:r>
        <w:drawing>
          <wp:anchor distT="0" distB="0" distL="114300" distR="114300" simplePos="0" relativeHeight="251666432" behindDoc="0" locked="0" layoutInCell="1" allowOverlap="1">
            <wp:simplePos x="0" y="0"/>
            <wp:positionH relativeFrom="column">
              <wp:posOffset>497205</wp:posOffset>
            </wp:positionH>
            <wp:positionV relativeFrom="paragraph">
              <wp:posOffset>160020</wp:posOffset>
            </wp:positionV>
            <wp:extent cx="3752850" cy="2548255"/>
            <wp:effectExtent l="4445" t="4445" r="14605" b="19050"/>
            <wp:wrapTopAndBottom/>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sz w:val="32"/>
          <w:szCs w:val="32"/>
        </w:rPr>
        <w:t>（图2：收入决算结构图）</w:t>
      </w:r>
    </w:p>
    <w:p>
      <w:pPr>
        <w:spacing w:line="600" w:lineRule="exact"/>
        <w:ind w:firstLine="640" w:firstLineChars="200"/>
        <w:rPr>
          <w:rFonts w:ascii="仿宋_GB2312" w:eastAsia="仿宋_GB2312"/>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22年本年支出合计538.39万元，其中：基本支出215.74万元，占40.07</w:t>
      </w:r>
      <w:r>
        <w:rPr>
          <w:rFonts w:ascii="仿宋" w:hAnsi="仿宋" w:eastAsia="仿宋"/>
          <w:sz w:val="32"/>
          <w:szCs w:val="32"/>
        </w:rPr>
        <w:t>%</w:t>
      </w:r>
      <w:r>
        <w:rPr>
          <w:rFonts w:hint="eastAsia" w:ascii="仿宋" w:hAnsi="仿宋" w:eastAsia="仿宋"/>
          <w:sz w:val="32"/>
          <w:szCs w:val="32"/>
        </w:rPr>
        <w:t>；项目支出322.65万元，占59.93</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pStyle w:val="2"/>
        <w:spacing w:before="93"/>
      </w:pPr>
      <w:r>
        <mc:AlternateContent>
          <mc:Choice Requires="wps">
            <w:drawing>
              <wp:anchor distT="0" distB="0" distL="114300" distR="114300" simplePos="0" relativeHeight="251660288" behindDoc="0" locked="0" layoutInCell="1" allowOverlap="1">
                <wp:simplePos x="0" y="0"/>
                <wp:positionH relativeFrom="column">
                  <wp:posOffset>3443605</wp:posOffset>
                </wp:positionH>
                <wp:positionV relativeFrom="paragraph">
                  <wp:posOffset>224155</wp:posOffset>
                </wp:positionV>
                <wp:extent cx="839470" cy="299720"/>
                <wp:effectExtent l="12700" t="12700" r="24130" b="30480"/>
                <wp:wrapNone/>
                <wp:docPr id="15" name="矩形 15"/>
                <wp:cNvGraphicFramePr/>
                <a:graphic xmlns:a="http://schemas.openxmlformats.org/drawingml/2006/main">
                  <a:graphicData uri="http://schemas.microsoft.com/office/word/2010/wordprocessingShape">
                    <wps:wsp>
                      <wps:cNvSpPr/>
                      <wps:spPr>
                        <a:xfrm>
                          <a:off x="3411220" y="1192530"/>
                          <a:ext cx="839470" cy="299720"/>
                        </a:xfrm>
                        <a:prstGeom prst="rect">
                          <a:avLst/>
                        </a:prstGeom>
                        <a:ln>
                          <a:solidFill>
                            <a:schemeClr val="accent1"/>
                          </a:solidFill>
                        </a:ln>
                      </wps:spPr>
                      <wps:style>
                        <a:lnRef idx="2">
                          <a:schemeClr val="dk1"/>
                        </a:lnRef>
                        <a:fillRef idx="1">
                          <a:schemeClr val="lt1"/>
                        </a:fillRef>
                        <a:effectRef idx="0">
                          <a:schemeClr val="dk1"/>
                        </a:effectRef>
                        <a:fontRef idx="minor">
                          <a:schemeClr val="dk1"/>
                        </a:fontRef>
                      </wps:style>
                      <wps:txbx>
                        <w:txbxContent>
                          <w:p>
                            <w:r>
                              <w:rPr>
                                <w:rFonts w:hint="eastAsia"/>
                              </w:rPr>
                              <w:t>单位：万元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15pt;margin-top:17.65pt;height:23.6pt;width:66.1pt;z-index:251660288;v-text-anchor:middle;mso-width-relative:page;mso-height-relative:page;" fillcolor="#FFFFFF [3201]" filled="t" stroked="t" coordsize="21600,21600" o:gfxdata="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XD4+&#10;AtgAAAAJAQAADwAAAAAAAAABACAAAAAiAAAAZHJzL2Rvd25yZXYueG1sUEsBAhQAFAAAAAgAh07i&#10;QFlWeG5bAgAApwQAAA4AAAAAAAAAAQAgAAAAJwEAAGRycy9lMm9Eb2MueG1sUEsFBgAAAAAGAAYA&#10;WQEAAPQFAAAAAA==&#10;">
                <v:fill on="t" focussize="0,0"/>
                <v:stroke weight="2pt" color="#4F81BD [3204]" joinstyle="round"/>
                <v:imagedata o:title=""/>
                <o:lock v:ext="edit" aspectratio="f"/>
                <v:textbox>
                  <w:txbxContent>
                    <w:p>
                      <w:r>
                        <w:rPr>
                          <w:rFonts w:hint="eastAsia"/>
                        </w:rPr>
                        <w:t>单位：万元</w:t>
                      </w:r>
                    </w:p>
                  </w:txbxContent>
                </v:textbox>
              </v:rect>
            </w:pict>
          </mc:Fallback>
        </mc:AlternateContent>
      </w:r>
      <w:r>
        <w:rPr>
          <w:rFonts w:hint="eastAsia"/>
        </w:rPr>
        <w:t xml:space="preserve">        </w:t>
      </w:r>
      <w:r>
        <w:drawing>
          <wp:inline distT="0" distB="0" distL="114300" distR="114300">
            <wp:extent cx="3538855" cy="2307590"/>
            <wp:effectExtent l="95250" t="83185" r="99695" b="8572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2240" w:firstLineChars="700"/>
        <w:outlineLvl w:val="1"/>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5"/>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22年财政拨款收、支总计各329.88万元。与</w:t>
      </w:r>
      <w:r>
        <w:rPr>
          <w:rFonts w:ascii="仿宋" w:hAnsi="仿宋" w:eastAsia="仿宋"/>
          <w:sz w:val="32"/>
          <w:szCs w:val="32"/>
        </w:rPr>
        <w:t>20</w:t>
      </w:r>
      <w:r>
        <w:rPr>
          <w:rFonts w:hint="eastAsia" w:ascii="仿宋" w:hAnsi="仿宋" w:eastAsia="仿宋"/>
          <w:sz w:val="32"/>
          <w:szCs w:val="32"/>
        </w:rPr>
        <w:t>21年相比，财政拨款收、支总计各增加37.44万元，增长12.80</w:t>
      </w:r>
      <w:r>
        <w:rPr>
          <w:rFonts w:ascii="仿宋" w:hAnsi="仿宋" w:eastAsia="仿宋"/>
          <w:sz w:val="32"/>
          <w:szCs w:val="32"/>
        </w:rPr>
        <w:t>%</w:t>
      </w:r>
      <w:r>
        <w:rPr>
          <w:rFonts w:hint="eastAsia" w:ascii="仿宋" w:hAnsi="仿宋" w:eastAsia="仿宋"/>
          <w:sz w:val="32"/>
          <w:szCs w:val="32"/>
        </w:rPr>
        <w:t>。主要变动原因是住房保障支出及各类公招考试专项资金项目支出的增加。</w:t>
      </w:r>
    </w:p>
    <w:p>
      <w:pPr>
        <w:pStyle w:val="2"/>
        <w:spacing w:before="93"/>
      </w:pPr>
      <w:r>
        <mc:AlternateContent>
          <mc:Choice Requires="wps">
            <w:drawing>
              <wp:anchor distT="0" distB="0" distL="114300" distR="114300" simplePos="0" relativeHeight="251661312" behindDoc="0" locked="0" layoutInCell="1" allowOverlap="1">
                <wp:simplePos x="0" y="0"/>
                <wp:positionH relativeFrom="column">
                  <wp:posOffset>4112260</wp:posOffset>
                </wp:positionH>
                <wp:positionV relativeFrom="paragraph">
                  <wp:posOffset>149860</wp:posOffset>
                </wp:positionV>
                <wp:extent cx="839470" cy="299720"/>
                <wp:effectExtent l="12700" t="12700" r="24130" b="30480"/>
                <wp:wrapNone/>
                <wp:docPr id="3" name="矩形 3"/>
                <wp:cNvGraphicFramePr/>
                <a:graphic xmlns:a="http://schemas.openxmlformats.org/drawingml/2006/main">
                  <a:graphicData uri="http://schemas.microsoft.com/office/word/2010/wordprocessingShape">
                    <wps:wsp>
                      <wps:cNvSpPr/>
                      <wps:spPr>
                        <a:xfrm>
                          <a:off x="0" y="0"/>
                          <a:ext cx="839470" cy="299720"/>
                        </a:xfrm>
                        <a:prstGeom prst="rect">
                          <a:avLst/>
                        </a:prstGeom>
                        <a:ln>
                          <a:solidFill>
                            <a:schemeClr val="accent1"/>
                          </a:solidFill>
                        </a:ln>
                      </wps:spPr>
                      <wps:style>
                        <a:lnRef idx="2">
                          <a:schemeClr val="dk1"/>
                        </a:lnRef>
                        <a:fillRef idx="1">
                          <a:schemeClr val="lt1"/>
                        </a:fillRef>
                        <a:effectRef idx="0">
                          <a:schemeClr val="dk1"/>
                        </a:effectRef>
                        <a:fontRef idx="minor">
                          <a:schemeClr val="dk1"/>
                        </a:fontRef>
                      </wps:style>
                      <wps:txbx>
                        <w:txbxContent>
                          <w:p>
                            <w:r>
                              <w:rPr>
                                <w:rFonts w:hint="eastAsia"/>
                              </w:rPr>
                              <w:t>单位：万元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3.8pt;margin-top:11.8pt;height:23.6pt;width:66.1pt;z-index:251661312;v-text-anchor:middle;mso-width-relative:page;mso-height-relative:page;" fillcolor="#FFFFFF [3201]" filled="t" stroked="t" coordsize="21600,21600" o:gfxdata="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HLsYpdcAAAAJAQAADwAA&#10;AAAAAAABACAAAAAiAAAAZHJzL2Rvd25yZXYueG1sUEsBAhQAFAAAAAgAh07iQFW3hdtQAgAAmQQA&#10;AA4AAAAAAAAAAQAgAAAAJgEAAGRycy9lMm9Eb2MueG1sUEsFBgAAAAAGAAYAWQEAAOgFAAAAAA==&#10;">
                <v:fill on="t" focussize="0,0"/>
                <v:stroke weight="2pt" color="#4F81BD [3204]" joinstyle="round"/>
                <v:imagedata o:title=""/>
                <o:lock v:ext="edit" aspectratio="f"/>
                <v:textbox>
                  <w:txbxContent>
                    <w:p>
                      <w:r>
                        <w:rPr>
                          <w:rFonts w:hint="eastAsia"/>
                        </w:rPr>
                        <w:t>单位：万元</w:t>
                      </w:r>
                    </w:p>
                  </w:txbxContent>
                </v:textbox>
              </v:rect>
            </w:pict>
          </mc:Fallback>
        </mc:AlternateContent>
      </w:r>
      <w:r>
        <w:rPr>
          <w:rFonts w:hint="eastAsia"/>
        </w:rPr>
        <w:t xml:space="preserve">        </w:t>
      </w:r>
      <w:r>
        <w:drawing>
          <wp:inline distT="0" distB="0" distL="114300" distR="114300">
            <wp:extent cx="4200525" cy="2829560"/>
            <wp:effectExtent l="4445" t="4445" r="5080" b="23495"/>
            <wp:docPr id="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1600" w:firstLineChars="500"/>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spacing w:line="600" w:lineRule="exact"/>
        <w:ind w:firstLine="640" w:firstLineChars="200"/>
        <w:outlineLvl w:val="1"/>
        <w:rPr>
          <w:rStyle w:val="25"/>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22年一般公共预算财政拨款支出329.88万元，占本年支出合计的61.27</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21年相比，一般公共预算财政拨款支出增加38.63万元，增长13.26</w:t>
      </w:r>
      <w:r>
        <w:rPr>
          <w:rFonts w:ascii="仿宋" w:hAnsi="仿宋" w:eastAsia="仿宋"/>
          <w:sz w:val="32"/>
          <w:szCs w:val="32"/>
        </w:rPr>
        <w:t>%</w:t>
      </w:r>
      <w:r>
        <w:rPr>
          <w:rFonts w:hint="eastAsia" w:ascii="仿宋" w:hAnsi="仿宋" w:eastAsia="仿宋"/>
          <w:sz w:val="32"/>
          <w:szCs w:val="32"/>
        </w:rPr>
        <w:t>。主要变动原因是住房保障支出及各类公招考试专项资金项目支出的增加。</w:t>
      </w:r>
    </w:p>
    <w:p>
      <w:pPr>
        <w:spacing w:line="600" w:lineRule="exact"/>
        <w:ind w:firstLine="900" w:firstLineChars="300"/>
        <w:rPr>
          <w:rFonts w:ascii="仿宋" w:hAnsi="仿宋" w:eastAsia="仿宋"/>
          <w:sz w:val="32"/>
          <w:szCs w:val="32"/>
        </w:rPr>
      </w:pPr>
      <w:r>
        <w:rPr>
          <w:sz w:val="30"/>
        </w:rPr>
        <mc:AlternateContent>
          <mc:Choice Requires="wps">
            <w:drawing>
              <wp:anchor distT="0" distB="0" distL="114300" distR="114300" simplePos="0" relativeHeight="251663360" behindDoc="0" locked="0" layoutInCell="1" allowOverlap="1">
                <wp:simplePos x="0" y="0"/>
                <wp:positionH relativeFrom="column">
                  <wp:posOffset>4104640</wp:posOffset>
                </wp:positionH>
                <wp:positionV relativeFrom="paragraph">
                  <wp:posOffset>209550</wp:posOffset>
                </wp:positionV>
                <wp:extent cx="839470" cy="299720"/>
                <wp:effectExtent l="12700" t="12700" r="24130" b="30480"/>
                <wp:wrapNone/>
                <wp:docPr id="8" name="矩形 8"/>
                <wp:cNvGraphicFramePr/>
                <a:graphic xmlns:a="http://schemas.openxmlformats.org/drawingml/2006/main">
                  <a:graphicData uri="http://schemas.microsoft.com/office/word/2010/wordprocessingShape">
                    <wps:wsp>
                      <wps:cNvSpPr/>
                      <wps:spPr>
                        <a:xfrm>
                          <a:off x="0" y="0"/>
                          <a:ext cx="839470" cy="299720"/>
                        </a:xfrm>
                        <a:prstGeom prst="rect">
                          <a:avLst/>
                        </a:prstGeom>
                        <a:ln>
                          <a:solidFill>
                            <a:schemeClr val="accent1"/>
                          </a:solidFill>
                        </a:ln>
                      </wps:spPr>
                      <wps:style>
                        <a:lnRef idx="2">
                          <a:schemeClr val="dk1"/>
                        </a:lnRef>
                        <a:fillRef idx="1">
                          <a:schemeClr val="lt1"/>
                        </a:fillRef>
                        <a:effectRef idx="0">
                          <a:schemeClr val="dk1"/>
                        </a:effectRef>
                        <a:fontRef idx="minor">
                          <a:schemeClr val="dk1"/>
                        </a:fontRef>
                      </wps:style>
                      <wps:txbx>
                        <w:txbxContent>
                          <w:p>
                            <w:r>
                              <w:rPr>
                                <w:rFonts w:hint="eastAsia"/>
                              </w:rPr>
                              <w:t>单位：万元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3.2pt;margin-top:16.5pt;height:23.6pt;width:66.1pt;z-index:251663360;v-text-anchor:middle;mso-width-relative:page;mso-height-relative:page;" fillcolor="#FFFFFF [3201]" filled="t" stroked="t" coordsize="21600,21600" o:gfxdata="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gAv4WNcAAAAJAQAADwAA&#10;AAAAAAABACAAAAAiAAAAZHJzL2Rvd25yZXYueG1sUEsBAhQAFAAAAAgAh07iQOJ4hxtQAgAAmQQA&#10;AA4AAAAAAAAAAQAgAAAAJgEAAGRycy9lMm9Eb2MueG1sUEsFBgAAAAAGAAYAWQEAAOgFAAAAAA==&#10;">
                <v:fill on="t" focussize="0,0"/>
                <v:stroke weight="2pt" color="#4F81BD [3204]" joinstyle="round"/>
                <v:imagedata o:title=""/>
                <o:lock v:ext="edit" aspectratio="f"/>
                <v:textbox>
                  <w:txbxContent>
                    <w:p>
                      <w:r>
                        <w:rPr>
                          <w:rFonts w:hint="eastAsia"/>
                        </w:rPr>
                        <w:t>单位：万元</w:t>
                      </w:r>
                    </w:p>
                  </w:txbxContent>
                </v:textbox>
              </v:rect>
            </w:pict>
          </mc:Fallback>
        </mc:AlternateContent>
      </w:r>
      <w:r>
        <w:drawing>
          <wp:anchor distT="0" distB="0" distL="114300" distR="114300" simplePos="0" relativeHeight="251662336" behindDoc="0" locked="0" layoutInCell="1" allowOverlap="1">
            <wp:simplePos x="0" y="0"/>
            <wp:positionH relativeFrom="column">
              <wp:posOffset>763905</wp:posOffset>
            </wp:positionH>
            <wp:positionV relativeFrom="paragraph">
              <wp:posOffset>169545</wp:posOffset>
            </wp:positionV>
            <wp:extent cx="4200525" cy="2828925"/>
            <wp:effectExtent l="4445" t="4445" r="5080" b="5080"/>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sz w:val="32"/>
          <w:szCs w:val="32"/>
        </w:rPr>
        <w:t>（图5：一般公共预算财政拨款支出决算变动情况）</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22年一般公共预算财政拨款支出329.88万元，主要用于以下方面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312.27万元，占94.66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17.61万元，占5.34</w:t>
      </w:r>
      <w:r>
        <w:rPr>
          <w:rFonts w:ascii="仿宋" w:hAnsi="仿宋" w:eastAsia="仿宋"/>
          <w:sz w:val="32"/>
          <w:szCs w:val="32"/>
        </w:rPr>
        <w:t>%</w:t>
      </w:r>
      <w:r>
        <w:rPr>
          <w:rFonts w:hint="eastAsia" w:ascii="仿宋" w:hAnsi="仿宋" w:eastAsia="仿宋"/>
          <w:sz w:val="32"/>
          <w:szCs w:val="32"/>
        </w:rPr>
        <w:t>。</w:t>
      </w:r>
    </w:p>
    <w:p>
      <w:pPr>
        <w:pStyle w:val="2"/>
        <w:spacing w:before="93"/>
        <w:jc w:val="center"/>
      </w:pPr>
      <w:r>
        <mc:AlternateContent>
          <mc:Choice Requires="wps">
            <w:drawing>
              <wp:anchor distT="0" distB="0" distL="114300" distR="114300" simplePos="0" relativeHeight="251664384" behindDoc="0" locked="0" layoutInCell="1" allowOverlap="1">
                <wp:simplePos x="0" y="0"/>
                <wp:positionH relativeFrom="column">
                  <wp:posOffset>3653155</wp:posOffset>
                </wp:positionH>
                <wp:positionV relativeFrom="paragraph">
                  <wp:posOffset>19050</wp:posOffset>
                </wp:positionV>
                <wp:extent cx="839470" cy="299720"/>
                <wp:effectExtent l="12700" t="12700" r="24130" b="30480"/>
                <wp:wrapNone/>
                <wp:docPr id="12" name="矩形 12"/>
                <wp:cNvGraphicFramePr/>
                <a:graphic xmlns:a="http://schemas.openxmlformats.org/drawingml/2006/main">
                  <a:graphicData uri="http://schemas.microsoft.com/office/word/2010/wordprocessingShape">
                    <wps:wsp>
                      <wps:cNvSpPr/>
                      <wps:spPr>
                        <a:xfrm>
                          <a:off x="0" y="0"/>
                          <a:ext cx="839470" cy="299720"/>
                        </a:xfrm>
                        <a:prstGeom prst="rect">
                          <a:avLst/>
                        </a:prstGeom>
                        <a:ln>
                          <a:solidFill>
                            <a:schemeClr val="accent1"/>
                          </a:solidFill>
                        </a:ln>
                      </wps:spPr>
                      <wps:style>
                        <a:lnRef idx="2">
                          <a:schemeClr val="dk1"/>
                        </a:lnRef>
                        <a:fillRef idx="1">
                          <a:schemeClr val="lt1"/>
                        </a:fillRef>
                        <a:effectRef idx="0">
                          <a:schemeClr val="dk1"/>
                        </a:effectRef>
                        <a:fontRef idx="minor">
                          <a:schemeClr val="dk1"/>
                        </a:fontRef>
                      </wps:style>
                      <wps:txbx>
                        <w:txbxContent>
                          <w:p>
                            <w:r>
                              <w:rPr>
                                <w:rFonts w:hint="eastAsia"/>
                              </w:rPr>
                              <w:t>单位：万元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7.65pt;margin-top:1.5pt;height:23.6pt;width:66.1pt;z-index:251664384;v-text-anchor:middle;mso-width-relative:page;mso-height-relative:page;" fillcolor="#FFFFFF [3201]" filled="t" stroked="t" coordsize="21600,21600" o:gfxdata="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yXi8z9UAAAAIAQAADwAA&#10;AAAAAAABACAAAAAiAAAAZHJzL2Rvd25yZXYueG1sUEsBAhQAFAAAAAgAh07iQCGhCR9SAgAAmwQA&#10;AA4AAAAAAAAAAQAgAAAAJAEAAGRycy9lMm9Eb2MueG1sUEsFBgAAAAAGAAYAWQEAAOgFAAAAAA==&#10;">
                <v:fill on="t" focussize="0,0"/>
                <v:stroke weight="2pt" color="#4F81BD [3204]" joinstyle="round"/>
                <v:imagedata o:title=""/>
                <o:lock v:ext="edit" aspectratio="f"/>
                <v:textbox>
                  <w:txbxContent>
                    <w:p>
                      <w:r>
                        <w:rPr>
                          <w:rFonts w:hint="eastAsia"/>
                        </w:rPr>
                        <w:t>单位：万元</w:t>
                      </w:r>
                    </w:p>
                  </w:txbxContent>
                </v:textbox>
              </v:rect>
            </w:pict>
          </mc:Fallback>
        </mc:AlternateContent>
      </w:r>
      <w:r>
        <w:drawing>
          <wp:inline distT="0" distB="0" distL="114300" distR="114300">
            <wp:extent cx="3752850" cy="2547620"/>
            <wp:effectExtent l="4445" t="4445" r="14605" b="19685"/>
            <wp:docPr id="1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444"/>
      <w:bookmarkStart w:id="32" w:name="_Toc15377213"/>
      <w:bookmarkStart w:id="33" w:name="_Toc15378460"/>
      <w:r>
        <w:rPr>
          <w:rFonts w:hint="eastAsia" w:ascii="仿宋" w:hAnsi="仿宋" w:eastAsia="仿宋"/>
          <w:b/>
          <w:sz w:val="32"/>
          <w:szCs w:val="32"/>
        </w:rPr>
        <w:t>2022年一般公共预算支出决算数为329.88万元</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31"/>
      <w:bookmarkEnd w:id="32"/>
      <w:bookmarkEnd w:id="33"/>
    </w:p>
    <w:p>
      <w:pPr>
        <w:spacing w:line="600" w:lineRule="exact"/>
        <w:ind w:firstLine="643" w:firstLineChars="200"/>
        <w:rPr>
          <w:rStyle w:val="14"/>
          <w:rFonts w:ascii="仿宋" w:hAnsi="仿宋" w:eastAsia="仿宋"/>
          <w:b w:val="0"/>
          <w:bCs/>
          <w:sz w:val="32"/>
          <w:szCs w:val="32"/>
        </w:rPr>
      </w:pPr>
      <w:r>
        <w:rPr>
          <w:rStyle w:val="14"/>
          <w:rFonts w:ascii="仿宋" w:hAnsi="仿宋" w:eastAsia="仿宋"/>
          <w:bCs/>
          <w:sz w:val="32"/>
          <w:szCs w:val="32"/>
        </w:rPr>
        <w:t>1.</w:t>
      </w:r>
      <w:r>
        <w:rPr>
          <w:rStyle w:val="14"/>
          <w:rFonts w:hint="eastAsia" w:ascii="仿宋" w:hAnsi="仿宋" w:eastAsia="仿宋"/>
          <w:bCs/>
          <w:sz w:val="32"/>
          <w:szCs w:val="32"/>
        </w:rPr>
        <w:t>社会保障和就业支出（类）人力资源和社会保障管理事务（款）事业运行（项）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支出决算为177.67万元，完成预算100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420" w:firstLineChars="200"/>
        <w:rPr>
          <w:rStyle w:val="14"/>
          <w:rFonts w:ascii="仿宋" w:hAnsi="仿宋" w:eastAsia="仿宋"/>
          <w:b w:val="0"/>
          <w:bCs/>
          <w:sz w:val="32"/>
          <w:szCs w:val="32"/>
        </w:rPr>
      </w:pPr>
      <w:r>
        <w:rPr>
          <w:rFonts w:hint="eastAsia"/>
        </w:rPr>
        <w:t xml:space="preserve">    </w:t>
      </w:r>
      <w:r>
        <w:rPr>
          <w:rStyle w:val="14"/>
          <w:rFonts w:hint="eastAsia" w:ascii="仿宋" w:hAnsi="仿宋" w:eastAsia="仿宋"/>
          <w:bCs/>
          <w:sz w:val="32"/>
          <w:szCs w:val="32"/>
        </w:rPr>
        <w:t>社会保障和就业支出（类）人力资源和社会保障管理事务（款）其他人力资源和社会保障管理事务支出（项）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支出决算为114.14万元，完成预算100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社会保障和就业支出（类）行政事业单位养老支出（款）事业单位离退休（项）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支出决算为6.19万元，完成预算100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rPr>
        <w:t>社会保障和就业支出（类）行政事业单位养老支出（款）机关事业单位基本养老保险缴费支出（项）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支出决算为14.27万元，完成预算100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Fonts w:ascii="仿宋" w:hAnsi="仿宋" w:eastAsia="仿宋"/>
          <w:sz w:val="32"/>
          <w:szCs w:val="32"/>
        </w:rPr>
      </w:pPr>
      <w:r>
        <w:rPr>
          <w:rStyle w:val="14"/>
          <w:rFonts w:hint="eastAsia" w:ascii="仿宋" w:hAnsi="仿宋" w:eastAsia="仿宋"/>
          <w:bCs/>
          <w:sz w:val="32"/>
          <w:szCs w:val="32"/>
        </w:rPr>
        <w:t>2</w:t>
      </w:r>
      <w:r>
        <w:rPr>
          <w:rStyle w:val="14"/>
          <w:rFonts w:ascii="仿宋" w:hAnsi="仿宋" w:eastAsia="仿宋"/>
          <w:bCs/>
          <w:sz w:val="32"/>
          <w:szCs w:val="32"/>
        </w:rPr>
        <w:t>.</w:t>
      </w:r>
      <w:r>
        <w:rPr>
          <w:rStyle w:val="14"/>
          <w:rFonts w:hint="eastAsia" w:ascii="仿宋" w:hAnsi="仿宋" w:eastAsia="仿宋"/>
          <w:bCs/>
          <w:sz w:val="32"/>
          <w:szCs w:val="32"/>
        </w:rPr>
        <w:t>住房保障支出（类）住房改革支出（款）住房公积金（项）</w:t>
      </w:r>
      <w:r>
        <w:rPr>
          <w:rStyle w:val="14"/>
          <w:rFonts w:ascii="仿宋" w:hAnsi="仿宋" w:eastAsia="仿宋"/>
          <w:bCs/>
          <w:sz w:val="32"/>
          <w:szCs w:val="32"/>
        </w:rPr>
        <w:t>:</w:t>
      </w:r>
      <w:r>
        <w:rPr>
          <w:rStyle w:val="14"/>
          <w:rFonts w:hint="eastAsia" w:ascii="仿宋" w:hAnsi="仿宋" w:eastAsia="仿宋"/>
          <w:b w:val="0"/>
          <w:bCs/>
          <w:sz w:val="32"/>
          <w:szCs w:val="32"/>
        </w:rPr>
        <w:t xml:space="preserve"> 支出决算为17.61万元，完成预算100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5"/>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22年一般公共预算财政拨款基本支出215.74万元，其中：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197.69万元，主要包括：基本工资、津贴补贴、绩效工资、机关事业单位基本养老保险缴费、职工基本医疗保险缴费、公务员医疗补助缴费、其他社会保障缴费、其他工资福利支出、生活补助、医疗费补助、住房公积金等。</w:t>
      </w:r>
      <w:r>
        <w:rPr>
          <w:rFonts w:ascii="仿宋" w:hAnsi="仿宋" w:eastAsia="仿宋"/>
          <w:sz w:val="32"/>
          <w:szCs w:val="32"/>
        </w:rPr>
        <w:br w:type="textWrapping"/>
      </w:r>
      <w:r>
        <w:rPr>
          <w:rFonts w:hint="eastAsia" w:ascii="仿宋" w:hAnsi="仿宋" w:eastAsia="仿宋"/>
          <w:sz w:val="32"/>
          <w:szCs w:val="32"/>
        </w:rPr>
        <w:t>　　公用经费18.05万元，主要包括：办公费、水费、电费、邮电费、差旅费、租赁费、培训费、公务接待费、工会经费、福利费、其他交通费、其他商品和服务支出等。</w:t>
      </w:r>
    </w:p>
    <w:p>
      <w:pPr>
        <w:spacing w:line="600" w:lineRule="exact"/>
        <w:ind w:firstLine="640"/>
        <w:rPr>
          <w:rFonts w:ascii="仿宋" w:hAnsi="仿宋" w:eastAsia="仿宋"/>
          <w:b/>
          <w:sz w:val="32"/>
          <w:szCs w:val="32"/>
        </w:rPr>
      </w:pPr>
    </w:p>
    <w:p>
      <w:pPr>
        <w:spacing w:line="600" w:lineRule="exact"/>
        <w:ind w:firstLine="640"/>
        <w:outlineLvl w:val="1"/>
        <w:rPr>
          <w:rStyle w:val="25"/>
          <w:rFonts w:ascii="黑体" w:hAnsi="黑体" w:eastAsia="黑体"/>
          <w:b w:val="0"/>
        </w:rPr>
      </w:pPr>
      <w:bookmarkStart w:id="36" w:name="_Toc15396609"/>
      <w:bookmarkStart w:id="37" w:name="_Toc15377215"/>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22年“三公”经费财政拨款支出决算为0.17万元，完成预算100</w:t>
      </w:r>
      <w:r>
        <w:rPr>
          <w:rFonts w:ascii="仿宋" w:hAnsi="仿宋" w:eastAsia="仿宋"/>
          <w:sz w:val="32"/>
          <w:szCs w:val="32"/>
        </w:rPr>
        <w:t>%</w:t>
      </w:r>
      <w:r>
        <w:rPr>
          <w:rFonts w:hint="eastAsia" w:ascii="仿宋" w:hAnsi="仿宋" w:eastAsia="仿宋"/>
          <w:sz w:val="32"/>
          <w:szCs w:val="32"/>
        </w:rPr>
        <w:t>，与上年持平。决算数与预算数持平。</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；公务接待费支出决算0.17万元，占0</w:t>
      </w:r>
      <w:r>
        <w:rPr>
          <w:rFonts w:ascii="仿宋" w:hAnsi="仿宋" w:eastAsia="仿宋"/>
          <w:sz w:val="32"/>
          <w:szCs w:val="32"/>
        </w:rPr>
        <w:t>%</w:t>
      </w:r>
      <w:r>
        <w:rPr>
          <w:rFonts w:hint="eastAsia" w:ascii="仿宋" w:hAnsi="仿宋" w:eastAsia="仿宋"/>
          <w:sz w:val="32"/>
          <w:szCs w:val="32"/>
        </w:rPr>
        <w:t>。具体情况如下：</w:t>
      </w:r>
    </w:p>
    <w:p>
      <w:pPr>
        <w:pStyle w:val="2"/>
        <w:spacing w:before="93"/>
      </w:pPr>
      <w:r>
        <mc:AlternateContent>
          <mc:Choice Requires="wps">
            <w:drawing>
              <wp:anchor distT="0" distB="0" distL="114300" distR="114300" simplePos="0" relativeHeight="251665408" behindDoc="0" locked="0" layoutInCell="1" allowOverlap="1">
                <wp:simplePos x="0" y="0"/>
                <wp:positionH relativeFrom="column">
                  <wp:posOffset>3558540</wp:posOffset>
                </wp:positionH>
                <wp:positionV relativeFrom="paragraph">
                  <wp:posOffset>107315</wp:posOffset>
                </wp:positionV>
                <wp:extent cx="839470" cy="299720"/>
                <wp:effectExtent l="12700" t="12700" r="24130" b="30480"/>
                <wp:wrapNone/>
                <wp:docPr id="16" name="矩形 16"/>
                <wp:cNvGraphicFramePr/>
                <a:graphic xmlns:a="http://schemas.openxmlformats.org/drawingml/2006/main">
                  <a:graphicData uri="http://schemas.microsoft.com/office/word/2010/wordprocessingShape">
                    <wps:wsp>
                      <wps:cNvSpPr/>
                      <wps:spPr>
                        <a:xfrm>
                          <a:off x="0" y="0"/>
                          <a:ext cx="839470" cy="299720"/>
                        </a:xfrm>
                        <a:prstGeom prst="rect">
                          <a:avLst/>
                        </a:prstGeom>
                        <a:ln>
                          <a:solidFill>
                            <a:schemeClr val="accent1"/>
                          </a:solidFill>
                        </a:ln>
                      </wps:spPr>
                      <wps:style>
                        <a:lnRef idx="2">
                          <a:schemeClr val="dk1"/>
                        </a:lnRef>
                        <a:fillRef idx="1">
                          <a:schemeClr val="lt1"/>
                        </a:fillRef>
                        <a:effectRef idx="0">
                          <a:schemeClr val="dk1"/>
                        </a:effectRef>
                        <a:fontRef idx="minor">
                          <a:schemeClr val="dk1"/>
                        </a:fontRef>
                      </wps:style>
                      <wps:txbx>
                        <w:txbxContent>
                          <w:p>
                            <w:r>
                              <w:rPr>
                                <w:rFonts w:hint="eastAsia"/>
                              </w:rPr>
                              <w:t>单位：万元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0.2pt;margin-top:8.45pt;height:23.6pt;width:66.1pt;z-index:251665408;v-text-anchor:middle;mso-width-relative:page;mso-height-relative:page;" fillcolor="#FFFFFF [3201]" filled="t" stroked="t" coordsize="21600,21600" o:gfxdata="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cgAib1wAAAAkBAAAP&#10;AAAAAAAAAAEAIAAAACIAAABkcnMvZG93bnJldi54bWxQSwECFAAUAAAACACHTuJAiKSLd1ICAACb&#10;BAAADgAAAAAAAAABACAAAAAmAQAAZHJzL2Uyb0RvYy54bWxQSwUGAAAAAAYABgBZAQAA6gUAAAAA&#10;">
                <v:fill on="t" focussize="0,0"/>
                <v:stroke weight="2pt" color="#4F81BD [3204]" joinstyle="round"/>
                <v:imagedata o:title=""/>
                <o:lock v:ext="edit" aspectratio="f"/>
                <v:textbox>
                  <w:txbxContent>
                    <w:p>
                      <w:r>
                        <w:rPr>
                          <w:rFonts w:hint="eastAsia"/>
                        </w:rPr>
                        <w:t>单位：万元</w:t>
                      </w:r>
                    </w:p>
                  </w:txbxContent>
                </v:textbox>
              </v:rect>
            </w:pict>
          </mc:Fallback>
        </mc:AlternateContent>
      </w:r>
      <w:r>
        <w:rPr>
          <w:rFonts w:hint="eastAsia"/>
        </w:rPr>
        <w:t xml:space="preserve">       </w:t>
      </w:r>
      <w:r>
        <w:drawing>
          <wp:inline distT="0" distB="0" distL="114300" distR="114300">
            <wp:extent cx="3752850" cy="2547620"/>
            <wp:effectExtent l="4445" t="4445" r="14605" b="19685"/>
            <wp:docPr id="1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1292" w:firstLineChars="404"/>
        <w:rPr>
          <w:rFonts w:ascii="仿宋" w:hAnsi="仿宋" w:eastAsia="仿宋"/>
          <w:sz w:val="32"/>
          <w:szCs w:val="32"/>
        </w:rPr>
      </w:pPr>
      <w:r>
        <w:rPr>
          <w:rFonts w:hint="eastAsia" w:ascii="仿宋" w:hAnsi="仿宋" w:eastAsia="仿宋"/>
          <w:sz w:val="32"/>
          <w:szCs w:val="32"/>
        </w:rPr>
        <w:t xml:space="preserve">（图7：“三公”经费财政拨款支出结构） </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因公出国（境）经费支出0</w:t>
      </w:r>
      <w:r>
        <w:rPr>
          <w:rFonts w:hint="eastAsia" w:ascii="仿宋_GB2312" w:eastAsia="仿宋_GB2312"/>
          <w:sz w:val="32"/>
          <w:szCs w:val="32"/>
        </w:rPr>
        <w:t>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w:t>
      </w:r>
      <w:r>
        <w:rPr>
          <w:rFonts w:ascii="仿宋_GB2312" w:eastAsia="仿宋_GB2312"/>
          <w:sz w:val="32"/>
          <w:szCs w:val="32"/>
        </w:rPr>
        <w:t>20</w:t>
      </w:r>
      <w:r>
        <w:rPr>
          <w:rFonts w:hint="eastAsia" w:ascii="仿宋_GB2312" w:eastAsia="仿宋_GB2312"/>
          <w:sz w:val="32"/>
          <w:szCs w:val="32"/>
        </w:rPr>
        <w:t>20年持平。主要原因是未产生因公出国（境）经费支出。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公务用车购置及运行维护费支出决算与</w:t>
      </w:r>
      <w:r>
        <w:rPr>
          <w:rFonts w:ascii="仿宋_GB2312" w:eastAsia="仿宋_GB2312"/>
          <w:sz w:val="32"/>
          <w:szCs w:val="32"/>
        </w:rPr>
        <w:t>20</w:t>
      </w:r>
      <w:r>
        <w:rPr>
          <w:rFonts w:hint="eastAsia" w:ascii="仿宋_GB2312" w:eastAsia="仿宋_GB2312"/>
          <w:sz w:val="32"/>
          <w:szCs w:val="32"/>
        </w:rPr>
        <w:t>20年持平。主要原因是单位没有公务用车，未产生公务用车购置及运行维护费支出。</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0.17万元，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公务接待费支出决算与</w:t>
      </w:r>
      <w:r>
        <w:rPr>
          <w:rFonts w:ascii="仿宋_GB2312" w:eastAsia="仿宋_GB2312"/>
          <w:sz w:val="32"/>
          <w:szCs w:val="32"/>
        </w:rPr>
        <w:t>20</w:t>
      </w:r>
      <w:r>
        <w:rPr>
          <w:rFonts w:hint="eastAsia" w:ascii="仿宋_GB2312" w:eastAsia="仿宋_GB2312"/>
          <w:sz w:val="32"/>
          <w:szCs w:val="32"/>
        </w:rPr>
        <w:t>21年持平。其中：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国内公务接待支出0.17</w:t>
      </w:r>
      <w:r>
        <w:rPr>
          <w:rFonts w:hint="eastAsia" w:ascii="仿宋_GB2312" w:eastAsia="仿宋_GB2312"/>
          <w:sz w:val="32"/>
          <w:szCs w:val="32"/>
        </w:rPr>
        <w:t>万元，主要用于督考人员用餐费等。国内公务接待2批次，5人次（不包括陪同人员），共计支出0.17万元，具体内容包括：接待省上下派练兵比武晋级赛攀枝花考区督考用餐费0.07万元、接待省上下派练兵比武总决赛攀枝花考区督考0.10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外事接待支出0</w:t>
      </w:r>
      <w:r>
        <w:rPr>
          <w:rFonts w:hint="eastAsia" w:ascii="仿宋_GB2312" w:eastAsia="仿宋_GB2312"/>
          <w:sz w:val="32"/>
          <w:szCs w:val="32"/>
        </w:rPr>
        <w:t>万元。外事接待0批次，0人次（不包括陪同人员），共计支出0万元。</w:t>
      </w:r>
    </w:p>
    <w:p>
      <w:pPr>
        <w:spacing w:line="600" w:lineRule="exact"/>
        <w:ind w:firstLine="640"/>
        <w:outlineLvl w:val="1"/>
        <w:rPr>
          <w:rFonts w:ascii="黑体" w:eastAsia="黑体"/>
          <w:sz w:val="32"/>
          <w:szCs w:val="32"/>
        </w:rPr>
      </w:pPr>
      <w:bookmarkStart w:id="40" w:name="_Toc15377218"/>
      <w:bookmarkStart w:id="41" w:name="_Toc15396610"/>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5"/>
          <w:rFonts w:ascii="黑体" w:hAnsi="黑体" w:eastAsia="黑体"/>
          <w:b w:val="0"/>
        </w:rPr>
      </w:pPr>
      <w:bookmarkStart w:id="42" w:name="_Toc15396611"/>
      <w:bookmarkStart w:id="43" w:name="_Toc15377219"/>
      <w:r>
        <w:rPr>
          <w:rStyle w:val="25"/>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5"/>
          <w:rFonts w:ascii="黑体" w:hAnsi="黑体" w:eastAsia="黑体"/>
          <w:b w:val="0"/>
        </w:rPr>
      </w:pPr>
      <w:bookmarkStart w:id="44" w:name="_Toc15396612"/>
      <w:bookmarkStart w:id="45" w:name="_Toc15377221"/>
      <w:r>
        <w:rPr>
          <w:rStyle w:val="25"/>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22年，机关运行经费支出0万元，与</w:t>
      </w:r>
      <w:r>
        <w:rPr>
          <w:rFonts w:ascii="仿宋_GB2312" w:eastAsia="仿宋_GB2312"/>
          <w:sz w:val="32"/>
          <w:szCs w:val="32"/>
        </w:rPr>
        <w:t>20</w:t>
      </w:r>
      <w:r>
        <w:rPr>
          <w:rFonts w:hint="eastAsia" w:ascii="仿宋_GB2312" w:eastAsia="仿宋_GB2312"/>
          <w:sz w:val="32"/>
          <w:szCs w:val="32"/>
        </w:rPr>
        <w:t>21年决算数持平。主要原因是我单位为市人力资源社会保障局下属事业单位，没有机关运行经费。</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我单位政府采购支出总额1.26万元，其中：政府采购货物支出1.26万元、政府采购工程支出0万元、政府采购服务支出0万元。主要用于采购电脑、打印机等。授予中小企业合同金额1.26万元，占政府采购支出总额的100</w:t>
      </w:r>
      <w:r>
        <w:rPr>
          <w:rFonts w:ascii="仿宋_GB2312" w:eastAsia="仿宋_GB2312"/>
          <w:sz w:val="32"/>
          <w:szCs w:val="32"/>
        </w:rPr>
        <w:t>%</w:t>
      </w:r>
      <w:r>
        <w:rPr>
          <w:rFonts w:hint="eastAsia" w:ascii="仿宋_GB2312" w:eastAsia="仿宋_GB2312"/>
          <w:sz w:val="32"/>
          <w:szCs w:val="32"/>
        </w:rPr>
        <w:t>，其中：授予小微企业合同金额1.26万元，占政府采购支出总额的100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日，我单位共有车辆0辆，其中：主要领导干部用车0辆、机要通信用车0辆、应急保障用车0辆、其他用车0辆。单价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专项项目（各类公招考试专项资金）1个项目开展了预算事前绩效评估，对1个项目编制了绩效目标，预算执行过程中，选取1个项目开展绩效监控，组织对1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其他收入：指单位取得的除上述收入以外的各项收入。主要是非同级财政拨款收入。</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4.年末结转和结余：指单位按有关规定结转到下年或以后年度继续使用的资金。</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 社会保障和就业支出（类）人力资源和社会保障管理事务（款）事业运行（项）:指反映事业单位的基本支出。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 社会保障和就业支出（类）行政事业单位养老支出（款）事业单位离退休（项）:指反映事业单位开支的离退休经费。</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 社会保障和就业支出（类）行政事业单位养老支出（款）机关事业单位基本养老保险缴费支出（项）:指反映机关事业单位实施养老保险制度由单位缴纳的基本养老保险费支出。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8. 住房保障支出（类）住房改革支出（款）住房公积金（项）：指反映行政事业单位按人力资源和社会保障部、财政部规定的基本工资和津贴补贴以及规定比例为职工缴纳的住房公积金。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9. 社会保障和就业支出（类）人力资源和社会保障管理事务（款）其他人力资源和社会保障管理事务支出（项）：指反应事业单位的项目支出。</w:t>
      </w:r>
    </w:p>
    <w:p>
      <w:pPr>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12</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4"/>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4"/>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53" w:name="_Toc15396618"/>
      <w:r>
        <w:rPr>
          <w:rFonts w:hint="eastAsia" w:ascii="宋体" w:hAnsi="宋体" w:cs="宋体"/>
          <w:kern w:val="0"/>
          <w:sz w:val="32"/>
          <w:szCs w:val="32"/>
        </w:rPr>
        <w:t>部门预算项目支出绩效自评表（2022年度）见附件3。</w:t>
      </w:r>
    </w:p>
    <w:p>
      <w:pPr>
        <w:spacing w:line="600" w:lineRule="exact"/>
        <w:jc w:val="left"/>
        <w:outlineLvl w:val="0"/>
        <w:rPr>
          <w:rFonts w:ascii="仿宋_GB2312" w:hAnsi="Calibri" w:eastAsia="仿宋_GB2312" w:cs="仿宋"/>
          <w:kern w:val="0"/>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5"/>
          <w:rFonts w:hint="eastAsia" w:ascii="仿宋" w:hAnsi="仿宋" w:eastAsia="仿宋"/>
          <w:b w:val="0"/>
          <w:bCs w:val="0"/>
        </w:rPr>
        <w:t>入决算表</w:t>
      </w:r>
      <w:bookmarkEnd w:id="55"/>
    </w:p>
    <w:p>
      <w:pPr>
        <w:pStyle w:val="4"/>
        <w:rPr>
          <w:rFonts w:ascii="仿宋" w:hAnsi="仿宋" w:eastAsia="仿宋"/>
        </w:rPr>
      </w:pPr>
      <w:bookmarkStart w:id="56"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7"/>
    </w:p>
    <w:p>
      <w:pPr>
        <w:pStyle w:val="4"/>
        <w:rPr>
          <w:rStyle w:val="25"/>
          <w:rFonts w:ascii="仿宋" w:hAnsi="仿宋" w:eastAsia="仿宋"/>
          <w:b w:val="0"/>
          <w:bCs w:val="0"/>
        </w:rPr>
      </w:pPr>
      <w:bookmarkStart w:id="58"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5"/>
          <w:rFonts w:hint="eastAsia" w:ascii="仿宋" w:hAnsi="仿宋" w:eastAsia="仿宋"/>
          <w:b w:val="0"/>
          <w:bCs w:val="0"/>
        </w:rPr>
        <w:t>十、</w:t>
      </w:r>
      <w:bookmarkEnd w:id="63"/>
      <w:r>
        <w:rPr>
          <w:rFonts w:hint="eastAsia" w:ascii="仿宋" w:hAnsi="仿宋" w:eastAsia="仿宋"/>
          <w:b w:val="0"/>
        </w:rPr>
        <w:t>政</w:t>
      </w:r>
      <w:r>
        <w:rPr>
          <w:rStyle w:val="25"/>
          <w:rFonts w:hint="eastAsia" w:ascii="仿宋" w:hAnsi="仿宋" w:eastAsia="仿宋"/>
          <w:b w:val="0"/>
          <w:bCs w:val="0"/>
        </w:rPr>
        <w:t>府性基金预算财政拨款收入支出决算表（此表无数据）</w:t>
      </w:r>
    </w:p>
    <w:p>
      <w:pPr>
        <w:pStyle w:val="4"/>
        <w:rPr>
          <w:rFonts w:ascii="仿宋" w:hAnsi="仿宋" w:eastAsia="仿宋"/>
        </w:rPr>
      </w:pPr>
      <w:bookmarkStart w:id="64" w:name="_Toc15396629"/>
      <w:r>
        <w:rPr>
          <w:rStyle w:val="25"/>
          <w:rFonts w:hint="eastAsia" w:ascii="仿宋" w:hAnsi="仿宋" w:eastAsia="仿宋"/>
          <w:b w:val="0"/>
          <w:bCs w:val="0"/>
        </w:rPr>
        <w:t>十一、</w:t>
      </w:r>
      <w:bookmarkEnd w:id="64"/>
      <w:r>
        <w:rPr>
          <w:rFonts w:hint="eastAsia" w:ascii="仿宋" w:hAnsi="仿宋" w:eastAsia="仿宋"/>
          <w:b w:val="0"/>
        </w:rPr>
        <w:t>国</w:t>
      </w:r>
      <w:r>
        <w:rPr>
          <w:rStyle w:val="25"/>
          <w:rFonts w:hint="eastAsia" w:ascii="仿宋" w:hAnsi="仿宋" w:eastAsia="仿宋"/>
          <w:b w:val="0"/>
          <w:bCs w:val="0"/>
        </w:rPr>
        <w:t>有资本经营预算财政拨款收入支出决算表（此表无数据）</w:t>
      </w:r>
    </w:p>
    <w:p>
      <w:pPr>
        <w:pStyle w:val="4"/>
        <w:rPr>
          <w:rFonts w:ascii="仿宋" w:hAnsi="仿宋" w:eastAsia="仿宋"/>
        </w:rPr>
      </w:pPr>
      <w:bookmarkStart w:id="65" w:name="_Toc15396630"/>
      <w:r>
        <w:rPr>
          <w:rStyle w:val="25"/>
          <w:rFonts w:hint="eastAsia" w:ascii="仿宋" w:hAnsi="仿宋" w:eastAsia="仿宋"/>
          <w:b w:val="0"/>
          <w:bCs w:val="0"/>
        </w:rPr>
        <w:t>十二、</w:t>
      </w:r>
      <w:bookmarkEnd w:id="65"/>
      <w:r>
        <w:rPr>
          <w:rStyle w:val="25"/>
          <w:rFonts w:hint="eastAsia" w:ascii="仿宋" w:hAnsi="仿宋" w:eastAsia="仿宋"/>
          <w:b w:val="0"/>
          <w:bCs w:val="0"/>
        </w:rPr>
        <w:t>国有资本经营预算财政拨款支出决算表（此表无数据）</w:t>
      </w:r>
    </w:p>
    <w:p>
      <w:pPr>
        <w:pStyle w:val="4"/>
        <w:rPr>
          <w:rFonts w:eastAsia="仿宋"/>
        </w:rPr>
      </w:pPr>
      <w:bookmarkStart w:id="66" w:name="_Toc15396631"/>
      <w:r>
        <w:rPr>
          <w:rStyle w:val="25"/>
          <w:rFonts w:hint="eastAsia" w:ascii="仿宋" w:hAnsi="仿宋" w:eastAsia="仿宋"/>
          <w:b w:val="0"/>
          <w:bCs w:val="0"/>
        </w:rPr>
        <w:t>十三、</w:t>
      </w:r>
      <w:bookmarkEnd w:id="66"/>
      <w:r>
        <w:rPr>
          <w:rStyle w:val="25"/>
          <w:rFonts w:hint="eastAsia" w:ascii="仿宋" w:hAnsi="仿宋" w:eastAsia="仿宋"/>
          <w:b w:val="0"/>
          <w:bCs w:val="0"/>
        </w:rPr>
        <w:t>财政拨款“三公”经费支出决算表</w:t>
      </w:r>
    </w:p>
    <w:sectPr>
      <w:headerReference r:id="rId3" w:type="default"/>
      <w:footerReference r:id="rId5" w:type="default"/>
      <w:headerReference r:id="rId4" w:type="even"/>
      <w:footerReference r:id="rId6"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4</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D6802"/>
    <w:rsid w:val="000E6613"/>
    <w:rsid w:val="000E7119"/>
    <w:rsid w:val="000F3D30"/>
    <w:rsid w:val="00104954"/>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4560"/>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30EB"/>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1B0E"/>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C7F85"/>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AC373D"/>
    <w:rsid w:val="0362429C"/>
    <w:rsid w:val="03687166"/>
    <w:rsid w:val="03E94483"/>
    <w:rsid w:val="040841E8"/>
    <w:rsid w:val="053A62B5"/>
    <w:rsid w:val="05D54D19"/>
    <w:rsid w:val="07C644D1"/>
    <w:rsid w:val="0A2032A3"/>
    <w:rsid w:val="0B5E04B4"/>
    <w:rsid w:val="0B8A37D8"/>
    <w:rsid w:val="0C60135C"/>
    <w:rsid w:val="0D6311FE"/>
    <w:rsid w:val="10C055FF"/>
    <w:rsid w:val="118107EC"/>
    <w:rsid w:val="11A534DB"/>
    <w:rsid w:val="11DD6519"/>
    <w:rsid w:val="14D20DB6"/>
    <w:rsid w:val="15957349"/>
    <w:rsid w:val="161D5555"/>
    <w:rsid w:val="16BB723D"/>
    <w:rsid w:val="1719609A"/>
    <w:rsid w:val="18015F3F"/>
    <w:rsid w:val="190855FC"/>
    <w:rsid w:val="19E52087"/>
    <w:rsid w:val="1BE8440E"/>
    <w:rsid w:val="1D155CEE"/>
    <w:rsid w:val="1D180791"/>
    <w:rsid w:val="1F8055DF"/>
    <w:rsid w:val="1F9617CE"/>
    <w:rsid w:val="20526995"/>
    <w:rsid w:val="20F57F95"/>
    <w:rsid w:val="22193154"/>
    <w:rsid w:val="22727213"/>
    <w:rsid w:val="23277A7E"/>
    <w:rsid w:val="23AB025C"/>
    <w:rsid w:val="240371BF"/>
    <w:rsid w:val="25711CC6"/>
    <w:rsid w:val="25C741E6"/>
    <w:rsid w:val="262A39B4"/>
    <w:rsid w:val="268C267D"/>
    <w:rsid w:val="269128F5"/>
    <w:rsid w:val="27842671"/>
    <w:rsid w:val="29FD04D3"/>
    <w:rsid w:val="2ABE7A3E"/>
    <w:rsid w:val="2CA234A8"/>
    <w:rsid w:val="2EFA178C"/>
    <w:rsid w:val="30B46D73"/>
    <w:rsid w:val="319F7F4E"/>
    <w:rsid w:val="35137922"/>
    <w:rsid w:val="383D272C"/>
    <w:rsid w:val="384A7BF6"/>
    <w:rsid w:val="394B0E0D"/>
    <w:rsid w:val="395D3056"/>
    <w:rsid w:val="39AE70AB"/>
    <w:rsid w:val="3A3C37A5"/>
    <w:rsid w:val="3C0C0783"/>
    <w:rsid w:val="3CDC60DE"/>
    <w:rsid w:val="3F9F3A96"/>
    <w:rsid w:val="401279AA"/>
    <w:rsid w:val="414D4CF4"/>
    <w:rsid w:val="47CE6CFA"/>
    <w:rsid w:val="48BF60AB"/>
    <w:rsid w:val="493C27E9"/>
    <w:rsid w:val="494036B1"/>
    <w:rsid w:val="496F39ED"/>
    <w:rsid w:val="49FF41D3"/>
    <w:rsid w:val="4BE068DB"/>
    <w:rsid w:val="4BF6002B"/>
    <w:rsid w:val="4ECE2238"/>
    <w:rsid w:val="5049741C"/>
    <w:rsid w:val="50961594"/>
    <w:rsid w:val="51DB4B86"/>
    <w:rsid w:val="54610180"/>
    <w:rsid w:val="55333C3E"/>
    <w:rsid w:val="59C87511"/>
    <w:rsid w:val="5A777D7A"/>
    <w:rsid w:val="5DFF18C5"/>
    <w:rsid w:val="64CA39A1"/>
    <w:rsid w:val="68AD66CB"/>
    <w:rsid w:val="69630ADE"/>
    <w:rsid w:val="6C4A05C8"/>
    <w:rsid w:val="6D3B1A89"/>
    <w:rsid w:val="6F0D763F"/>
    <w:rsid w:val="6FEF605C"/>
    <w:rsid w:val="71BF4EC2"/>
    <w:rsid w:val="72734D90"/>
    <w:rsid w:val="7366709D"/>
    <w:rsid w:val="7412278C"/>
    <w:rsid w:val="75772547"/>
    <w:rsid w:val="793A2BF2"/>
    <w:rsid w:val="79E7B28D"/>
    <w:rsid w:val="7C630EA1"/>
    <w:rsid w:val="7D7139B8"/>
    <w:rsid w:val="7E0771E7"/>
    <w:rsid w:val="7ECE3519"/>
    <w:rsid w:val="7F40017A"/>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5991;&#26723;E\cw\2022\2022&#20915;&#31639;\&#20915;&#31639;&#20844;&#24320;\&#20915;&#31639;\&#22270;&#26631;&#21046;&#203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5991;&#26723;E\cw\2022\2022&#20915;&#31639;\&#20915;&#31639;&#20844;&#24320;\&#20915;&#31639;\&#22270;&#26631;&#21046;&#203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5991;&#26723;E\cw\2022\2022&#20915;&#31639;\&#20915;&#31639;&#20844;&#24320;\&#20915;&#31639;\&#22270;&#26631;&#21046;&#203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5991;&#26723;E\cw\2022\2022&#20915;&#31639;\&#20915;&#31639;&#20844;&#24320;\&#20915;&#31639;\&#22270;&#26631;&#21046;&#203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5991;&#26723;E\cw\2022\2022&#20915;&#31639;\&#20915;&#31639;&#20844;&#24320;\&#20915;&#31639;\&#22270;&#26631;&#21046;&#203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5991;&#26723;E\cw\2022\2022&#20915;&#31639;\&#20915;&#31639;&#20844;&#24320;\&#20915;&#31639;\&#22270;&#26631;&#21046;&#203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5991;&#26723;E\cw\2022\2022&#20915;&#31639;\&#20915;&#31639;&#20844;&#24320;\&#20915;&#31639;\&#22270;&#26631;&#21046;&#203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[图标制作.xlsx]Sheet1!$A$3</c:f>
              <c:strCache>
                <c:ptCount val="1"/>
                <c:pt idx="0">
                  <c:v>2022年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[图标制作.xlsx]Sheet1!$B$2:$C$2</c:f>
              <c:strCache>
                <c:ptCount val="2"/>
                <c:pt idx="0">
                  <c:v>收入总计</c:v>
                </c:pt>
                <c:pt idx="1">
                  <c:v>支出总计</c:v>
                </c:pt>
              </c:strCache>
            </c:strRef>
          </c:cat>
          <c:val>
            <c:numRef>
              <c:f>[图标制作.xlsx]Sheet1!$B$3:$C$3</c:f>
              <c:numCache>
                <c:formatCode>General</c:formatCode>
                <c:ptCount val="2"/>
                <c:pt idx="0">
                  <c:v>638.97</c:v>
                </c:pt>
                <c:pt idx="1">
                  <c:v>638.97</c:v>
                </c:pt>
              </c:numCache>
            </c:numRef>
          </c:val>
        </c:ser>
        <c:ser>
          <c:idx val="1"/>
          <c:order val="1"/>
          <c:tx>
            <c:strRef>
              <c:f>[图标制作.xlsx]Sheet1!$A$4</c:f>
              <c:strCache>
                <c:ptCount val="1"/>
                <c:pt idx="0">
                  <c:v>2021年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[图标制作.xlsx]Sheet1!$B$2:$C$2</c:f>
              <c:strCache>
                <c:ptCount val="2"/>
                <c:pt idx="0">
                  <c:v>收入总计</c:v>
                </c:pt>
                <c:pt idx="1">
                  <c:v>支出总计</c:v>
                </c:pt>
              </c:strCache>
            </c:strRef>
          </c:cat>
          <c:val>
            <c:numRef>
              <c:f>[图标制作.xlsx]Sheet1!$B$4:$C$4</c:f>
              <c:numCache>
                <c:formatCode>General</c:formatCode>
                <c:ptCount val="2"/>
                <c:pt idx="0">
                  <c:v>291.25</c:v>
                </c:pt>
                <c:pt idx="1">
                  <c:v>291.25</c:v>
                </c:pt>
              </c:numCache>
            </c:numRef>
          </c:val>
        </c:ser>
        <c:dLbls>
          <c:showLegendKey val="0"/>
          <c:showVal val="0"/>
          <c:showCatName val="0"/>
          <c:showSerName val="0"/>
          <c:showPercent val="0"/>
          <c:showBubbleSize val="0"/>
        </c:dLbls>
        <c:gapWidth val="150"/>
        <c:axId val="407522688"/>
        <c:axId val="323400832"/>
      </c:barChart>
      <c:catAx>
        <c:axId val="4075226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23400832"/>
        <c:crosses val="autoZero"/>
        <c:auto val="1"/>
        <c:lblAlgn val="ctr"/>
        <c:lblOffset val="100"/>
        <c:noMultiLvlLbl val="0"/>
      </c:catAx>
      <c:valAx>
        <c:axId val="323400832"/>
        <c:scaling>
          <c:orientation val="minMax"/>
          <c:max val="700"/>
          <c:min val="0"/>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7522688"/>
        <c:crosses val="autoZero"/>
        <c:crossBetween val="between"/>
        <c:majorUnit val="50"/>
        <c:minorUnit val="2"/>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0"/>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79187817258883"/>
          <c:y val="0.0074757039621231"/>
        </c:manualLayout>
      </c:layout>
      <c:overlay val="0"/>
      <c:tx>
        <c:rich>
          <a:bodyPr/>
          <a:lstStyle/>
          <a:p>
            <a:pPr>
              <a:defRPr/>
            </a:pPr>
          </a:p>
        </c:rich>
      </c:tx>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[图标制作.xlsx]Sheet1!$A$22:$A$23</c:f>
              <c:strCache>
                <c:ptCount val="2"/>
                <c:pt idx="0">
                  <c:v>基本支出</c:v>
                </c:pt>
                <c:pt idx="1">
                  <c:v>项目支出</c:v>
                </c:pt>
              </c:strCache>
            </c:strRef>
          </c:cat>
          <c:val>
            <c:numRef>
              <c:f>[图标制作.xlsx]Sheet1!$B$22:$B$23</c:f>
              <c:numCache>
                <c:formatCode>#,##0.00</c:formatCode>
                <c:ptCount val="2"/>
                <c:pt idx="0">
                  <c:v>215.74</c:v>
                </c:pt>
                <c:pt idx="1">
                  <c:v>322.65</c:v>
                </c:pt>
              </c:numCache>
            </c:numRef>
          </c:val>
        </c:ser>
        <c:dLbls>
          <c:showLegendKey val="0"/>
          <c:showVal val="0"/>
          <c:showCatName val="0"/>
          <c:showSerName val="0"/>
          <c:showPercent val="1"/>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01351351351351"/>
          <c:y val="0.0373715353472438"/>
        </c:manualLayout>
      </c:layout>
      <c:overlay val="0"/>
      <c:tx>
        <c:rich>
          <a:bodyPr/>
          <a:lstStyle/>
          <a:p>
            <a:pPr>
              <a:defRPr/>
            </a:pPr>
          </a:p>
        </c:rich>
      </c:tx>
    </c:title>
    <c:autoTitleDeleted val="0"/>
    <c:view3D>
      <c:rotX val="75"/>
      <c:rotY val="0"/>
      <c:depthPercent val="100"/>
      <c:rAngAx val="0"/>
      <c:perspective val="30"/>
    </c:view3D>
    <c:floor>
      <c:thickness val="0"/>
    </c:floor>
    <c:sideWall>
      <c:thickness val="0"/>
    </c:sideWall>
    <c:backWall>
      <c:thickness val="0"/>
    </c:backWall>
    <c:plotArea>
      <c:layout/>
      <c:pie3D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[图标制作.xlsx]Sheet1!$A$13:$A$14</c:f>
              <c:strCache>
                <c:ptCount val="2"/>
                <c:pt idx="0">
                  <c:v>一般公共预算财政拨款收入</c:v>
                </c:pt>
                <c:pt idx="1">
                  <c:v>其他收入</c:v>
                </c:pt>
              </c:strCache>
            </c:strRef>
          </c:cat>
          <c:val>
            <c:numRef>
              <c:f>[图标制作.xlsx]Sheet1!$B$13:$B$14</c:f>
              <c:numCache>
                <c:formatCode>General</c:formatCode>
                <c:ptCount val="2"/>
                <c:pt idx="0">
                  <c:v>324.22</c:v>
                </c:pt>
                <c:pt idx="1">
                  <c:v>309.09</c:v>
                </c:pt>
              </c:numCache>
            </c:numRef>
          </c:val>
        </c:ser>
        <c:dLbls>
          <c:showLegendKey val="0"/>
          <c:showVal val="0"/>
          <c:showCatName val="0"/>
          <c:showSerName val="0"/>
          <c:showPercent val="1"/>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12700" cap="flat" cmpd="sng" algn="ctr">
      <a:solidFill>
        <a:schemeClr val="tx1">
          <a:tint val="75000"/>
          <a:shade val="95000"/>
          <a:satMod val="105000"/>
        </a:schemeClr>
      </a:solidFill>
      <a:prstDash val="solid"/>
      <a:round/>
    </a:ln>
    <a:effectLst>
      <a:outerShdw blurRad="63500" sx="102000" sy="102000" algn="ctr" rotWithShape="0">
        <a:schemeClr val="accent2">
          <a:alpha val="40000"/>
        </a:schemeClr>
      </a:outerShdw>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[图标制作.xlsx]Sheet1!$A$46:$A$47</c:f>
              <c:strCache>
                <c:ptCount val="2"/>
                <c:pt idx="0">
                  <c:v>2022年</c:v>
                </c:pt>
                <c:pt idx="1">
                  <c:v>2021年</c:v>
                </c:pt>
              </c:strCache>
            </c:strRef>
          </c:cat>
          <c:val>
            <c:numRef>
              <c:f>[图标制作.xlsx]Sheet1!$B$46:$B$47</c:f>
              <c:numCache>
                <c:formatCode>General</c:formatCode>
                <c:ptCount val="2"/>
                <c:pt idx="0">
                  <c:v>329.88</c:v>
                </c:pt>
                <c:pt idx="1">
                  <c:v>292.44</c:v>
                </c:pt>
              </c:numCache>
            </c:numRef>
          </c:val>
        </c:ser>
        <c:dLbls>
          <c:showLegendKey val="0"/>
          <c:showVal val="0"/>
          <c:showCatName val="0"/>
          <c:showSerName val="0"/>
          <c:showPercent val="0"/>
          <c:showBubbleSize val="0"/>
        </c:dLbls>
        <c:gapWidth val="75"/>
        <c:overlap val="-25"/>
        <c:axId val="357605760"/>
        <c:axId val="357607296"/>
      </c:barChart>
      <c:catAx>
        <c:axId val="35760576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7607296"/>
        <c:crosses val="autoZero"/>
        <c:auto val="1"/>
        <c:lblAlgn val="ctr"/>
        <c:lblOffset val="100"/>
        <c:noMultiLvlLbl val="0"/>
      </c:catAx>
      <c:valAx>
        <c:axId val="357607296"/>
        <c:scaling>
          <c:orientation val="minMax"/>
          <c:max val="400"/>
          <c:min val="0"/>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7605760"/>
        <c:crosses val="autoZero"/>
        <c:crossBetween val="between"/>
        <c:majorUnit val="50"/>
        <c:minorUnit val="0.4"/>
      </c:valAx>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[图标制作.xlsx]Sheet1!$A$58:$A$59</c:f>
              <c:strCache>
                <c:ptCount val="2"/>
                <c:pt idx="0">
                  <c:v>2022年</c:v>
                </c:pt>
                <c:pt idx="1">
                  <c:v>2021年</c:v>
                </c:pt>
              </c:strCache>
            </c:strRef>
          </c:cat>
          <c:val>
            <c:numRef>
              <c:f>[图标制作.xlsx]Sheet1!$B$58:$B$59</c:f>
              <c:numCache>
                <c:formatCode>General</c:formatCode>
                <c:ptCount val="2"/>
                <c:pt idx="0">
                  <c:v>329.88</c:v>
                </c:pt>
                <c:pt idx="1">
                  <c:v>291.25</c:v>
                </c:pt>
              </c:numCache>
            </c:numRef>
          </c:val>
        </c:ser>
        <c:dLbls>
          <c:showLegendKey val="0"/>
          <c:showVal val="0"/>
          <c:showCatName val="0"/>
          <c:showSerName val="0"/>
          <c:showPercent val="0"/>
          <c:showBubbleSize val="0"/>
        </c:dLbls>
        <c:gapWidth val="75"/>
        <c:overlap val="-25"/>
        <c:axId val="358025088"/>
        <c:axId val="358026624"/>
      </c:barChart>
      <c:catAx>
        <c:axId val="358025088"/>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8026624"/>
        <c:crosses val="autoZero"/>
        <c:auto val="1"/>
        <c:lblAlgn val="ctr"/>
        <c:lblOffset val="100"/>
        <c:noMultiLvlLbl val="0"/>
      </c:catAx>
      <c:valAx>
        <c:axId val="358026624"/>
        <c:scaling>
          <c:orientation val="minMax"/>
          <c:max val="350"/>
          <c:min val="0"/>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8025088"/>
        <c:crosses val="autoZero"/>
        <c:crossBetween val="between"/>
        <c:majorUnit val="50"/>
        <c:minorUnit val="0.4"/>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floor>
    <c:sideWall>
      <c:thickness val="0"/>
    </c:sideWall>
    <c:backWall>
      <c:thickness val="0"/>
    </c:backWall>
    <c:plotArea>
      <c:layout/>
      <c:pie3DChart>
        <c:varyColors val="1"/>
        <c:ser>
          <c:idx val="0"/>
          <c:order val="0"/>
          <c:explosion val="0"/>
          <c:dPt>
            <c:idx val="0"/>
            <c:bubble3D val="0"/>
          </c:dPt>
          <c:dPt>
            <c:idx val="1"/>
            <c:bubble3D val="0"/>
          </c:dPt>
          <c:dLbls>
            <c:dLbl>
              <c:idx val="0"/>
              <c:layout>
                <c:manualLayout>
                  <c:x val="-0.0972218447313375"/>
                  <c:y val="-0.257768046161249"/>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1"/>
              <c:layout>
                <c:manualLayout>
                  <c:x val="0.0862816259642672"/>
                  <c:y val="0.08438549132671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howLeaderLines val="0"/>
            <c:extLst>
              <c:ext xmlns:c15="http://schemas.microsoft.com/office/drawing/2012/chart" uri="{CE6537A1-D6FC-4f65-9D91-7224C49458BB}">
                <c15:layout/>
                <c15:showLeaderLines val="0"/>
                <c15:leaderLines/>
              </c:ext>
            </c:extLst>
          </c:dLbls>
          <c:cat>
            <c:strRef>
              <c:f>[图标制作.xlsx]Sheet1!$A$78:$A$79</c:f>
              <c:strCache>
                <c:ptCount val="2"/>
                <c:pt idx="0">
                  <c:v>社会保障和就业支出</c:v>
                </c:pt>
                <c:pt idx="1">
                  <c:v>住房保障支出</c:v>
                </c:pt>
              </c:strCache>
            </c:strRef>
          </c:cat>
          <c:val>
            <c:numRef>
              <c:f>[图标制作.xlsx]Sheet1!$B$78:$B$79</c:f>
              <c:numCache>
                <c:formatCode>General</c:formatCode>
                <c:ptCount val="2"/>
                <c:pt idx="0">
                  <c:v>312.27</c:v>
                </c:pt>
                <c:pt idx="1">
                  <c:v>17.61</c:v>
                </c:pt>
              </c:numCache>
            </c:numRef>
          </c:val>
        </c:ser>
        <c:dLbls>
          <c:showLegendKey val="0"/>
          <c:showVal val="0"/>
          <c:showCatName val="0"/>
          <c:showSerName val="0"/>
          <c:showPercent val="1"/>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floor>
    <c:sideWall>
      <c:thickness val="0"/>
    </c:sideWall>
    <c:backWall>
      <c:thickness val="0"/>
    </c:backWall>
    <c:plotArea>
      <c:layout/>
      <c:pie3DChart>
        <c:varyColors val="1"/>
        <c:ser>
          <c:idx val="0"/>
          <c:order val="0"/>
          <c:explosion val="0"/>
          <c:dPt>
            <c:idx val="0"/>
            <c:bubble3D val="0"/>
          </c:dPt>
          <c:dLbls>
            <c:dLbl>
              <c:idx val="0"/>
              <c:layout>
                <c:manualLayout>
                  <c:x val="-0.0972218447313375"/>
                  <c:y val="-0.257768046161249"/>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howLeaderLines val="0"/>
            <c:extLst>
              <c:ext xmlns:c15="http://schemas.microsoft.com/office/drawing/2012/chart" uri="{CE6537A1-D6FC-4f65-9D91-7224C49458BB}">
                <c15:layout/>
                <c15:showLeaderLines val="0"/>
                <c15:leaderLines/>
              </c:ext>
            </c:extLst>
          </c:dLbls>
          <c:cat>
            <c:strRef>
              <c:f>[图标制作.xlsx]Sheet1!$A$101</c:f>
              <c:strCache>
                <c:ptCount val="1"/>
                <c:pt idx="0">
                  <c:v>公务接待费</c:v>
                </c:pt>
              </c:strCache>
            </c:strRef>
          </c:cat>
          <c:val>
            <c:numRef>
              <c:f>[图标制作.xlsx]Sheet1!$B$101</c:f>
              <c:numCache>
                <c:formatCode>General</c:formatCode>
                <c:ptCount val="1"/>
                <c:pt idx="0">
                  <c:v>0.17</c:v>
                </c:pt>
              </c:numCache>
            </c:numRef>
          </c:val>
        </c:ser>
        <c:dLbls>
          <c:showLegendKey val="0"/>
          <c:showVal val="0"/>
          <c:showCatName val="0"/>
          <c:showSerName val="0"/>
          <c:showPercent val="1"/>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17</Pages>
  <Words>732</Words>
  <Characters>4175</Characters>
  <Lines>34</Lines>
  <Paragraphs>9</Paragraphs>
  <TotalTime>17</TotalTime>
  <ScaleCrop>false</ScaleCrop>
  <LinksUpToDate>false</LinksUpToDate>
  <CharactersWithSpaces>4898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程红</cp:lastModifiedBy>
  <cp:lastPrinted>2023-08-23T09:07:00Z</cp:lastPrinted>
  <dcterms:modified xsi:type="dcterms:W3CDTF">2023-09-11T03:35:11Z</dcterms:modified>
  <dc:title>四川省***</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5EF2D9F51E2841008681309A6BBEEA2A</vt:lpwstr>
  </property>
</Properties>
</file>