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bookmarkStart w:id="1" w:name="_Toc15396597"/>
      <w:bookmarkStart w:id="2" w:name="_Toc15377425"/>
      <w:bookmarkStart w:id="3" w:name="_Toc15396475"/>
      <w:bookmarkStart w:id="4" w:name="_Toc15377193"/>
      <w:bookmarkStart w:id="5" w:name="_Toc15378441"/>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194"/>
      <w:bookmarkStart w:id="8" w:name="_Toc15396598"/>
      <w:bookmarkStart w:id="9" w:name="_Toc15377426"/>
      <w:bookmarkStart w:id="10" w:name="_Toc15378442"/>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攀枝花市</w:t>
      </w:r>
      <w:bookmarkEnd w:id="0"/>
      <w:bookmarkStart w:id="11" w:name="_Toc15306268"/>
      <w:r>
        <w:rPr>
          <w:rFonts w:hint="eastAsia" w:ascii="方正小标宋简体" w:hAnsi="方正小标宋简体" w:eastAsia="方正小标宋简体" w:cs="方正小标宋简体"/>
          <w:color w:val="000000" w:themeColor="text1"/>
          <w:sz w:val="72"/>
          <w:szCs w:val="72"/>
          <w:lang w:val="en-US" w:eastAsia="zh-CN"/>
          <w14:textFill>
            <w14:solidFill>
              <w14:schemeClr w14:val="tx1"/>
            </w14:solidFill>
          </w14:textFill>
        </w:rPr>
        <w:t>人力资源和社会保障信息中心</w:t>
      </w: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单位决算</w:t>
      </w:r>
      <w:bookmarkEnd w:id="6"/>
      <w:bookmarkEnd w:id="7"/>
      <w:bookmarkEnd w:id="8"/>
      <w:bookmarkEnd w:id="9"/>
      <w:bookmarkEnd w:id="10"/>
      <w:bookmarkEnd w:id="11"/>
    </w:p>
    <w:p>
      <w:pPr>
        <w:widowControl/>
        <w:jc w:val="center"/>
        <w:rPr>
          <w:rFonts w:ascii="黑体" w:hAnsi="黑体" w:eastAsia="黑体"/>
          <w:color w:val="000000" w:themeColor="text1"/>
          <w:sz w:val="48"/>
          <w:szCs w:val="48"/>
          <w14:textFill>
            <w14:solidFill>
              <w14:schemeClr w14:val="tx1"/>
            </w14:solidFill>
          </w14:textFill>
        </w:rPr>
      </w:pPr>
      <w:r>
        <w:rPr>
          <w:rFonts w:ascii="方正小标宋简体" w:hAnsi="宋体" w:eastAsia="方正小标宋简体"/>
          <w:sz w:val="36"/>
          <w:szCs w:val="36"/>
        </w:rPr>
        <w:br w:type="page"/>
      </w:r>
      <w:r>
        <w:rPr>
          <w:rFonts w:hint="eastAsia" w:ascii="黑体" w:hAnsi="黑体" w:eastAsia="黑体"/>
          <w:color w:val="000000" w:themeColor="text1"/>
          <w:sz w:val="48"/>
          <w:szCs w:val="48"/>
          <w14:textFill>
            <w14:solidFill>
              <w14:schemeClr w14:val="tx1"/>
            </w14:solidFill>
          </w14:textFill>
        </w:rPr>
        <w:t>目录</w:t>
      </w:r>
    </w:p>
    <w:p>
      <w:pPr>
        <w:widowControl/>
        <w:jc w:val="center"/>
        <w:rPr>
          <w:rFonts w:ascii="黑体" w:hAnsi="黑体" w:eastAsia="黑体" w:cstheme="minorBidi"/>
          <w:color w:val="000000" w:themeColor="text1"/>
          <w:sz w:val="28"/>
          <w:szCs w:val="28"/>
          <w14:textFill>
            <w14:solidFill>
              <w14:schemeClr w14:val="tx1"/>
            </w14:solidFill>
          </w14:textFill>
        </w:rPr>
      </w:pPr>
    </w:p>
    <w:p>
      <w:pPr>
        <w:pStyle w:val="10"/>
        <w:rPr>
          <w:color w:val="000000" w:themeColor="text1"/>
          <w14:textFill>
            <w14:solidFill>
              <w14:schemeClr w14:val="tx1"/>
            </w14:solidFill>
          </w14:textFill>
        </w:rPr>
      </w:pPr>
      <w:r>
        <w:rPr>
          <w:rFonts w:hint="eastAsia"/>
          <w:color w:val="000000" w:themeColor="text1"/>
          <w14:textFill>
            <w14:solidFill>
              <w14:schemeClr w14:val="tx1"/>
            </w14:solidFill>
          </w14:textFill>
        </w:rPr>
        <w:t>公开时间：2023年9月</w:t>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日</w:t>
      </w:r>
    </w:p>
    <w:p>
      <w:pPr>
        <w:rPr>
          <w:color w:val="000000" w:themeColor="text1"/>
          <w14:textFill>
            <w14:solidFill>
              <w14:schemeClr w14:val="tx1"/>
            </w14:solidFill>
          </w14:textFill>
        </w:rPr>
      </w:pPr>
    </w:p>
    <w:p>
      <w:pPr>
        <w:pStyle w:val="10"/>
        <w:adjustRightInd w:val="0"/>
        <w:snapToGrid w:val="0"/>
        <w:spacing w:before="0" w:line="440" w:lineRule="exact"/>
        <w:jc w:val="left"/>
        <w:rPr>
          <w:rFonts w:hint="eastAsia" w:eastAsia="仿宋" w:cstheme="minorBidi"/>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第一部分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单位概况</w:t>
      </w:r>
      <w:r>
        <w:rPr>
          <w:rFonts w:cstheme="minorBidi"/>
          <w:color w:val="000000" w:themeColor="text1"/>
          <w:sz w:val="24"/>
          <w:szCs w:val="24"/>
          <w14:textFill>
            <w14:solidFill>
              <w14:schemeClr w14:val="tx1"/>
            </w14:solidFill>
          </w14:textFill>
        </w:rPr>
        <w:tab/>
      </w:r>
      <w:r>
        <w:rPr>
          <w:rFonts w:hint="eastAsia" w:cstheme="minorBidi"/>
          <w:color w:val="000000" w:themeColor="text1"/>
          <w:sz w:val="24"/>
          <w:szCs w:val="24"/>
          <w:lang w:val="en-US" w:eastAsia="zh-CN"/>
          <w14:textFill>
            <w14:solidFill>
              <w14:schemeClr w14:val="tx1"/>
            </w14:solidFill>
          </w14:textFill>
        </w:rPr>
        <w:t>4</w:t>
      </w:r>
    </w:p>
    <w:p>
      <w:pPr>
        <w:pStyle w:val="11"/>
        <w:adjustRightInd w:val="0"/>
        <w:snapToGrid w:val="0"/>
        <w:spacing w:line="440" w:lineRule="exact"/>
        <w:jc w:val="left"/>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一、主要职责</w:t>
      </w:r>
      <w:r>
        <w:rPr>
          <w:rFonts w:hint="eastAsia"/>
          <w:color w:val="000000" w:themeColor="text1"/>
          <w:sz w:val="24"/>
          <w:lang w:val="en-US" w:eastAsia="zh-CN"/>
          <w14:textFill>
            <w14:solidFill>
              <w14:schemeClr w14:val="tx1"/>
            </w14:solidFill>
          </w14:textFill>
        </w:rPr>
        <w:t>.</w:t>
      </w:r>
      <w:r>
        <w:rPr>
          <w:rFonts w:cstheme="minorBidi"/>
          <w:color w:val="000000" w:themeColor="text1"/>
          <w:sz w:val="24"/>
          <w14:textFill>
            <w14:solidFill>
              <w14:schemeClr w14:val="tx1"/>
            </w14:solidFill>
          </w14:textFill>
        </w:rPr>
        <w:tab/>
      </w:r>
      <w:r>
        <w:rPr>
          <w:rFonts w:hint="eastAsia" w:cstheme="minorBidi"/>
          <w:color w:val="000000" w:themeColor="text1"/>
          <w:sz w:val="24"/>
          <w:lang w:val="en-US" w:eastAsia="zh-CN"/>
          <w14:textFill>
            <w14:solidFill>
              <w14:schemeClr w14:val="tx1"/>
            </w14:solidFill>
          </w14:textFill>
        </w:rPr>
        <w:t>4</w:t>
      </w:r>
    </w:p>
    <w:p>
      <w:pPr>
        <w:pStyle w:val="11"/>
        <w:adjustRightInd w:val="0"/>
        <w:snapToGrid w:val="0"/>
        <w:spacing w:line="440" w:lineRule="exact"/>
        <w:jc w:val="left"/>
        <w:rPr>
          <w:rFonts w:hint="default" w:eastAsia="宋体"/>
          <w:color w:val="000000" w:themeColor="text1"/>
          <w:lang w:val="en-US" w:eastAsia="zh-CN"/>
          <w14:textFill>
            <w14:solidFill>
              <w14:schemeClr w14:val="tx1"/>
            </w14:solidFill>
          </w14:textFill>
        </w:rPr>
      </w:pPr>
      <w:r>
        <w:rPr>
          <w:rFonts w:hint="eastAsia"/>
          <w:color w:val="000000" w:themeColor="text1"/>
          <w:sz w:val="24"/>
          <w14:textFill>
            <w14:solidFill>
              <w14:schemeClr w14:val="tx1"/>
            </w14:solidFill>
          </w14:textFill>
        </w:rPr>
        <w:t>二、机构设置</w:t>
      </w:r>
      <w:r>
        <w:rPr>
          <w:rFonts w:hint="eastAsia"/>
          <w:color w:val="000000" w:themeColor="text1"/>
          <w:sz w:val="24"/>
          <w:lang w:val="en-US" w:eastAsia="zh-CN"/>
          <w14:textFill>
            <w14:solidFill>
              <w14:schemeClr w14:val="tx1"/>
            </w14:solidFill>
          </w14:textFill>
        </w:rPr>
        <w:t>...........................................................................................................4</w:t>
      </w:r>
    </w:p>
    <w:p>
      <w:pPr>
        <w:pStyle w:val="10"/>
        <w:adjustRightInd w:val="0"/>
        <w:snapToGrid w:val="0"/>
        <w:spacing w:before="0" w:line="440" w:lineRule="exact"/>
        <w:jc w:val="left"/>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第二部分 2022年度单位决算情况说明</w:t>
      </w:r>
      <w:r>
        <w:rPr>
          <w:rFonts w:hint="eastAsia" w:ascii="Times New Roman" w:hAnsi="Times New Roman" w:cs="Times New Roman"/>
          <w:color w:val="000000" w:themeColor="text1"/>
          <w:sz w:val="24"/>
          <w:lang w:val="en-US" w:eastAsia="zh-CN"/>
          <w14:textFill>
            <w14:solidFill>
              <w14:schemeClr w14:val="tx1"/>
            </w14:solidFill>
          </w14:textFill>
        </w:rPr>
        <w:t>.....................................................................5</w:t>
      </w:r>
    </w:p>
    <w:p>
      <w:pPr>
        <w:pStyle w:val="11"/>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一、收入支出决算总体情况说明</w:t>
      </w:r>
      <w:r>
        <w:rPr>
          <w:rFonts w:hint="eastAsia"/>
          <w:color w:val="000000" w:themeColor="text1"/>
          <w:sz w:val="24"/>
          <w:lang w:val="en-US" w:eastAsia="zh-CN"/>
          <w14:textFill>
            <w14:solidFill>
              <w14:schemeClr w14:val="tx1"/>
            </w14:solidFill>
          </w14:textFill>
        </w:rPr>
        <w:t>.........................................................................5</w:t>
      </w:r>
    </w:p>
    <w:p>
      <w:pPr>
        <w:pStyle w:val="11"/>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二、收入决算情况说明</w:t>
      </w:r>
      <w:r>
        <w:rPr>
          <w:rFonts w:hint="eastAsia"/>
          <w:color w:val="000000" w:themeColor="text1"/>
          <w:sz w:val="24"/>
          <w:lang w:val="en-US" w:eastAsia="zh-CN"/>
          <w14:textFill>
            <w14:solidFill>
              <w14:schemeClr w14:val="tx1"/>
            </w14:solidFill>
          </w14:textFill>
        </w:rPr>
        <w:t>..........................................................................................5</w:t>
      </w:r>
    </w:p>
    <w:p>
      <w:pPr>
        <w:pStyle w:val="11"/>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三、支出决算情况说明</w:t>
      </w:r>
      <w:r>
        <w:rPr>
          <w:rFonts w:hint="eastAsia"/>
          <w:color w:val="000000" w:themeColor="text1"/>
          <w:sz w:val="24"/>
          <w:lang w:val="en-US" w:eastAsia="zh-CN"/>
          <w14:textFill>
            <w14:solidFill>
              <w14:schemeClr w14:val="tx1"/>
            </w14:solidFill>
          </w14:textFill>
        </w:rPr>
        <w:t>..........................................................................................6</w:t>
      </w:r>
    </w:p>
    <w:p>
      <w:pPr>
        <w:pStyle w:val="11"/>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四、财政拨款收入支出决算总体情况说明</w:t>
      </w:r>
      <w:r>
        <w:rPr>
          <w:rFonts w:hint="eastAsia"/>
          <w:color w:val="000000" w:themeColor="text1"/>
          <w:sz w:val="24"/>
          <w:lang w:val="en-US" w:eastAsia="zh-CN"/>
          <w14:textFill>
            <w14:solidFill>
              <w14:schemeClr w14:val="tx1"/>
            </w14:solidFill>
          </w14:textFill>
        </w:rPr>
        <w:t>.........................................................7</w:t>
      </w:r>
    </w:p>
    <w:p>
      <w:pPr>
        <w:pStyle w:val="11"/>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五、一般公共预算财政拨款支出决算情况说明</w:t>
      </w:r>
      <w:r>
        <w:rPr>
          <w:rFonts w:hint="eastAsia"/>
          <w:color w:val="000000" w:themeColor="text1"/>
          <w:sz w:val="24"/>
          <w:lang w:val="en-US" w:eastAsia="zh-CN"/>
          <w14:textFill>
            <w14:solidFill>
              <w14:schemeClr w14:val="tx1"/>
            </w14:solidFill>
          </w14:textFill>
        </w:rPr>
        <w:t>..................................................7</w:t>
      </w:r>
    </w:p>
    <w:p>
      <w:pPr>
        <w:pStyle w:val="11"/>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六、一般公共预算财政拨款基本支出决算情况说明</w:t>
      </w:r>
      <w:r>
        <w:rPr>
          <w:rFonts w:hint="eastAsia"/>
          <w:color w:val="000000" w:themeColor="text1"/>
          <w:sz w:val="24"/>
          <w:lang w:val="en-US" w:eastAsia="zh-CN"/>
          <w14:textFill>
            <w14:solidFill>
              <w14:schemeClr w14:val="tx1"/>
            </w14:solidFill>
          </w14:textFill>
        </w:rPr>
        <w:t>.........................................9</w:t>
      </w:r>
    </w:p>
    <w:p>
      <w:pPr>
        <w:pStyle w:val="11"/>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七、财政拨款“三公”经费支出决算情况说明</w:t>
      </w:r>
      <w:r>
        <w:rPr>
          <w:rFonts w:hint="eastAsia"/>
          <w:color w:val="000000" w:themeColor="text1"/>
          <w:sz w:val="24"/>
          <w:lang w:val="en-US" w:eastAsia="zh-CN"/>
          <w14:textFill>
            <w14:solidFill>
              <w14:schemeClr w14:val="tx1"/>
            </w14:solidFill>
          </w14:textFill>
        </w:rPr>
        <w:t>.................................................10</w:t>
      </w:r>
    </w:p>
    <w:p>
      <w:pPr>
        <w:pStyle w:val="11"/>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八、政府性基金预算支出决算情况说明</w:t>
      </w:r>
      <w:r>
        <w:rPr>
          <w:rFonts w:hint="eastAsia"/>
          <w:color w:val="000000" w:themeColor="text1"/>
          <w:sz w:val="24"/>
          <w:lang w:val="en-US" w:eastAsia="zh-CN"/>
          <w14:textFill>
            <w14:solidFill>
              <w14:schemeClr w14:val="tx1"/>
            </w14:solidFill>
          </w14:textFill>
        </w:rPr>
        <w:t>............................................................11</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九、国有资本经营预算支出决算情况说明</w:t>
      </w:r>
      <w:r>
        <w:rPr>
          <w:rFonts w:hint="eastAsia"/>
          <w:color w:val="000000" w:themeColor="text1"/>
          <w:sz w:val="24"/>
          <w:lang w:val="en-US" w:eastAsia="zh-CN"/>
          <w14:textFill>
            <w14:solidFill>
              <w14:schemeClr w14:val="tx1"/>
            </w14:solidFill>
          </w14:textFill>
        </w:rPr>
        <w:t>........................................................11</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十、其他重要事项的情况说明</w:t>
      </w:r>
      <w:r>
        <w:rPr>
          <w:rFonts w:hint="eastAsia"/>
          <w:color w:val="000000" w:themeColor="text1"/>
          <w:sz w:val="24"/>
          <w:lang w:val="en-US" w:eastAsia="zh-CN"/>
          <w14:textFill>
            <w14:solidFill>
              <w14:schemeClr w14:val="tx1"/>
            </w14:solidFill>
          </w14:textFill>
        </w:rPr>
        <w:t>............................................................................11</w:t>
      </w:r>
    </w:p>
    <w:p>
      <w:pPr>
        <w:pStyle w:val="10"/>
        <w:adjustRightInd w:val="0"/>
        <w:snapToGrid w:val="0"/>
        <w:spacing w:before="0" w:line="440" w:lineRule="exact"/>
        <w:jc w:val="left"/>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第三部分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名词解释</w:t>
      </w:r>
      <w:r>
        <w:rPr>
          <w:rFonts w:hint="eastAsia" w:ascii="Times New Roman" w:hAnsi="Times New Roman" w:cs="Times New Roman"/>
          <w:color w:val="000000" w:themeColor="text1"/>
          <w:sz w:val="24"/>
          <w:lang w:val="en-US" w:eastAsia="zh-CN"/>
          <w14:textFill>
            <w14:solidFill>
              <w14:schemeClr w14:val="tx1"/>
            </w14:solidFill>
          </w14:textFill>
        </w:rPr>
        <w:t>....................................................................................................13</w:t>
      </w:r>
    </w:p>
    <w:p>
      <w:pPr>
        <w:pStyle w:val="10"/>
        <w:adjustRightInd w:val="0"/>
        <w:snapToGrid w:val="0"/>
        <w:spacing w:before="0" w:line="440" w:lineRule="exact"/>
        <w:jc w:val="left"/>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第四部分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附件</w:t>
      </w:r>
      <w:r>
        <w:rPr>
          <w:rFonts w:hint="eastAsia" w:ascii="Times New Roman" w:hAnsi="Times New Roman" w:cs="Times New Roman"/>
          <w:color w:val="000000" w:themeColor="text1"/>
          <w:sz w:val="24"/>
          <w:lang w:val="en-US" w:eastAsia="zh-CN"/>
          <w14:textFill>
            <w14:solidFill>
              <w14:schemeClr w14:val="tx1"/>
            </w14:solidFill>
          </w14:textFill>
        </w:rPr>
        <w:t>............................................................................................................15</w:t>
      </w:r>
    </w:p>
    <w:p>
      <w:pPr>
        <w:pStyle w:val="10"/>
        <w:adjustRightInd w:val="0"/>
        <w:snapToGrid w:val="0"/>
        <w:spacing w:before="0" w:line="440" w:lineRule="exact"/>
        <w:jc w:val="left"/>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第五部分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附表</w:t>
      </w:r>
      <w:r>
        <w:rPr>
          <w:rFonts w:hint="eastAsia" w:ascii="Times New Roman" w:hAnsi="Times New Roman" w:cs="Times New Roman"/>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一、收入支出决算总表</w:t>
      </w:r>
      <w:r>
        <w:rPr>
          <w:rFonts w:hint="eastAsia" w:cs="Times New Roman"/>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二、收入决算表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三、支出决算表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四、财政拨款收入支出决算总表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五、财政拨款支出决算明细表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六、一般公共预算财政拨款支出决算表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七、一般公共预算财政拨款支出决算明细表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八、一般公共预算财政拨款基本支出决算明细表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sz w:val="24"/>
          <w:lang w:val="en-US" w:eastAsia="zh-CN"/>
        </w:rPr>
      </w:pPr>
      <w:r>
        <w:rPr>
          <w:rFonts w:hint="eastAsia"/>
          <w:color w:val="000000" w:themeColor="text1"/>
          <w:sz w:val="24"/>
          <w14:textFill>
            <w14:solidFill>
              <w14:schemeClr w14:val="tx1"/>
            </w14:solidFill>
          </w14:textFill>
        </w:rPr>
        <w:t>九、一般公共预算财政拨款项目支出决算表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十、政府性基金预算财政拨款收入支出决算表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十一、国有资本经营预算财政拨款收入支出决算表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十二、国有资本经营预算财政拨款支出决算表</w:t>
      </w:r>
      <w:r>
        <w:rPr>
          <w:rFonts w:hint="eastAsia"/>
          <w:color w:val="000000" w:themeColor="text1"/>
          <w:sz w:val="24"/>
          <w:lang w:val="en-US" w:eastAsia="zh-CN"/>
          <w14:textFill>
            <w14:solidFill>
              <w14:schemeClr w14:val="tx1"/>
            </w14:solidFill>
          </w14:textFill>
        </w:rPr>
        <w:t>............................................16</w:t>
      </w:r>
    </w:p>
    <w:p>
      <w:pPr>
        <w:pStyle w:val="11"/>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十三、财政拨款“三公”经费支出决算表</w:t>
      </w:r>
      <w:r>
        <w:rPr>
          <w:rFonts w:hint="eastAsia"/>
          <w:color w:val="000000" w:themeColor="text1"/>
          <w:sz w:val="24"/>
          <w:lang w:val="en-US" w:eastAsia="zh-CN"/>
          <w14:textFill>
            <w14:solidFill>
              <w14:schemeClr w14:val="tx1"/>
            </w14:solidFill>
          </w14:textFill>
        </w:rPr>
        <w:t>....................................................16</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4"/>
          <w:rFonts w:ascii="黑体" w:hAnsi="黑体" w:eastAsia="黑体"/>
          <w:b/>
          <w:bCs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第一部分 单位</w:t>
      </w:r>
      <w:r>
        <w:rPr>
          <w:rStyle w:val="24"/>
          <w:rFonts w:hint="eastAsia" w:ascii="黑体" w:hAnsi="黑体" w:eastAsia="黑体"/>
          <w:b w:val="0"/>
          <w:bCs w:val="0"/>
          <w:color w:val="000000" w:themeColor="text1"/>
          <w14:textFill>
            <w14:solidFill>
              <w14:schemeClr w14:val="tx1"/>
            </w14:solidFill>
          </w14:textFill>
        </w:rPr>
        <w:t>概况</w:t>
      </w:r>
      <w:bookmarkEnd w:id="12"/>
      <w:bookmarkEnd w:id="13"/>
    </w:p>
    <w:p>
      <w:pPr>
        <w:widowControl/>
        <w:jc w:val="left"/>
        <w:rPr>
          <w:rFonts w:ascii="黑体" w:eastAsia="黑体"/>
          <w:color w:val="000000" w:themeColor="text1"/>
          <w:sz w:val="32"/>
          <w:szCs w:val="32"/>
          <w14:textFill>
            <w14:solidFill>
              <w14:schemeClr w14:val="tx1"/>
            </w14:solidFill>
          </w14:textFill>
        </w:rPr>
      </w:pPr>
    </w:p>
    <w:p>
      <w:pPr>
        <w:pStyle w:val="4"/>
        <w:numPr>
          <w:ilvl w:val="0"/>
          <w:numId w:val="1"/>
        </w:numPr>
        <w:rPr>
          <w:rStyle w:val="25"/>
          <w:rFonts w:ascii="黑体" w:hAnsi="黑体" w:eastAsia="黑体"/>
          <w:b w:val="0"/>
          <w:bCs w:val="0"/>
          <w:color w:val="000000" w:themeColor="text1"/>
          <w14:textFill>
            <w14:solidFill>
              <w14:schemeClr w14:val="tx1"/>
            </w14:solidFill>
          </w14:textFill>
        </w:rPr>
      </w:pPr>
      <w:bookmarkStart w:id="14" w:name="_Toc15377197"/>
      <w:bookmarkStart w:id="15" w:name="_Toc15396600"/>
      <w:r>
        <w:rPr>
          <w:rStyle w:val="25"/>
          <w:rFonts w:hint="eastAsia" w:ascii="黑体" w:hAnsi="黑体" w:eastAsia="黑体"/>
          <w:b w:val="0"/>
          <w:bCs w:val="0"/>
          <w:color w:val="000000" w:themeColor="text1"/>
          <w14:textFill>
            <w14:solidFill>
              <w14:schemeClr w14:val="tx1"/>
            </w14:solidFill>
          </w14:textFill>
        </w:rPr>
        <w:t>主要职责</w:t>
      </w:r>
    </w:p>
    <w:p>
      <w:pPr>
        <w:pStyle w:val="2"/>
        <w:pageBreakBefore w:val="0"/>
        <w:widowControl w:val="0"/>
        <w:kinsoku/>
        <w:wordWrap/>
        <w:overflowPunct/>
        <w:topLinePunct w:val="0"/>
        <w:autoSpaceDE/>
        <w:autoSpaceDN/>
        <w:bidi w:val="0"/>
        <w:adjustRightInd w:val="0"/>
        <w:snapToGrid w:val="0"/>
        <w:spacing w:before="93" w:line="360" w:lineRule="auto"/>
        <w:ind w:firstLine="640" w:firstLineChars="200"/>
        <w:textAlignment w:val="auto"/>
        <w:outlineLvl w:val="2"/>
        <w:rPr>
          <w:color w:val="000000" w:themeColor="text1"/>
          <w14:textFill>
            <w14:solidFill>
              <w14:schemeClr w14:val="tx1"/>
            </w14:solidFill>
          </w14:textFill>
        </w:rPr>
      </w:pPr>
      <w:r>
        <w:rPr>
          <w:rFonts w:hint="eastAsia" w:hAnsi="方正仿宋_GBK" w:cs="方正仿宋_GBK"/>
          <w:color w:val="000000" w:themeColor="text1"/>
          <w:kern w:val="2"/>
          <w:sz w:val="32"/>
          <w:szCs w:val="32"/>
          <w14:textFill>
            <w14:solidFill>
              <w14:schemeClr w14:val="tx1"/>
            </w14:solidFill>
          </w14:textFill>
        </w:rPr>
        <w:t>攀枝花市人力资源和社会保障信息中心是</w:t>
      </w:r>
      <w:r>
        <w:rPr>
          <w:rFonts w:hint="eastAsia" w:hAnsi="方正仿宋_GBK" w:cs="方正仿宋_GBK"/>
          <w:color w:val="000000" w:themeColor="text1"/>
          <w:kern w:val="2"/>
          <w:sz w:val="32"/>
          <w:szCs w:val="32"/>
          <w:lang w:val="en-US" w:eastAsia="zh-CN"/>
          <w14:textFill>
            <w14:solidFill>
              <w14:schemeClr w14:val="tx1"/>
            </w14:solidFill>
          </w14:textFill>
        </w:rPr>
        <w:t>攀枝花</w:t>
      </w:r>
      <w:r>
        <w:rPr>
          <w:rFonts w:hint="eastAsia" w:hAnsi="方正仿宋_GBK" w:cs="方正仿宋_GBK"/>
          <w:color w:val="000000" w:themeColor="text1"/>
          <w:kern w:val="2"/>
          <w:sz w:val="32"/>
          <w:szCs w:val="32"/>
          <w14:textFill>
            <w14:solidFill>
              <w14:schemeClr w14:val="tx1"/>
            </w14:solidFill>
          </w14:textFill>
        </w:rPr>
        <w:t>市人力资源和社会保障局下属公益一类事业单位。主要承担人力资源和社会保障系统的信息化建设和维护工作；负责攀枝花市社会保障卡</w:t>
      </w:r>
      <w:r>
        <w:rPr>
          <w:rFonts w:hint="eastAsia" w:hAnsi="方正仿宋_GBK" w:cs="方正仿宋_GBK"/>
          <w:color w:val="000000" w:themeColor="text1"/>
          <w:kern w:val="2"/>
          <w:sz w:val="32"/>
          <w:szCs w:val="32"/>
          <w:lang w:val="en-US" w:eastAsia="zh-CN"/>
          <w14:textFill>
            <w14:solidFill>
              <w14:schemeClr w14:val="tx1"/>
            </w14:solidFill>
          </w14:textFill>
        </w:rPr>
        <w:t>的</w:t>
      </w:r>
      <w:r>
        <w:rPr>
          <w:rFonts w:hint="eastAsia" w:hAnsi="方正仿宋_GBK" w:cs="方正仿宋_GBK"/>
          <w:color w:val="000000" w:themeColor="text1"/>
          <w:kern w:val="2"/>
          <w:sz w:val="32"/>
          <w:szCs w:val="32"/>
          <w14:textFill>
            <w14:solidFill>
              <w14:schemeClr w14:val="tx1"/>
            </w14:solidFill>
          </w14:textFill>
        </w:rPr>
        <w:t>管理及运行；负责攀枝花市12333人力资源和社会保障服务咨询热线</w:t>
      </w:r>
      <w:r>
        <w:rPr>
          <w:rFonts w:hint="eastAsia" w:hAnsi="方正仿宋_GBK" w:cs="方正仿宋_GBK"/>
          <w:color w:val="000000" w:themeColor="text1"/>
          <w:kern w:val="2"/>
          <w:sz w:val="32"/>
          <w:szCs w:val="32"/>
          <w:lang w:val="en-US" w:eastAsia="zh-CN"/>
          <w14:textFill>
            <w14:solidFill>
              <w14:schemeClr w14:val="tx1"/>
            </w14:solidFill>
          </w14:textFill>
        </w:rPr>
        <w:t>的</w:t>
      </w:r>
      <w:r>
        <w:rPr>
          <w:rFonts w:hint="eastAsia" w:hAnsi="方正仿宋_GBK" w:cs="方正仿宋_GBK"/>
          <w:color w:val="000000" w:themeColor="text1"/>
          <w:kern w:val="2"/>
          <w:sz w:val="32"/>
          <w:szCs w:val="32"/>
          <w14:textFill>
            <w14:solidFill>
              <w14:schemeClr w14:val="tx1"/>
            </w14:solidFill>
          </w14:textFill>
        </w:rPr>
        <w:t>管理及运行等工作。</w:t>
      </w:r>
    </w:p>
    <w:p>
      <w:pPr>
        <w:pStyle w:val="4"/>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二、机构设置</w:t>
      </w:r>
    </w:p>
    <w:bookmarkEnd w:id="14"/>
    <w:bookmarkEnd w:id="15"/>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攀枝花市人力资源和社会保障信息中心无下属二级单位，无内设科室。</w:t>
      </w:r>
    </w:p>
    <w:p>
      <w:pPr>
        <w:pStyle w:val="2"/>
        <w:adjustRightInd w:val="0"/>
        <w:snapToGrid w:val="0"/>
        <w:spacing w:before="93" w:line="600" w:lineRule="exact"/>
        <w:ind w:firstLine="672" w:firstLineChars="21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我中心没有纳入2022年度部门决算编制范围的二级预算单位。</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color w:val="000000" w:themeColor="text1"/>
          <w14:textFill>
            <w14:solidFill>
              <w14:schemeClr w14:val="tx1"/>
            </w14:solidFill>
          </w14:textFill>
        </w:rPr>
      </w:pPr>
      <w:bookmarkStart w:id="16" w:name="_Toc15396602"/>
      <w:bookmarkStart w:id="17" w:name="_Toc15377204"/>
      <w:r>
        <w:rPr>
          <w:rFonts w:hint="eastAsia" w:ascii="黑体" w:hAnsi="黑体" w:eastAsia="黑体"/>
          <w:b w:val="0"/>
          <w:color w:val="000000" w:themeColor="text1"/>
          <w14:textFill>
            <w14:solidFill>
              <w14:schemeClr w14:val="tx1"/>
            </w14:solidFill>
          </w14:textFill>
        </w:rPr>
        <w:t>第二部分 2022年度</w:t>
      </w:r>
      <w:r>
        <w:rPr>
          <w:rStyle w:val="24"/>
          <w:rFonts w:hint="eastAsia" w:ascii="黑体" w:hAnsi="黑体" w:eastAsia="黑体"/>
          <w:b w:val="0"/>
          <w:bCs/>
          <w:color w:val="000000" w:themeColor="text1"/>
          <w14:textFill>
            <w14:solidFill>
              <w14:schemeClr w14:val="tx1"/>
            </w14:solidFill>
          </w14:textFill>
        </w:rPr>
        <w:t>单位决算情况说明</w:t>
      </w:r>
      <w:bookmarkEnd w:id="16"/>
      <w:bookmarkEnd w:id="17"/>
    </w:p>
    <w:p>
      <w:pPr>
        <w:rPr>
          <w:color w:val="000000" w:themeColor="text1"/>
          <w14:textFill>
            <w14:solidFill>
              <w14:schemeClr w14:val="tx1"/>
            </w14:solidFill>
          </w14:textFill>
        </w:rPr>
      </w:pPr>
    </w:p>
    <w:p>
      <w:pPr>
        <w:pStyle w:val="23"/>
        <w:numPr>
          <w:ilvl w:val="0"/>
          <w:numId w:val="2"/>
        </w:numPr>
        <w:spacing w:line="600" w:lineRule="exact"/>
        <w:ind w:firstLineChars="0"/>
        <w:outlineLvl w:val="1"/>
        <w:rPr>
          <w:rStyle w:val="25"/>
          <w:rFonts w:ascii="黑体" w:hAnsi="黑体" w:eastAsia="黑体"/>
          <w:b w:val="0"/>
          <w:color w:val="000000" w:themeColor="text1"/>
          <w14:textFill>
            <w14:solidFill>
              <w14:schemeClr w14:val="tx1"/>
            </w14:solidFill>
          </w14:textFill>
        </w:rPr>
      </w:pPr>
      <w:bookmarkStart w:id="18" w:name="_Toc15377205"/>
      <w:bookmarkStart w:id="19" w:name="_Toc15396603"/>
      <w:r>
        <w:rPr>
          <w:rFonts w:hint="eastAsia" w:ascii="黑体" w:hAnsi="黑体" w:eastAsia="黑体"/>
          <w:color w:val="000000" w:themeColor="text1"/>
          <w:sz w:val="32"/>
          <w:szCs w:val="32"/>
          <w14:textFill>
            <w14:solidFill>
              <w14:schemeClr w14:val="tx1"/>
            </w14:solidFill>
          </w14:textFill>
        </w:rPr>
        <w:t>收</w:t>
      </w:r>
      <w:r>
        <w:rPr>
          <w:rStyle w:val="25"/>
          <w:rFonts w:hint="eastAsia" w:ascii="黑体" w:hAnsi="黑体" w:eastAsia="黑体"/>
          <w:b w:val="0"/>
          <w:color w:val="000000" w:themeColor="text1"/>
          <w14:textFill>
            <w14:solidFill>
              <w14:schemeClr w14:val="tx1"/>
            </w14:solidFill>
          </w14:textFill>
        </w:rPr>
        <w:t>入支出决算总体情况说明</w:t>
      </w:r>
      <w:bookmarkEnd w:id="18"/>
      <w:bookmarkEnd w:id="19"/>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2022年度收、支总计760.14万元。与2021年相比，收入减少了115.54万元，下降23.31%；支出减少了115.54万元，下降了23.31%。主要变动原因是我中心厉行节约，按要求压减公用支出及项目支出。</w:t>
      </w:r>
    </w:p>
    <w:p>
      <w:pPr>
        <w:pStyle w:val="2"/>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256530" cy="3232150"/>
            <wp:effectExtent l="0" t="0" r="1270" b="635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0"/>
                    <a:stretch>
                      <a:fillRect/>
                    </a:stretch>
                  </pic:blipFill>
                  <pic:spPr>
                    <a:xfrm>
                      <a:off x="0" y="0"/>
                      <a:ext cx="5256530" cy="3232150"/>
                    </a:xfrm>
                    <a:prstGeom prst="rect">
                      <a:avLst/>
                    </a:prstGeom>
                  </pic:spPr>
                </pic:pic>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r>
        <w:rPr>
          <w:rFonts w:hint="eastAsia" w:ascii="仿宋" w:hAnsi="仿宋" w:eastAsia="仿宋"/>
          <w:sz w:val="32"/>
          <w:szCs w:val="32"/>
          <w:lang w:val="en-US" w:eastAsia="zh-CN"/>
        </w:rPr>
        <w:t>单位：万元</w:t>
      </w:r>
      <w:r>
        <w:rPr>
          <w:rFonts w:hint="eastAsia" w:ascii="仿宋" w:hAnsi="仿宋" w:eastAsia="仿宋"/>
          <w:sz w:val="32"/>
          <w:szCs w:val="32"/>
        </w:rPr>
        <w:t>）</w:t>
      </w:r>
    </w:p>
    <w:p>
      <w:pPr>
        <w:pStyle w:val="23"/>
        <w:numPr>
          <w:ilvl w:val="0"/>
          <w:numId w:val="2"/>
        </w:numPr>
        <w:spacing w:line="600" w:lineRule="exact"/>
        <w:ind w:firstLineChars="0"/>
        <w:outlineLvl w:val="1"/>
        <w:rPr>
          <w:rStyle w:val="25"/>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ind w:firstLine="800" w:firstLineChars="250"/>
        <w:rPr>
          <w:rFonts w:hint="eastAsia" w:ascii="仿宋_GB2312" w:hAnsi="方正仿宋_GBK" w:eastAsia="仿宋_GB2312" w:cs="方正仿宋_GBK"/>
          <w:kern w:val="2"/>
          <w:sz w:val="32"/>
          <w:szCs w:val="32"/>
          <w:lang w:val="en-US" w:eastAsia="zh-CN" w:bidi="ar-SA"/>
        </w:rPr>
      </w:pPr>
      <w:r>
        <w:rPr>
          <w:rFonts w:hint="eastAsia" w:ascii="仿宋_GB2312" w:hAnsi="方正仿宋_GBK" w:eastAsia="仿宋_GB2312" w:cs="方正仿宋_GBK"/>
          <w:kern w:val="2"/>
          <w:sz w:val="32"/>
          <w:szCs w:val="32"/>
          <w:lang w:val="en-US" w:eastAsia="zh-CN" w:bidi="ar-SA"/>
        </w:rPr>
        <w:t>2022年本年收入合计183.19万元，其中：一般公共预算财政拨款收入183.19万元，占100%；政府性基金预算财政拨款收入0万元，占0%；国有资本经营预算财政拨款收入0万元，占0%；上级补助收入0万元，占0%；事业收入0万</w:t>
      </w: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元，占0%；经营收入0万元，占0%；附属单位上缴收入0万元，占0%；其他收入0万元，占0%。</w:t>
      </w:r>
    </w:p>
    <w:p>
      <w:pPr>
        <w:pStyle w:val="2"/>
        <w:rPr>
          <w:rFonts w:hint="eastAsia" w:ascii="仿宋" w:hAnsi="仿宋" w:eastAsia="仿宋"/>
          <w:b/>
          <w:sz w:val="32"/>
          <w:szCs w:val="32"/>
          <w:lang w:eastAsia="zh-CN"/>
        </w:rPr>
      </w:pPr>
      <w:r>
        <w:rPr>
          <w:rFonts w:hint="eastAsia" w:ascii="仿宋" w:hAnsi="仿宋" w:eastAsia="仿宋"/>
          <w:b/>
          <w:sz w:val="32"/>
          <w:szCs w:val="32"/>
          <w:lang w:eastAsia="zh-CN"/>
        </w:rPr>
        <w:drawing>
          <wp:inline distT="0" distB="0" distL="114300" distR="114300">
            <wp:extent cx="5340985" cy="2717165"/>
            <wp:effectExtent l="0" t="0" r="5715" b="635"/>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11"/>
                    <a:stretch>
                      <a:fillRect/>
                    </a:stretch>
                  </pic:blipFill>
                  <pic:spPr>
                    <a:xfrm>
                      <a:off x="0" y="0"/>
                      <a:ext cx="5340985" cy="2717165"/>
                    </a:xfrm>
                    <a:prstGeom prst="rect">
                      <a:avLst/>
                    </a:prstGeom>
                  </pic:spPr>
                </pic:pic>
              </a:graphicData>
            </a:graphic>
          </wp:inline>
        </w:drawing>
      </w:r>
    </w:p>
    <w:p>
      <w:pPr>
        <w:spacing w:line="600" w:lineRule="exact"/>
        <w:ind w:firstLine="1280" w:firstLineChars="400"/>
        <w:rPr>
          <w:rFonts w:ascii="仿宋_GB2312" w:eastAsia="仿宋_GB2312"/>
          <w:sz w:val="32"/>
          <w:szCs w:val="32"/>
        </w:rPr>
      </w:pPr>
      <w:r>
        <w:rPr>
          <w:rFonts w:hint="eastAsia" w:ascii="仿宋" w:hAnsi="仿宋" w:eastAsia="仿宋"/>
          <w:color w:val="000000" w:themeColor="text1"/>
          <w:sz w:val="32"/>
          <w:szCs w:val="32"/>
          <w14:textFill>
            <w14:solidFill>
              <w14:schemeClr w14:val="tx1"/>
            </w14:solidFill>
          </w14:textFill>
        </w:rPr>
        <w:t>图2：收入决算结构图（</w:t>
      </w:r>
      <w:r>
        <w:rPr>
          <w:rFonts w:hint="eastAsia" w:ascii="仿宋" w:hAnsi="仿宋" w:eastAsia="仿宋"/>
          <w:color w:val="000000" w:themeColor="text1"/>
          <w:sz w:val="32"/>
          <w:szCs w:val="32"/>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pStyle w:val="23"/>
        <w:numPr>
          <w:ilvl w:val="0"/>
          <w:numId w:val="2"/>
        </w:numPr>
        <w:spacing w:line="600" w:lineRule="exact"/>
        <w:ind w:firstLineChars="0"/>
        <w:outlineLvl w:val="1"/>
        <w:rPr>
          <w:rStyle w:val="25"/>
          <w:rFonts w:ascii="黑体" w:hAnsi="黑体" w:eastAsia="黑体"/>
          <w:b w:val="0"/>
          <w:color w:val="000000" w:themeColor="text1"/>
          <w14:textFill>
            <w14:solidFill>
              <w14:schemeClr w14:val="tx1"/>
            </w14:solidFill>
          </w14:textFill>
        </w:rPr>
      </w:pPr>
      <w:bookmarkStart w:id="22" w:name="_Toc15396605"/>
      <w:bookmarkStart w:id="23" w:name="_Toc15377207"/>
      <w:r>
        <w:rPr>
          <w:rFonts w:hint="eastAsia" w:ascii="黑体" w:hAnsi="黑体" w:eastAsia="黑体"/>
          <w:color w:val="000000" w:themeColor="text1"/>
          <w:sz w:val="32"/>
          <w:szCs w:val="32"/>
          <w14:textFill>
            <w14:solidFill>
              <w14:schemeClr w14:val="tx1"/>
            </w14:solidFill>
          </w14:textFill>
        </w:rPr>
        <w:t>支</w:t>
      </w:r>
      <w:r>
        <w:rPr>
          <w:rStyle w:val="25"/>
          <w:rFonts w:hint="eastAsia" w:ascii="黑体" w:hAnsi="黑体" w:eastAsia="黑体"/>
          <w:b w:val="0"/>
          <w:color w:val="000000" w:themeColor="text1"/>
          <w14:textFill>
            <w14:solidFill>
              <w14:schemeClr w14:val="tx1"/>
            </w14:solidFill>
          </w14:textFill>
        </w:rPr>
        <w:t>出决算情况说明</w:t>
      </w:r>
      <w:bookmarkEnd w:id="22"/>
      <w:bookmarkEnd w:id="23"/>
    </w:p>
    <w:p>
      <w:pPr>
        <w:ind w:firstLine="800" w:firstLineChars="250"/>
        <w:rPr>
          <w:rFonts w:hint="eastAsia" w:ascii="仿宋_GB2312" w:hAnsi="方正仿宋_GBK" w:eastAsia="仿宋_GB2312" w:cs="方正仿宋_GBK"/>
          <w:kern w:val="2"/>
          <w:sz w:val="32"/>
          <w:szCs w:val="32"/>
          <w:lang w:val="en-US" w:eastAsia="zh-CN" w:bidi="ar-SA"/>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2022年本年支出合计380.07万元，其中：基本支出106.23万元，占27.95%；项目支出273.84万元，占72.05%；上缴上级支出0万元，占0%；经营支出0万元，占0%；对附属单位补助支出0万元，占0%</w:t>
      </w:r>
      <w:r>
        <w:rPr>
          <w:rFonts w:hint="eastAsia" w:ascii="仿宋_GB2312" w:hAnsi="方正仿宋_GBK" w:eastAsia="仿宋_GB2312" w:cs="方正仿宋_GBK"/>
          <w:kern w:val="2"/>
          <w:sz w:val="32"/>
          <w:szCs w:val="32"/>
          <w:lang w:val="en-US" w:eastAsia="zh-CN" w:bidi="ar-SA"/>
        </w:rPr>
        <w:t>。</w:t>
      </w:r>
    </w:p>
    <w:p>
      <w:pPr>
        <w:pStyle w:val="2"/>
        <w:rPr>
          <w:rFonts w:hint="default"/>
          <w:lang w:val="en-US" w:eastAsia="zh-CN"/>
        </w:rPr>
      </w:pPr>
      <w:r>
        <w:rPr>
          <w:rFonts w:hint="eastAsia"/>
          <w:lang w:val="en-US" w:eastAsia="zh-CN"/>
        </w:rPr>
        <w:drawing>
          <wp:inline distT="0" distB="0" distL="114300" distR="114300">
            <wp:extent cx="5194300" cy="2567940"/>
            <wp:effectExtent l="0" t="0" r="0" b="10160"/>
            <wp:docPr id="13" name="图片 1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3"/>
                    <pic:cNvPicPr>
                      <a:picLocks noChangeAspect="1"/>
                    </pic:cNvPicPr>
                  </pic:nvPicPr>
                  <pic:blipFill>
                    <a:blip r:embed="rId12"/>
                    <a:stretch>
                      <a:fillRect/>
                    </a:stretch>
                  </pic:blipFill>
                  <pic:spPr>
                    <a:xfrm>
                      <a:off x="0" y="0"/>
                      <a:ext cx="5194300" cy="2567940"/>
                    </a:xfrm>
                    <a:prstGeom prst="rect">
                      <a:avLst/>
                    </a:prstGeom>
                  </pic:spPr>
                </pic:pic>
              </a:graphicData>
            </a:graphic>
          </wp:inline>
        </w:drawing>
      </w:r>
    </w:p>
    <w:p>
      <w:pPr>
        <w:pStyle w:val="2"/>
        <w:ind w:firstLine="1280" w:firstLineChars="400"/>
        <w:rPr>
          <w:rFonts w:ascii="仿宋_GB2312" w:eastAsia="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r>
        <w:rPr>
          <w:rFonts w:hint="eastAsia" w:ascii="仿宋" w:hAnsi="仿宋" w:eastAsia="仿宋"/>
          <w:color w:val="000000" w:themeColor="text1"/>
          <w:sz w:val="32"/>
          <w:szCs w:val="32"/>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outlineLvl w:val="1"/>
        <w:rPr>
          <w:rStyle w:val="25"/>
          <w:rFonts w:ascii="黑体" w:hAnsi="黑体" w:eastAsia="黑体"/>
          <w:b w:val="0"/>
          <w:color w:val="000000" w:themeColor="text1"/>
          <w14:textFill>
            <w14:solidFill>
              <w14:schemeClr w14:val="tx1"/>
            </w14:solidFill>
          </w14:textFill>
        </w:rPr>
      </w:pPr>
      <w:bookmarkStart w:id="24" w:name="_Toc15396606"/>
      <w:bookmarkStart w:id="25" w:name="_Toc15377208"/>
      <w:r>
        <w:rPr>
          <w:rFonts w:hint="eastAsia" w:ascii="黑体" w:hAnsi="黑体" w:eastAsia="黑体"/>
          <w:color w:val="000000" w:themeColor="text1"/>
          <w:sz w:val="32"/>
          <w:szCs w:val="32"/>
          <w14:textFill>
            <w14:solidFill>
              <w14:schemeClr w14:val="tx1"/>
            </w14:solidFill>
          </w14:textFill>
        </w:rPr>
        <w:t>四、财</w:t>
      </w:r>
      <w:r>
        <w:rPr>
          <w:rStyle w:val="25"/>
          <w:rFonts w:hint="eastAsia" w:ascii="黑体" w:hAnsi="黑体" w:eastAsia="黑体"/>
          <w:b w:val="0"/>
          <w:color w:val="000000" w:themeColor="text1"/>
          <w14:textFill>
            <w14:solidFill>
              <w14:schemeClr w14:val="tx1"/>
            </w14:solidFill>
          </w14:textFill>
        </w:rPr>
        <w:t>政拨款收入支出决算总体情况说明</w:t>
      </w:r>
      <w:bookmarkEnd w:id="24"/>
      <w:bookmarkEnd w:id="25"/>
    </w:p>
    <w:p>
      <w:pPr>
        <w:ind w:firstLine="800" w:firstLineChars="250"/>
        <w:rPr>
          <w:rFonts w:hint="eastAsia" w:ascii="仿宋_GB2312" w:hAnsi="方正仿宋_GBK" w:eastAsia="仿宋_GB2312" w:cs="方正仿宋_GBK"/>
          <w:kern w:val="2"/>
          <w:sz w:val="32"/>
          <w:szCs w:val="32"/>
          <w:lang w:val="en-US" w:eastAsia="zh-CN" w:bidi="ar-SA"/>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2022年财政拨款收、支总计760.14万元。与2021年相比，财政拨款收入总计减少115.54万元，下降23.31%；支出总计减少了115.54万元，下降了23.31%。主要变动原因是我中心厉行节约，按要求压减公用支出及项目支出。</w:t>
      </w:r>
    </w:p>
    <w:p>
      <w:pPr>
        <w:pStyle w:val="2"/>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325745" cy="2708910"/>
            <wp:effectExtent l="0" t="0" r="8255" b="8890"/>
            <wp:docPr id="2" name="图片 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4"/>
                    <pic:cNvPicPr>
                      <a:picLocks noChangeAspect="1"/>
                    </pic:cNvPicPr>
                  </pic:nvPicPr>
                  <pic:blipFill>
                    <a:blip r:embed="rId13"/>
                    <a:stretch>
                      <a:fillRect/>
                    </a:stretch>
                  </pic:blipFill>
                  <pic:spPr>
                    <a:xfrm>
                      <a:off x="0" y="0"/>
                      <a:ext cx="5325745" cy="2708910"/>
                    </a:xfrm>
                    <a:prstGeom prst="rect">
                      <a:avLst/>
                    </a:prstGeom>
                  </pic:spPr>
                </pic:pic>
              </a:graphicData>
            </a:graphic>
          </wp:inline>
        </w:drawing>
      </w:r>
    </w:p>
    <w:p>
      <w:pPr>
        <w:spacing w:line="600" w:lineRule="exact"/>
        <w:ind w:firstLine="640"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000000" w:themeColor="text1"/>
          <w:sz w:val="32"/>
          <w:szCs w:val="32"/>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outlineLvl w:val="1"/>
        <w:rPr>
          <w:rStyle w:val="25"/>
          <w:rFonts w:ascii="黑体" w:hAnsi="黑体" w:eastAsia="黑体"/>
          <w:b w:val="0"/>
          <w:color w:val="000000" w:themeColor="text1"/>
          <w14:textFill>
            <w14:solidFill>
              <w14:schemeClr w14:val="tx1"/>
            </w14:solidFill>
          </w14:textFill>
        </w:rPr>
      </w:pPr>
      <w:bookmarkStart w:id="26" w:name="_Toc15377209"/>
      <w:bookmarkStart w:id="27" w:name="_Toc15396607"/>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b/>
          <w:color w:val="000000" w:themeColor="text1"/>
          <w:sz w:val="32"/>
          <w:szCs w:val="32"/>
          <w14:textFill>
            <w14:solidFill>
              <w14:schemeClr w14:val="tx1"/>
            </w14:solidFill>
          </w14:textFill>
        </w:rPr>
        <w:t>一</w:t>
      </w:r>
      <w:r>
        <w:rPr>
          <w:rStyle w:val="25"/>
          <w:rFonts w:hint="eastAsia" w:ascii="黑体" w:hAnsi="黑体" w:eastAsia="黑体"/>
          <w:b w:val="0"/>
          <w:color w:val="000000" w:themeColor="text1"/>
          <w14:textFill>
            <w14:solidFill>
              <w14:schemeClr w14:val="tx1"/>
            </w14:solidFill>
          </w14:textFill>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themeColor="text1"/>
          <w:sz w:val="32"/>
          <w:szCs w:val="32"/>
          <w14:textFill>
            <w14:solidFill>
              <w14:schemeClr w14:val="tx1"/>
            </w14:solidFill>
          </w14:textFill>
        </w:rPr>
      </w:pPr>
      <w:bookmarkStart w:id="28" w:name="_Toc15377210"/>
      <w:r>
        <w:rPr>
          <w:rFonts w:hint="eastAsia" w:ascii="仿宋" w:hAnsi="仿宋" w:eastAsia="仿宋"/>
          <w:b/>
          <w:color w:val="000000" w:themeColor="text1"/>
          <w:sz w:val="32"/>
          <w:szCs w:val="32"/>
          <w14:textFill>
            <w14:solidFill>
              <w14:schemeClr w14:val="tx1"/>
            </w14:solidFill>
          </w14:textFill>
        </w:rPr>
        <w:t>（一）一般公共预算财政拨款支出决算总体情况</w:t>
      </w:r>
      <w:bookmarkEnd w:id="28"/>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2022年一般公共预算财政拨款支出380.07万元，占本年支出合计的100%。与2021年相比，一般公共预算财政拨款支出减少115.54万元，下降23.31%。主要变动原因是我中心厉行节约，按要求压减公用支出及项目支出。</w:t>
      </w:r>
    </w:p>
    <w:p>
      <w:pPr>
        <w:pStyle w:val="2"/>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206365" cy="2603500"/>
            <wp:effectExtent l="0" t="0" r="635" b="0"/>
            <wp:docPr id="8"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5"/>
                    <pic:cNvPicPr>
                      <a:picLocks noChangeAspect="1"/>
                    </pic:cNvPicPr>
                  </pic:nvPicPr>
                  <pic:blipFill>
                    <a:blip r:embed="rId14"/>
                    <a:stretch>
                      <a:fillRect/>
                    </a:stretch>
                  </pic:blipFill>
                  <pic:spPr>
                    <a:xfrm>
                      <a:off x="0" y="0"/>
                      <a:ext cx="5206365" cy="2603500"/>
                    </a:xfrm>
                    <a:prstGeom prst="rect">
                      <a:avLst/>
                    </a:prstGeom>
                  </pic:spPr>
                </pic:pic>
              </a:graphicData>
            </a:graphic>
          </wp:inline>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3200" w:firstLineChars="10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hint="eastAsia" w:ascii="仿宋" w:hAnsi="仿宋" w:eastAsia="仿宋"/>
          <w:b/>
          <w:color w:val="000000" w:themeColor="text1"/>
          <w:sz w:val="32"/>
          <w:szCs w:val="32"/>
          <w14:textFill>
            <w14:solidFill>
              <w14:schemeClr w14:val="tx1"/>
            </w14:solidFill>
          </w14:textFill>
        </w:rPr>
      </w:pPr>
      <w:bookmarkStart w:id="29" w:name="_Toc15377211"/>
      <w:r>
        <w:rPr>
          <w:rFonts w:hint="eastAsia" w:ascii="仿宋" w:hAnsi="仿宋" w:eastAsia="仿宋"/>
          <w:b/>
          <w:color w:val="000000" w:themeColor="text1"/>
          <w:sz w:val="32"/>
          <w:szCs w:val="32"/>
          <w14:textFill>
            <w14:solidFill>
              <w14:schemeClr w14:val="tx1"/>
            </w14:solidFill>
          </w14:textFill>
        </w:rPr>
        <w:t>（二）一般公共预算财政拨款支出决算结构情况</w:t>
      </w:r>
      <w:bookmarkEnd w:id="29"/>
    </w:p>
    <w:p>
      <w:pPr>
        <w:ind w:firstLine="800" w:firstLineChars="250"/>
        <w:rPr>
          <w:rFonts w:hint="eastAsia" w:ascii="仿宋_GB2312" w:hAnsi="方正仿宋_GBK" w:eastAsia="仿宋_GB2312" w:cs="方正仿宋_GBK"/>
          <w:kern w:val="2"/>
          <w:sz w:val="32"/>
          <w:szCs w:val="32"/>
          <w:lang w:val="en-US" w:eastAsia="zh-CN" w:bidi="ar-SA"/>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2022年一般公共预算财政拨款支出380.07万元，主要用于以下方面:社会保障和就业支出371.73万元，占97.81%；住房保障支出8.34万元，占2.19%。</w:t>
      </w:r>
    </w:p>
    <w:p>
      <w:pPr>
        <w:pStyle w:val="2"/>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253355" cy="2733040"/>
            <wp:effectExtent l="0" t="0" r="4445" b="10160"/>
            <wp:docPr id="9" name="图片 9"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6"/>
                    <pic:cNvPicPr>
                      <a:picLocks noChangeAspect="1"/>
                    </pic:cNvPicPr>
                  </pic:nvPicPr>
                  <pic:blipFill>
                    <a:blip r:embed="rId15"/>
                    <a:stretch>
                      <a:fillRect/>
                    </a:stretch>
                  </pic:blipFill>
                  <pic:spPr>
                    <a:xfrm>
                      <a:off x="0" y="0"/>
                      <a:ext cx="5253355" cy="2733040"/>
                    </a:xfrm>
                    <a:prstGeom prst="rect">
                      <a:avLst/>
                    </a:prstGeom>
                  </pic:spPr>
                </pic:pic>
              </a:graphicData>
            </a:graphic>
          </wp:inline>
        </w:drawing>
      </w:r>
    </w:p>
    <w:p>
      <w:pPr>
        <w:spacing w:line="600" w:lineRule="exact"/>
        <w:ind w:firstLine="960" w:firstLineChars="3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图6：一般公共预算财政拨款支出决算结构</w:t>
      </w:r>
    </w:p>
    <w:p>
      <w:pPr>
        <w:spacing w:line="600" w:lineRule="exact"/>
        <w:ind w:firstLine="2880" w:firstLineChars="90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hint="eastAsia" w:ascii="仿宋" w:hAnsi="仿宋" w:eastAsia="仿宋"/>
          <w:b/>
          <w:color w:val="000000" w:themeColor="text1"/>
          <w:sz w:val="32"/>
          <w:szCs w:val="32"/>
          <w14:textFill>
            <w14:solidFill>
              <w14:schemeClr w14:val="tx1"/>
            </w14:solidFill>
          </w14:textFill>
        </w:rPr>
      </w:pPr>
      <w:bookmarkStart w:id="30" w:name="_Toc15377212"/>
      <w:r>
        <w:rPr>
          <w:rFonts w:hint="eastAsia" w:ascii="仿宋" w:hAnsi="仿宋" w:eastAsia="仿宋"/>
          <w:b/>
          <w:color w:val="000000" w:themeColor="text1"/>
          <w:sz w:val="32"/>
          <w:szCs w:val="32"/>
          <w14:textFill>
            <w14:solidFill>
              <w14:schemeClr w14:val="tx1"/>
            </w14:solidFill>
          </w14:textFill>
        </w:rPr>
        <w:t>（三）一般公共预算财政拨款支出决算具体情况</w:t>
      </w:r>
      <w:bookmarkEnd w:id="30"/>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bookmarkStart w:id="31" w:name="_Toc15377213"/>
      <w:bookmarkStart w:id="32" w:name="_Toc15378460"/>
      <w:bookmarkStart w:id="33" w:name="_Toc15377444"/>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2022年一般公共预算支出决算数为380.07万元，完成预算100%。其中：</w:t>
      </w:r>
      <w:bookmarkEnd w:id="31"/>
      <w:bookmarkEnd w:id="32"/>
      <w:bookmarkEnd w:id="33"/>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1.社会保障和就业（类）人力资源和社会保障管理事务（款）信息化建设（项）: 支出决算为363.77万元，完成预算100%，决算数等于预算数。</w:t>
      </w:r>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2.社会保障和就业（类）人力资源和社会保障管理事务（款）事业运行（项）: 支出决算为0.45万元，完成预算100%，决算数等于预算数。</w:t>
      </w:r>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3.社会保障和就业（类）行政事业单位养老支出（款）机关事业单位基本养老保险缴费支出（项）: 支出决算为7.51万元，完成预算100%，决算数等于预算数。</w:t>
      </w:r>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4.住房保障支出（类）住房改革支出（款）住房公积金（项）:支出决算为8.34万元，完成预算100%，决算数等于预算数。</w:t>
      </w:r>
    </w:p>
    <w:p>
      <w:pPr>
        <w:tabs>
          <w:tab w:val="right" w:pos="8306"/>
        </w:tabs>
        <w:spacing w:line="600" w:lineRule="exact"/>
        <w:ind w:firstLine="640"/>
        <w:outlineLvl w:val="1"/>
        <w:rPr>
          <w:rStyle w:val="25"/>
          <w:color w:val="000000" w:themeColor="text1"/>
          <w14:textFill>
            <w14:solidFill>
              <w14:schemeClr w14:val="tx1"/>
            </w14:solidFill>
          </w14:textFill>
        </w:rPr>
      </w:pPr>
      <w:bookmarkStart w:id="34" w:name="_Toc15377214"/>
      <w:bookmarkStart w:id="35" w:name="_Toc15396608"/>
      <w:r>
        <w:rPr>
          <w:rFonts w:hint="eastAsia" w:ascii="黑体" w:eastAsia="黑体"/>
          <w:color w:val="000000" w:themeColor="text1"/>
          <w:sz w:val="32"/>
          <w:szCs w:val="32"/>
          <w14:textFill>
            <w14:solidFill>
              <w14:schemeClr w14:val="tx1"/>
            </w14:solidFill>
          </w14:textFill>
        </w:rPr>
        <w:t>六</w:t>
      </w:r>
      <w:r>
        <w:rPr>
          <w:rFonts w:hint="eastAsia" w:ascii="黑体" w:eastAsia="黑体"/>
          <w:b/>
          <w:color w:val="000000" w:themeColor="text1"/>
          <w:sz w:val="32"/>
          <w:szCs w:val="32"/>
          <w14:textFill>
            <w14:solidFill>
              <w14:schemeClr w14:val="tx1"/>
            </w14:solidFill>
          </w14:textFill>
        </w:rPr>
        <w:t>、</w:t>
      </w:r>
      <w:r>
        <w:rPr>
          <w:rFonts w:hint="eastAsia" w:ascii="黑体" w:hAnsi="黑体" w:eastAsia="黑体"/>
          <w:b/>
          <w:color w:val="000000" w:themeColor="text1"/>
          <w:sz w:val="32"/>
          <w:szCs w:val="32"/>
          <w14:textFill>
            <w14:solidFill>
              <w14:schemeClr w14:val="tx1"/>
            </w14:solidFill>
          </w14:textFill>
        </w:rPr>
        <w:t>一</w:t>
      </w:r>
      <w:r>
        <w:rPr>
          <w:rStyle w:val="25"/>
          <w:rFonts w:hint="eastAsia" w:ascii="黑体" w:hAnsi="黑体" w:eastAsia="黑体"/>
          <w:b w:val="0"/>
          <w:color w:val="000000" w:themeColor="text1"/>
          <w14:textFill>
            <w14:solidFill>
              <w14:schemeClr w14:val="tx1"/>
            </w14:solidFill>
          </w14:textFill>
        </w:rPr>
        <w:t>般公共预算财政拨款基本支出决算情况说明</w:t>
      </w:r>
      <w:bookmarkEnd w:id="34"/>
      <w:bookmarkEnd w:id="35"/>
      <w:r>
        <w:rPr>
          <w:rStyle w:val="25"/>
          <w:rFonts w:ascii="黑体" w:hAnsi="黑体" w:eastAsia="黑体"/>
          <w:b w:val="0"/>
          <w:color w:val="000000" w:themeColor="text1"/>
          <w14:textFill>
            <w14:solidFill>
              <w14:schemeClr w14:val="tx1"/>
            </w14:solidFill>
          </w14:textFill>
        </w:rPr>
        <w:tab/>
      </w:r>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2022年一般公共预算财政拨款基本支出106.23万元，其中：</w:t>
      </w:r>
    </w:p>
    <w:p>
      <w:pPr>
        <w:ind w:firstLine="800" w:firstLineChars="25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人员经费98.44万元，主要包括：基本工资、津贴补贴、绩效工资、机关事业单位基本养老保险缴费、职工基本医疗保险缴费、公务员医疗补助缴费、其他社会保障缴费、其他工资福利支出、住房公积金等。</w:t>
      </w:r>
    </w:p>
    <w:p>
      <w:pP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kern w:val="2"/>
          <w:sz w:val="32"/>
          <w:szCs w:val="32"/>
          <w:lang w:val="en-US" w:eastAsia="zh-CN" w:bidi="ar-SA"/>
        </w:rPr>
        <w:t xml:space="preserve">　 </w:t>
      </w: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 xml:space="preserve"> 公用经费7.79万元，主要包括：办公费、水费、邮电费、差旅费、劳务费、工会经费、福利费、其他交通费、其他商品和服务支出等。</w:t>
      </w:r>
    </w:p>
    <w:p>
      <w:pPr>
        <w:spacing w:line="600" w:lineRule="exact"/>
        <w:ind w:firstLine="640"/>
        <w:outlineLvl w:val="1"/>
        <w:rPr>
          <w:rStyle w:val="25"/>
          <w:rFonts w:ascii="黑体" w:hAnsi="黑体" w:eastAsia="黑体"/>
          <w:b w:val="0"/>
          <w:color w:val="000000" w:themeColor="text1"/>
          <w14:textFill>
            <w14:solidFill>
              <w14:schemeClr w14:val="tx1"/>
            </w14:solidFill>
          </w14:textFill>
        </w:rPr>
      </w:pPr>
      <w:bookmarkStart w:id="36" w:name="_Toc15396609"/>
      <w:bookmarkStart w:id="37" w:name="_Toc15377215"/>
      <w:r>
        <w:rPr>
          <w:rFonts w:hint="eastAsia" w:ascii="黑体" w:eastAsia="黑体"/>
          <w:color w:val="000000" w:themeColor="text1"/>
          <w:sz w:val="32"/>
          <w:szCs w:val="32"/>
          <w14:textFill>
            <w14:solidFill>
              <w14:schemeClr w14:val="tx1"/>
            </w14:solidFill>
          </w14:textFill>
        </w:rPr>
        <w:t>七、</w:t>
      </w:r>
      <w:r>
        <w:rPr>
          <w:rStyle w:val="25"/>
          <w:rFonts w:hint="eastAsia" w:ascii="黑体" w:hAnsi="黑体" w:eastAsia="黑体"/>
          <w:b w:val="0"/>
          <w:color w:val="000000" w:themeColor="text1"/>
          <w14:textFill>
            <w14:solidFill>
              <w14:schemeClr w14:val="tx1"/>
            </w14:solidFill>
          </w14:textFill>
        </w:rPr>
        <w:t>财政拨款</w:t>
      </w:r>
      <w:r>
        <w:rPr>
          <w:rStyle w:val="25"/>
          <w:rFonts w:hint="eastAsia" w:ascii="黑体" w:hAnsi="黑体" w:eastAsia="黑体"/>
          <w:color w:val="000000" w:themeColor="text1"/>
          <w14:textFill>
            <w14:solidFill>
              <w14:schemeClr w14:val="tx1"/>
            </w14:solidFill>
          </w14:textFill>
        </w:rPr>
        <w:t>“</w:t>
      </w:r>
      <w:r>
        <w:rPr>
          <w:rStyle w:val="25"/>
          <w:rFonts w:hint="eastAsia" w:ascii="黑体" w:hAnsi="黑体" w:eastAsia="黑体"/>
          <w:b w:val="0"/>
          <w:color w:val="000000" w:themeColor="text1"/>
          <w14:textFill>
            <w14:solidFill>
              <w14:schemeClr w14:val="tx1"/>
            </w14:solidFill>
          </w14:textFill>
        </w:rPr>
        <w:t>三公”经费支出决算情况说明</w:t>
      </w:r>
      <w:bookmarkEnd w:id="36"/>
      <w:bookmarkEnd w:id="37"/>
    </w:p>
    <w:p>
      <w:pPr>
        <w:spacing w:line="600" w:lineRule="exact"/>
        <w:ind w:firstLine="643" w:firstLineChars="200"/>
        <w:outlineLvl w:val="2"/>
        <w:rPr>
          <w:rFonts w:hint="eastAsia" w:ascii="仿宋" w:hAnsi="仿宋" w:eastAsia="仿宋"/>
          <w:b/>
          <w:color w:val="000000" w:themeColor="text1"/>
          <w:sz w:val="32"/>
          <w:szCs w:val="32"/>
          <w14:textFill>
            <w14:solidFill>
              <w14:schemeClr w14:val="tx1"/>
            </w14:solidFill>
          </w14:textFill>
        </w:rPr>
      </w:pPr>
      <w:bookmarkStart w:id="38" w:name="_Toc15377216"/>
      <w:r>
        <w:rPr>
          <w:rFonts w:hint="eastAsia" w:ascii="仿宋" w:hAnsi="仿宋" w:eastAsia="仿宋"/>
          <w:b/>
          <w:color w:val="000000" w:themeColor="text1"/>
          <w:sz w:val="32"/>
          <w:szCs w:val="32"/>
          <w14:textFill>
            <w14:solidFill>
              <w14:schemeClr w14:val="tx1"/>
            </w14:solidFill>
          </w14:textFill>
        </w:rPr>
        <w:t>（一）“三公”经费财政拨款支出决算总体情况说明</w:t>
      </w:r>
      <w:bookmarkEnd w:id="38"/>
    </w:p>
    <w:p>
      <w:pPr>
        <w:spacing w:line="600" w:lineRule="exact"/>
        <w:ind w:firstLine="640" w:firstLineChars="200"/>
        <w:outlineLvl w:val="2"/>
        <w:rPr>
          <w:rFonts w:ascii="仿宋" w:hAnsi="仿宋" w:eastAsia="仿宋"/>
          <w:b/>
          <w:color w:val="000000" w:themeColor="text1"/>
          <w:sz w:val="32"/>
          <w:szCs w:val="32"/>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2022年“三公”经费财政拨款支出决算为0万元，完成预算0%，较上年减少0.05万元，决算数小于预算数的主要原因是2022年由于新冠疫情，我中心未开展公务接待。</w:t>
      </w:r>
    </w:p>
    <w:p>
      <w:pPr>
        <w:spacing w:line="600" w:lineRule="exact"/>
        <w:ind w:firstLine="643" w:firstLineChars="200"/>
        <w:outlineLvl w:val="2"/>
        <w:rPr>
          <w:rFonts w:hint="eastAsia" w:ascii="仿宋" w:hAnsi="仿宋" w:eastAsia="仿宋"/>
          <w:b/>
          <w:color w:val="000000" w:themeColor="text1"/>
          <w:sz w:val="32"/>
          <w:szCs w:val="32"/>
          <w14:textFill>
            <w14:solidFill>
              <w14:schemeClr w14:val="tx1"/>
            </w14:solidFill>
          </w14:textFill>
        </w:rPr>
      </w:pPr>
      <w:bookmarkStart w:id="39" w:name="_Toc15377217"/>
      <w:r>
        <w:rPr>
          <w:rFonts w:hint="eastAsia" w:ascii="仿宋" w:hAnsi="仿宋" w:eastAsia="仿宋"/>
          <w:b/>
          <w:color w:val="000000" w:themeColor="text1"/>
          <w:sz w:val="32"/>
          <w:szCs w:val="32"/>
          <w14:textFill>
            <w14:solidFill>
              <w14:schemeClr w14:val="tx1"/>
            </w14:solidFill>
          </w14:textFill>
        </w:rPr>
        <w:t>（二）“三公”经费财政拨款支出决算具体情况说明</w:t>
      </w:r>
      <w:bookmarkEnd w:id="39"/>
    </w:p>
    <w:p>
      <w:pPr>
        <w:spacing w:line="600" w:lineRule="exact"/>
        <w:ind w:firstLine="640" w:firstLineChars="200"/>
        <w:outlineLvl w:val="2"/>
        <w:rPr>
          <w:rFonts w:hint="eastAsia" w:ascii="仿宋" w:hAnsi="仿宋" w:eastAsia="仿宋"/>
          <w:color w:val="000000" w:themeColor="text1"/>
          <w:sz w:val="32"/>
          <w:szCs w:val="32"/>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2022年“三公”经费财政拨款支出决算中，因公出国（境）费支出决算0万元，占0%；公务用车购置及运行维护费支出决算0万元，占0%；公务接待费支出决算0万元，占0%。故支出结构未画饼状图，具体情况如下：</w:t>
      </w:r>
    </w:p>
    <w:p>
      <w:pPr>
        <w:spacing w:line="600" w:lineRule="exact"/>
        <w:ind w:firstLine="640" w:firstLineChars="200"/>
        <w:outlineLvl w:val="2"/>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1.因公出国（境）经费支出0万元，完成预算0%。全年安排因公出国（境）团组0次，出国（境）0人。因公出国（境）支出决算与2021年持平。</w:t>
      </w:r>
    </w:p>
    <w:p>
      <w:pPr>
        <w:spacing w:line="600" w:lineRule="exact"/>
        <w:ind w:firstLine="640" w:firstLineChars="200"/>
        <w:outlineLvl w:val="2"/>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2.公务用车购置及运行维护费支出0万元,完成预算0%。公务用车购置及运行维护费支出决算与2021年持平。</w:t>
      </w:r>
    </w:p>
    <w:p>
      <w:pPr>
        <w:spacing w:line="600" w:lineRule="exact"/>
        <w:ind w:firstLine="640" w:firstLineChars="200"/>
        <w:outlineLvl w:val="2"/>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其中：公务用车购置支出0万元。全年按规定更新购置公务用车0辆，其中：轿车0辆、金额0万元，越野车0辆、金额0万元，载客汽车0辆、金额0万元。截至2022年12月底，单位共有公务用车0辆，其中：轿车0辆、越野车0辆、载客汽车0辆。</w:t>
      </w:r>
    </w:p>
    <w:p>
      <w:pPr>
        <w:spacing w:line="600" w:lineRule="exact"/>
        <w:ind w:firstLine="640" w:firstLineChars="200"/>
        <w:outlineLvl w:val="2"/>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公务用车运行维护费支出0万元。</w:t>
      </w:r>
    </w:p>
    <w:p>
      <w:pPr>
        <w:spacing w:line="600" w:lineRule="exact"/>
        <w:ind w:firstLine="640" w:firstLineChars="200"/>
        <w:outlineLvl w:val="2"/>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3.公务接待费支出0万元，完成预算0%。公务接待费支出决算比2021年减少0.05万元，下降100%。主要原因是2022年由于新冠疫情，我中心未开展公务接待。其中：</w:t>
      </w:r>
    </w:p>
    <w:p>
      <w:pPr>
        <w:spacing w:line="600" w:lineRule="exact"/>
        <w:ind w:firstLine="640" w:firstLineChars="200"/>
        <w:outlineLvl w:val="2"/>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国内公务接待支出0万元。国内公务接待0批次，0人次（不包括陪同人员），共计支出0万元。</w:t>
      </w:r>
    </w:p>
    <w:p>
      <w:pPr>
        <w:spacing w:line="600" w:lineRule="exact"/>
        <w:ind w:firstLine="640" w:firstLineChars="200"/>
        <w:outlineLvl w:val="2"/>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外事接待支出0万元。外事接待0批次，0人次（不包括陪同人员），共计支出0万元。</w:t>
      </w:r>
      <w:bookmarkStart w:id="40" w:name="_Toc15377218"/>
      <w:bookmarkStart w:id="41" w:name="_Toc15396610"/>
    </w:p>
    <w:p>
      <w:pPr>
        <w:spacing w:line="600" w:lineRule="exact"/>
        <w:ind w:firstLine="640"/>
        <w:outlineLvl w:val="1"/>
        <w:rPr>
          <w:rStyle w:val="25"/>
          <w:rFonts w:ascii="黑体" w:hAnsi="黑体" w:eastAsia="黑体"/>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w:t>
      </w:r>
      <w:r>
        <w:rPr>
          <w:rStyle w:val="25"/>
          <w:rFonts w:hint="eastAsia" w:ascii="黑体" w:hAnsi="黑体" w:eastAsia="黑体"/>
          <w:b w:val="0"/>
          <w:color w:val="000000" w:themeColor="text1"/>
          <w14:textFill>
            <w14:solidFill>
              <w14:schemeClr w14:val="tx1"/>
            </w14:solidFill>
          </w14:textFill>
        </w:rPr>
        <w:t>政府性基金预算支出决算情况说明</w:t>
      </w:r>
      <w:bookmarkEnd w:id="40"/>
      <w:bookmarkEnd w:id="41"/>
    </w:p>
    <w:p>
      <w:p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2022年政府性基金预算财政拨款支出0万元。</w:t>
      </w:r>
    </w:p>
    <w:p>
      <w:pPr>
        <w:numPr>
          <w:ilvl w:val="0"/>
          <w:numId w:val="3"/>
        </w:numPr>
        <w:spacing w:line="600" w:lineRule="exact"/>
        <w:ind w:firstLine="640"/>
        <w:outlineLvl w:val="1"/>
        <w:rPr>
          <w:rStyle w:val="25"/>
          <w:rFonts w:ascii="黑体" w:hAnsi="黑体" w:eastAsia="黑体"/>
          <w:b w:val="0"/>
          <w:color w:val="000000" w:themeColor="text1"/>
          <w14:textFill>
            <w14:solidFill>
              <w14:schemeClr w14:val="tx1"/>
            </w14:solidFill>
          </w14:textFill>
        </w:rPr>
      </w:pPr>
      <w:bookmarkStart w:id="42" w:name="_Toc15396611"/>
      <w:bookmarkStart w:id="43" w:name="_Toc15377219"/>
      <w:r>
        <w:rPr>
          <w:rStyle w:val="25"/>
          <w:rFonts w:hint="eastAsia" w:ascii="黑体" w:hAnsi="黑体" w:eastAsia="黑体"/>
          <w:b w:val="0"/>
          <w:color w:val="000000" w:themeColor="text1"/>
          <w14:textFill>
            <w14:solidFill>
              <w14:schemeClr w14:val="tx1"/>
            </w14:solidFill>
          </w14:textFill>
        </w:rPr>
        <w:t>国有资本经营预算支出决算情况说明</w:t>
      </w:r>
      <w:bookmarkEnd w:id="42"/>
      <w:bookmarkEnd w:id="43"/>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2022年国有资本经营预算财政拨款支出0万元。</w:t>
      </w:r>
    </w:p>
    <w:p>
      <w:pPr>
        <w:numPr>
          <w:ilvl w:val="0"/>
          <w:numId w:val="3"/>
        </w:numPr>
        <w:spacing w:line="600" w:lineRule="exact"/>
        <w:ind w:firstLine="640"/>
        <w:outlineLvl w:val="1"/>
        <w:rPr>
          <w:rStyle w:val="25"/>
          <w:rFonts w:ascii="黑体" w:hAnsi="黑体" w:eastAsia="黑体"/>
          <w:b w:val="0"/>
          <w:color w:val="000000" w:themeColor="text1"/>
          <w14:textFill>
            <w14:solidFill>
              <w14:schemeClr w14:val="tx1"/>
            </w14:solidFill>
          </w14:textFill>
        </w:rPr>
      </w:pPr>
      <w:bookmarkStart w:id="44" w:name="_Toc15396612"/>
      <w:bookmarkStart w:id="45" w:name="_Toc15377221"/>
      <w:r>
        <w:rPr>
          <w:rStyle w:val="25"/>
          <w:rFonts w:hint="eastAsia" w:ascii="黑体" w:hAnsi="黑体" w:eastAsia="黑体"/>
          <w:b w:val="0"/>
          <w:color w:val="000000" w:themeColor="text1"/>
          <w14:textFill>
            <w14:solidFill>
              <w14:schemeClr w14:val="tx1"/>
            </w14:solidFill>
          </w14:textFill>
        </w:rPr>
        <w:t>其他重要事项的情况说明</w:t>
      </w:r>
      <w:bookmarkEnd w:id="44"/>
      <w:bookmarkEnd w:id="45"/>
    </w:p>
    <w:p>
      <w:pPr>
        <w:spacing w:line="600" w:lineRule="exact"/>
        <w:ind w:firstLine="640"/>
        <w:outlineLvl w:val="2"/>
        <w:rPr>
          <w:rFonts w:hint="eastAsia" w:ascii="仿宋" w:hAnsi="仿宋" w:eastAsia="仿宋"/>
          <w:b/>
          <w:color w:val="000000" w:themeColor="text1"/>
          <w:sz w:val="32"/>
          <w:szCs w:val="32"/>
          <w14:textFill>
            <w14:solidFill>
              <w14:schemeClr w14:val="tx1"/>
            </w14:solidFill>
          </w14:textFill>
        </w:rPr>
      </w:pPr>
      <w:bookmarkStart w:id="46" w:name="_Toc15377222"/>
      <w:r>
        <w:rPr>
          <w:rFonts w:hint="eastAsia" w:ascii="仿宋" w:hAnsi="仿宋" w:eastAsia="仿宋"/>
          <w:b/>
          <w:color w:val="000000" w:themeColor="text1"/>
          <w:sz w:val="32"/>
          <w:szCs w:val="32"/>
          <w14:textFill>
            <w14:solidFill>
              <w14:schemeClr w14:val="tx1"/>
            </w14:solidFill>
          </w14:textFill>
        </w:rPr>
        <w:t>（一）机关运行经费支出情况</w:t>
      </w:r>
      <w:bookmarkEnd w:id="46"/>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信息中心为事业单位，按规定未使用机关运行的相关科目。</w:t>
      </w:r>
    </w:p>
    <w:p>
      <w:pPr>
        <w:spacing w:line="600" w:lineRule="exact"/>
        <w:ind w:firstLine="640"/>
        <w:outlineLvl w:val="2"/>
        <w:rPr>
          <w:rFonts w:hint="eastAsia" w:ascii="仿宋" w:hAnsi="仿宋" w:eastAsia="仿宋"/>
          <w:b/>
          <w:color w:val="000000" w:themeColor="text1"/>
          <w:sz w:val="32"/>
          <w:szCs w:val="32"/>
          <w14:textFill>
            <w14:solidFill>
              <w14:schemeClr w14:val="tx1"/>
            </w14:solidFill>
          </w14:textFill>
        </w:rPr>
      </w:pPr>
      <w:bookmarkStart w:id="47" w:name="_Toc15377223"/>
      <w:r>
        <w:rPr>
          <w:rFonts w:hint="eastAsia" w:ascii="仿宋" w:hAnsi="仿宋" w:eastAsia="仿宋"/>
          <w:b/>
          <w:color w:val="000000" w:themeColor="text1"/>
          <w:sz w:val="32"/>
          <w:szCs w:val="32"/>
          <w14:textFill>
            <w14:solidFill>
              <w14:schemeClr w14:val="tx1"/>
            </w14:solidFill>
          </w14:textFill>
        </w:rPr>
        <w:t>（二）政府采购支出情况</w:t>
      </w:r>
      <w:bookmarkEnd w:id="47"/>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2022年，我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line="600" w:lineRule="exact"/>
        <w:ind w:firstLine="640"/>
        <w:outlineLvl w:val="2"/>
        <w:rPr>
          <w:rFonts w:hint="eastAsia" w:ascii="仿宋" w:hAnsi="仿宋" w:eastAsia="仿宋"/>
          <w:b/>
          <w:color w:val="000000" w:themeColor="text1"/>
          <w:sz w:val="32"/>
          <w:szCs w:val="32"/>
          <w14:textFill>
            <w14:solidFill>
              <w14:schemeClr w14:val="tx1"/>
            </w14:solidFill>
          </w14:textFill>
        </w:rPr>
      </w:pPr>
      <w:bookmarkStart w:id="48" w:name="_Toc15377224"/>
      <w:r>
        <w:rPr>
          <w:rFonts w:hint="eastAsia" w:ascii="仿宋" w:hAnsi="仿宋" w:eastAsia="仿宋"/>
          <w:b/>
          <w:color w:val="000000" w:themeColor="text1"/>
          <w:sz w:val="32"/>
          <w:szCs w:val="32"/>
          <w14:textFill>
            <w14:solidFill>
              <w14:schemeClr w14:val="tx1"/>
            </w14:solidFill>
          </w14:textFill>
        </w:rPr>
        <w:t>（三）国有资产占有使用情况</w:t>
      </w:r>
      <w:bookmarkEnd w:id="48"/>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截至2022年12月31日，我共有车辆0辆，其中：主要领导干部用车0辆、机要通信用车0辆、应急保障用车0辆、其他用车0辆，单价100万元以上专用设备0台（套）。</w:t>
      </w:r>
    </w:p>
    <w:p>
      <w:pPr>
        <w:spacing w:line="600" w:lineRule="exact"/>
        <w:ind w:firstLine="640"/>
        <w:outlineLvl w:val="2"/>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（四）预算绩效管理情况</w:t>
      </w: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根据预算绩效管理要求，本单位在2022年度预算编制阶段，组织对社银合作资金项目、金保工程聘用人员经费（项目名称）等2个项目开展了预算事前绩效评估，对2个项目编制了绩效目标，预算执行过程中，选取2个项目开展绩效监控，组织对2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color w:val="000000" w:themeColor="text1"/>
          <w14:textFill>
            <w14:solidFill>
              <w14:schemeClr w14:val="tx1"/>
            </w14:solidFill>
          </w14:textFill>
        </w:rPr>
      </w:pPr>
      <w:bookmarkStart w:id="49" w:name="_Toc15377225"/>
      <w:bookmarkStart w:id="50" w:name="_Toc15396613"/>
      <w:r>
        <w:rPr>
          <w:rFonts w:hint="eastAsia" w:ascii="黑体" w:hAnsi="黑体" w:eastAsia="黑体"/>
          <w:color w:val="000000" w:themeColor="text1"/>
          <w:sz w:val="44"/>
          <w:szCs w:val="44"/>
          <w14:textFill>
            <w14:solidFill>
              <w14:schemeClr w14:val="tx1"/>
            </w14:solidFill>
          </w14:textFill>
        </w:rPr>
        <w:t>名</w:t>
      </w:r>
      <w:r>
        <w:rPr>
          <w:rStyle w:val="24"/>
          <w:rFonts w:hint="eastAsia" w:ascii="黑体" w:hAnsi="黑体" w:eastAsia="黑体"/>
          <w:b w:val="0"/>
          <w:color w:val="000000" w:themeColor="text1"/>
          <w14:textFill>
            <w14:solidFill>
              <w14:schemeClr w14:val="tx1"/>
            </w14:solidFill>
          </w14:textFill>
        </w:rPr>
        <w:t>词解释</w:t>
      </w:r>
      <w:bookmarkEnd w:id="49"/>
      <w:bookmarkEnd w:id="50"/>
    </w:p>
    <w:p>
      <w:pPr>
        <w:spacing w:line="600" w:lineRule="exact"/>
        <w:jc w:val="left"/>
        <w:rPr>
          <w:rFonts w:ascii="宋体"/>
          <w:b/>
          <w:color w:val="000000" w:themeColor="text1"/>
          <w:sz w:val="44"/>
          <w:szCs w:val="44"/>
          <w14:textFill>
            <w14:solidFill>
              <w14:schemeClr w14:val="tx1"/>
            </w14:solidFill>
          </w14:textFill>
        </w:rPr>
      </w:pP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 xml:space="preserve">1.财政拨款收入：指单位从同级财政部门取得的财政预算资金。 </w:t>
      </w: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 xml:space="preserve">2.年初结转和结余：指以前年度尚未完成、结转到本年按有关规定继续使用的资金。 </w:t>
      </w: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3.社会保障和就业支出（类）人力资源和社会保障管理事务（款）信息化建设（项）:指反映人力资源和社会保障部门用于信息化建设、运行维护和数据分析等方面的支出，如金保工程、社会保障卡建设和运行维护、人力资源市场信息化等支出。</w:t>
      </w: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4.社会保障和就业支出（类）行政事业单位离退休（款）机关事业单位基本养老保险缴费支出（项）：指反映机关事业单位实施养老保险制度由单位缴纳的基本养老保险费支出。</w:t>
      </w: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5.住房保障（类）住房改革支出（款）住房公积金（项）：指反映行政事业单位按人力资源和社会保障部、财政部规定的基本工资和津贴补贴以及规定比例为职工缴纳的住房公积金。</w:t>
      </w: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6.基本支出：指为保障机构正常运转、完成日常工作任务而发生的人员支出和公用支出。</w:t>
      </w: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 xml:space="preserve">7.项目支出：指在基本支出之外为完成特定行政任务和事业发展目标所发生的支出。 </w:t>
      </w:r>
    </w:p>
    <w:p>
      <w:pPr>
        <w:spacing w:line="600" w:lineRule="exact"/>
        <w:ind w:firstLine="64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8.“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仿宋_GB2312" w:hAnsi="方正仿宋_GBK" w:eastAsia="仿宋_GB2312" w:cs="方正仿宋_GBK"/>
          <w:kern w:val="2"/>
          <w:sz w:val="32"/>
          <w:szCs w:val="32"/>
          <w:lang w:val="en-US" w:eastAsia="zh-CN" w:bidi="ar-SA"/>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w:t>
      </w:r>
      <w:r>
        <w:rPr>
          <w:rFonts w:hint="eastAsia" w:ascii="仿宋_GB2312" w:hAnsi="方正仿宋_GBK" w:eastAsia="仿宋_GB2312" w:cs="方正仿宋_GBK"/>
          <w:kern w:val="2"/>
          <w:sz w:val="32"/>
          <w:szCs w:val="32"/>
          <w:lang w:val="en-US" w:eastAsia="zh-CN" w:bidi="ar-SA"/>
        </w:rPr>
        <w:t>费、公务用车运行维护费以及其他费用。</w:t>
      </w:r>
    </w:p>
    <w:p>
      <w:pPr>
        <w:pStyle w:val="22"/>
        <w:spacing w:line="560" w:lineRule="exact"/>
        <w:ind w:firstLine="640" w:firstLineChars="200"/>
        <w:rPr>
          <w:rFonts w:ascii="仿宋_GB2312" w:eastAsia="仿宋_GB2312" w:cs="黑体"/>
          <w:color w:val="auto"/>
          <w:sz w:val="32"/>
          <w:szCs w:val="32"/>
        </w:rPr>
      </w:pPr>
    </w:p>
    <w:p>
      <w:pPr>
        <w:spacing w:line="600" w:lineRule="exact"/>
        <w:jc w:val="center"/>
        <w:outlineLvl w:val="0"/>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pPr>
      <w:bookmarkStart w:id="51" w:name="_Toc15377226"/>
      <w:r>
        <w:rPr>
          <w:rFonts w:ascii="宋体"/>
          <w:b/>
          <w:sz w:val="44"/>
          <w:szCs w:val="44"/>
        </w:rPr>
        <w:br w:type="page"/>
      </w:r>
      <w:bookmarkStart w:id="52" w:name="_Toc15396614"/>
      <w:r>
        <w:rPr>
          <w:rFonts w:hint="eastAsia" w:ascii="黑体" w:hAnsi="黑体" w:eastAsia="黑体"/>
          <w:color w:val="000000" w:themeColor="text1"/>
          <w:sz w:val="44"/>
          <w:szCs w:val="44"/>
          <w14:textFill>
            <w14:solidFill>
              <w14:schemeClr w14:val="tx1"/>
            </w14:solidFill>
          </w14:textFill>
        </w:rPr>
        <w:t>第</w:t>
      </w:r>
      <w:r>
        <w:rPr>
          <w:rStyle w:val="24"/>
          <w:rFonts w:hint="eastAsia" w:ascii="黑体" w:hAnsi="黑体" w:eastAsia="黑体"/>
          <w:b w:val="0"/>
          <w:color w:val="000000" w:themeColor="text1"/>
          <w14:textFill>
            <w14:solidFill>
              <w14:schemeClr w14:val="tx1"/>
            </w14:solidFill>
          </w14:textFill>
        </w:rPr>
        <w:t>四部分 附件</w:t>
      </w:r>
      <w:bookmarkEnd w:id="52"/>
      <w:bookmarkStart w:id="53" w:name="_Toc15396618"/>
    </w:p>
    <w:p>
      <w:pPr>
        <w:spacing w:line="600" w:lineRule="exact"/>
        <w:jc w:val="left"/>
        <w:outlineLvl w:val="0"/>
        <w:rPr>
          <w:rFonts w:ascii="仿宋_GB2312" w:hAnsi="Calibri" w:eastAsia="仿宋_GB2312" w:cs="仿宋"/>
          <w:color w:val="000000" w:themeColor="text1"/>
          <w:kern w:val="0"/>
          <w:sz w:val="32"/>
          <w:szCs w:val="32"/>
          <w14:textFill>
            <w14:solidFill>
              <w14:schemeClr w14:val="tx1"/>
            </w14:solidFill>
          </w14:textFill>
        </w:rPr>
      </w:pPr>
    </w:p>
    <w:p>
      <w:pPr>
        <w:spacing w:line="600" w:lineRule="exact"/>
        <w:jc w:val="center"/>
        <w:outlineLvl w:val="0"/>
        <w:rPr>
          <w:rFonts w:hint="eastAsia" w:ascii="仿宋_GB2312" w:hAnsi="方正仿宋_GBK" w:eastAsia="仿宋_GB2312" w:cs="方正仿宋_GBK"/>
          <w:kern w:val="2"/>
          <w:sz w:val="32"/>
          <w:szCs w:val="32"/>
          <w:lang w:val="en-US" w:eastAsia="zh-CN" w:bidi="ar-SA"/>
        </w:rPr>
      </w:pP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 xml:space="preserve">    部门预算项目支出绩效自评表（2022年度）见附件3 </w:t>
      </w:r>
      <w:r>
        <w:rPr>
          <w:rFonts w:hint="eastAsia" w:ascii="宋体" w:hAnsi="宋体" w:cs="宋体"/>
          <w:color w:val="000000" w:themeColor="text1"/>
          <w:kern w:val="0"/>
          <w:sz w:val="32"/>
          <w:szCs w:val="32"/>
          <w:lang w:val="en-US" w:eastAsia="zh-CN"/>
          <w14:textFill>
            <w14:solidFill>
              <w14:schemeClr w14:val="tx1"/>
            </w14:solidFill>
          </w14:textFill>
        </w:rPr>
        <w:t xml:space="preserve"> </w:t>
      </w:r>
      <w:r>
        <w:rPr>
          <w:rFonts w:hint="eastAsia" w:ascii="仿宋_GB2312" w:hAnsi="方正仿宋_GBK" w:eastAsia="仿宋_GB2312" w:cs="方正仿宋_GBK"/>
          <w:color w:val="000000" w:themeColor="text1"/>
          <w:kern w:val="2"/>
          <w:sz w:val="32"/>
          <w:szCs w:val="32"/>
          <w:lang w:val="en-US" w:eastAsia="zh-CN" w:bidi="ar-SA"/>
          <w14:textFill>
            <w14:solidFill>
              <w14:schemeClr w14:val="tx1"/>
            </w14:solidFill>
          </w14:textFill>
        </w:rPr>
        <w:t>四川省攀枝花市人力资源和社会保</w:t>
      </w:r>
      <w:r>
        <w:rPr>
          <w:rFonts w:hint="eastAsia" w:ascii="仿宋_GB2312" w:hAnsi="方正仿宋_GBK" w:eastAsia="仿宋_GB2312" w:cs="方正仿宋_GBK"/>
          <w:kern w:val="2"/>
          <w:sz w:val="32"/>
          <w:szCs w:val="32"/>
          <w:lang w:val="en-US" w:eastAsia="zh-CN" w:bidi="ar-SA"/>
        </w:rPr>
        <w:t>障信息中心2022年预算项</w:t>
      </w:r>
    </w:p>
    <w:p>
      <w:pPr>
        <w:spacing w:line="600" w:lineRule="exact"/>
        <w:jc w:val="both"/>
        <w:outlineLvl w:val="0"/>
        <w:rPr>
          <w:rFonts w:ascii="仿宋_GB2312" w:hAnsi="Calibri" w:eastAsia="仿宋_GB2312" w:cs="仿宋"/>
          <w:kern w:val="0"/>
          <w:sz w:val="32"/>
          <w:szCs w:val="32"/>
        </w:rPr>
      </w:pPr>
      <w:r>
        <w:rPr>
          <w:rFonts w:hint="eastAsia" w:ascii="仿宋_GB2312" w:hAnsi="方正仿宋_GBK" w:eastAsia="仿宋_GB2312" w:cs="方正仿宋_GBK"/>
          <w:kern w:val="2"/>
          <w:sz w:val="32"/>
          <w:szCs w:val="32"/>
          <w:lang w:val="en-US" w:eastAsia="zh-CN" w:bidi="ar-SA"/>
        </w:rPr>
        <w:t>目支出绩效自评表</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Style w:val="24"/>
          <w:rFonts w:hint="eastAsia" w:ascii="黑体" w:hAnsi="黑体" w:eastAsia="黑体"/>
          <w:b w:val="0"/>
          <w:color w:val="000000" w:themeColor="text1"/>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第</w:t>
      </w:r>
      <w:r>
        <w:rPr>
          <w:rStyle w:val="24"/>
          <w:rFonts w:hint="eastAsia" w:ascii="黑体" w:hAnsi="黑体" w:eastAsia="黑体"/>
          <w:b w:val="0"/>
          <w:color w:val="000000" w:themeColor="text1"/>
          <w14:textFill>
            <w14:solidFill>
              <w14:schemeClr w14:val="tx1"/>
            </w14:solidFill>
          </w14:textFill>
        </w:rPr>
        <w:t>五部分 附表</w:t>
      </w:r>
      <w:bookmarkEnd w:id="51"/>
      <w:bookmarkEnd w:id="53"/>
      <w:bookmarkStart w:id="54" w:name="_Toc15396619"/>
    </w:p>
    <w:bookmarkEnd w:id="54"/>
    <w:p>
      <w:pPr>
        <w:pStyle w:val="4"/>
        <w:rPr>
          <w:rFonts w:ascii="仿宋" w:hAnsi="仿宋" w:eastAsia="仿宋"/>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一、收</w:t>
      </w:r>
      <w:r>
        <w:rPr>
          <w:rStyle w:val="25"/>
          <w:rFonts w:hint="eastAsia" w:ascii="仿宋" w:hAnsi="仿宋" w:eastAsia="仿宋"/>
          <w:b w:val="0"/>
          <w:bCs w:val="0"/>
          <w:color w:val="000000" w:themeColor="text1"/>
          <w14:textFill>
            <w14:solidFill>
              <w14:schemeClr w14:val="tx1"/>
            </w14:solidFill>
          </w14:textFill>
        </w:rPr>
        <w:t>入支出决算总表</w:t>
      </w:r>
    </w:p>
    <w:p>
      <w:pPr>
        <w:pStyle w:val="4"/>
        <w:rPr>
          <w:rFonts w:ascii="仿宋" w:hAnsi="仿宋" w:eastAsia="仿宋"/>
          <w:color w:val="000000" w:themeColor="text1"/>
          <w14:textFill>
            <w14:solidFill>
              <w14:schemeClr w14:val="tx1"/>
            </w14:solidFill>
          </w14:textFill>
        </w:rPr>
      </w:pPr>
      <w:bookmarkStart w:id="55" w:name="_Toc15396620"/>
      <w:r>
        <w:rPr>
          <w:rFonts w:hint="eastAsia" w:ascii="仿宋" w:hAnsi="仿宋" w:eastAsia="仿宋"/>
          <w:b w:val="0"/>
          <w:color w:val="000000" w:themeColor="text1"/>
          <w14:textFill>
            <w14:solidFill>
              <w14:schemeClr w14:val="tx1"/>
            </w14:solidFill>
          </w14:textFill>
        </w:rPr>
        <w:t>二、收</w:t>
      </w:r>
      <w:r>
        <w:rPr>
          <w:rStyle w:val="25"/>
          <w:rFonts w:hint="eastAsia" w:ascii="仿宋" w:hAnsi="仿宋" w:eastAsia="仿宋"/>
          <w:b w:val="0"/>
          <w:bCs w:val="0"/>
          <w:color w:val="000000" w:themeColor="text1"/>
          <w14:textFill>
            <w14:solidFill>
              <w14:schemeClr w14:val="tx1"/>
            </w14:solidFill>
          </w14:textFill>
        </w:rPr>
        <w:t>入决算表</w:t>
      </w:r>
      <w:bookmarkEnd w:id="55"/>
    </w:p>
    <w:p>
      <w:pPr>
        <w:pStyle w:val="4"/>
        <w:rPr>
          <w:rFonts w:ascii="仿宋" w:hAnsi="仿宋" w:eastAsia="仿宋"/>
          <w:color w:val="000000" w:themeColor="text1"/>
          <w14:textFill>
            <w14:solidFill>
              <w14:schemeClr w14:val="tx1"/>
            </w14:solidFill>
          </w14:textFill>
        </w:rPr>
      </w:pPr>
      <w:bookmarkStart w:id="56" w:name="_Toc15396621"/>
      <w:r>
        <w:rPr>
          <w:rStyle w:val="25"/>
          <w:rFonts w:hint="eastAsia" w:ascii="仿宋" w:hAnsi="仿宋" w:eastAsia="仿宋"/>
          <w:b w:val="0"/>
          <w:bCs w:val="0"/>
          <w:color w:val="000000" w:themeColor="text1"/>
          <w14:textFill>
            <w14:solidFill>
              <w14:schemeClr w14:val="tx1"/>
            </w14:solidFill>
          </w14:textFill>
        </w:rPr>
        <w:t>三、</w:t>
      </w:r>
      <w:r>
        <w:rPr>
          <w:rFonts w:hint="eastAsia" w:ascii="仿宋" w:hAnsi="仿宋" w:eastAsia="仿宋"/>
          <w:b w:val="0"/>
          <w:color w:val="000000" w:themeColor="text1"/>
          <w14:textFill>
            <w14:solidFill>
              <w14:schemeClr w14:val="tx1"/>
            </w14:solidFill>
          </w14:textFill>
        </w:rPr>
        <w:t>支</w:t>
      </w:r>
      <w:r>
        <w:rPr>
          <w:rStyle w:val="25"/>
          <w:rFonts w:hint="eastAsia" w:ascii="仿宋" w:hAnsi="仿宋" w:eastAsia="仿宋"/>
          <w:b w:val="0"/>
          <w:bCs w:val="0"/>
          <w:color w:val="000000" w:themeColor="text1"/>
          <w14:textFill>
            <w14:solidFill>
              <w14:schemeClr w14:val="tx1"/>
            </w14:solidFill>
          </w14:textFill>
        </w:rPr>
        <w:t>出决算表</w:t>
      </w:r>
      <w:bookmarkEnd w:id="56"/>
    </w:p>
    <w:p>
      <w:pPr>
        <w:pStyle w:val="4"/>
        <w:rPr>
          <w:rFonts w:ascii="仿宋" w:hAnsi="仿宋" w:eastAsia="仿宋"/>
          <w:b w:val="0"/>
          <w:color w:val="000000" w:themeColor="text1"/>
          <w14:textFill>
            <w14:solidFill>
              <w14:schemeClr w14:val="tx1"/>
            </w14:solidFill>
          </w14:textFill>
        </w:rPr>
      </w:pPr>
      <w:bookmarkStart w:id="57" w:name="_Toc15396622"/>
      <w:r>
        <w:rPr>
          <w:rStyle w:val="25"/>
          <w:rFonts w:hint="eastAsia" w:ascii="仿宋" w:hAnsi="仿宋" w:eastAsia="仿宋"/>
          <w:b w:val="0"/>
          <w:bCs w:val="0"/>
          <w:color w:val="000000" w:themeColor="text1"/>
          <w14:textFill>
            <w14:solidFill>
              <w14:schemeClr w14:val="tx1"/>
            </w14:solidFill>
          </w14:textFill>
        </w:rPr>
        <w:t>四、</w:t>
      </w:r>
      <w:r>
        <w:rPr>
          <w:rFonts w:hint="eastAsia" w:ascii="仿宋" w:hAnsi="仿宋" w:eastAsia="仿宋"/>
          <w:b w:val="0"/>
          <w:color w:val="000000" w:themeColor="text1"/>
          <w14:textFill>
            <w14:solidFill>
              <w14:schemeClr w14:val="tx1"/>
            </w14:solidFill>
          </w14:textFill>
        </w:rPr>
        <w:t>财</w:t>
      </w:r>
      <w:r>
        <w:rPr>
          <w:rStyle w:val="25"/>
          <w:rFonts w:hint="eastAsia" w:ascii="仿宋" w:hAnsi="仿宋" w:eastAsia="仿宋"/>
          <w:b w:val="0"/>
          <w:bCs w:val="0"/>
          <w:color w:val="000000" w:themeColor="text1"/>
          <w14:textFill>
            <w14:solidFill>
              <w14:schemeClr w14:val="tx1"/>
            </w14:solidFill>
          </w14:textFill>
        </w:rPr>
        <w:t>政拨款收入支出决算总表</w:t>
      </w:r>
      <w:bookmarkEnd w:id="57"/>
    </w:p>
    <w:p>
      <w:pPr>
        <w:pStyle w:val="4"/>
        <w:rPr>
          <w:rStyle w:val="25"/>
          <w:rFonts w:ascii="仿宋" w:hAnsi="仿宋" w:eastAsia="仿宋"/>
          <w:b w:val="0"/>
          <w:bCs w:val="0"/>
          <w:color w:val="000000" w:themeColor="text1"/>
          <w14:textFill>
            <w14:solidFill>
              <w14:schemeClr w14:val="tx1"/>
            </w14:solidFill>
          </w14:textFill>
        </w:rPr>
      </w:pPr>
      <w:bookmarkStart w:id="58" w:name="_Toc15396623"/>
      <w:r>
        <w:rPr>
          <w:rStyle w:val="25"/>
          <w:rFonts w:hint="eastAsia" w:ascii="仿宋" w:hAnsi="仿宋" w:eastAsia="仿宋"/>
          <w:b w:val="0"/>
          <w:bCs w:val="0"/>
          <w:color w:val="000000" w:themeColor="text1"/>
          <w14:textFill>
            <w14:solidFill>
              <w14:schemeClr w14:val="tx1"/>
            </w14:solidFill>
          </w14:textFill>
        </w:rPr>
        <w:t>五、</w:t>
      </w:r>
      <w:r>
        <w:rPr>
          <w:rFonts w:hint="eastAsia" w:ascii="仿宋" w:hAnsi="仿宋" w:eastAsia="仿宋"/>
          <w:b w:val="0"/>
          <w:color w:val="000000" w:themeColor="text1"/>
          <w14:textFill>
            <w14:solidFill>
              <w14:schemeClr w14:val="tx1"/>
            </w14:solidFill>
          </w14:textFill>
        </w:rPr>
        <w:t>财</w:t>
      </w:r>
      <w:r>
        <w:rPr>
          <w:rStyle w:val="25"/>
          <w:rFonts w:hint="eastAsia" w:ascii="仿宋" w:hAnsi="仿宋" w:eastAsia="仿宋"/>
          <w:b w:val="0"/>
          <w:bCs w:val="0"/>
          <w:color w:val="000000" w:themeColor="text1"/>
          <w14:textFill>
            <w14:solidFill>
              <w14:schemeClr w14:val="tx1"/>
            </w14:solidFill>
          </w14:textFill>
        </w:rPr>
        <w:t>政拨款支出决算明细表</w:t>
      </w:r>
      <w:bookmarkEnd w:id="58"/>
      <w:bookmarkStart w:id="59" w:name="_Toc15396624"/>
    </w:p>
    <w:p>
      <w:pPr>
        <w:pStyle w:val="4"/>
        <w:rPr>
          <w:rFonts w:ascii="仿宋" w:hAnsi="仿宋" w:eastAsia="仿宋"/>
          <w:color w:val="000000" w:themeColor="text1"/>
          <w14:textFill>
            <w14:solidFill>
              <w14:schemeClr w14:val="tx1"/>
            </w14:solidFill>
          </w14:textFill>
        </w:rPr>
      </w:pPr>
      <w:r>
        <w:rPr>
          <w:rStyle w:val="25"/>
          <w:rFonts w:hint="eastAsia" w:ascii="仿宋" w:hAnsi="仿宋" w:eastAsia="仿宋"/>
          <w:b w:val="0"/>
          <w:bCs w:val="0"/>
          <w:color w:val="000000" w:themeColor="text1"/>
          <w14:textFill>
            <w14:solidFill>
              <w14:schemeClr w14:val="tx1"/>
            </w14:solidFill>
          </w14:textFill>
        </w:rPr>
        <w:t>六、</w:t>
      </w:r>
      <w:r>
        <w:rPr>
          <w:rFonts w:hint="eastAsia" w:ascii="仿宋" w:hAnsi="仿宋" w:eastAsia="仿宋"/>
          <w:b w:val="0"/>
          <w:color w:val="000000" w:themeColor="text1"/>
          <w14:textFill>
            <w14:solidFill>
              <w14:schemeClr w14:val="tx1"/>
            </w14:solidFill>
          </w14:textFill>
        </w:rPr>
        <w:t>一</w:t>
      </w:r>
      <w:r>
        <w:rPr>
          <w:rStyle w:val="25"/>
          <w:rFonts w:hint="eastAsia" w:ascii="仿宋" w:hAnsi="仿宋" w:eastAsia="仿宋"/>
          <w:b w:val="0"/>
          <w:bCs w:val="0"/>
          <w:color w:val="000000" w:themeColor="text1"/>
          <w14:textFill>
            <w14:solidFill>
              <w14:schemeClr w14:val="tx1"/>
            </w14:solidFill>
          </w14:textFill>
        </w:rPr>
        <w:t>般公共预算财政拨款支出决算表</w:t>
      </w:r>
      <w:bookmarkEnd w:id="59"/>
    </w:p>
    <w:p>
      <w:pPr>
        <w:pStyle w:val="4"/>
        <w:rPr>
          <w:rFonts w:ascii="仿宋" w:hAnsi="仿宋" w:eastAsia="仿宋"/>
          <w:color w:val="000000" w:themeColor="text1"/>
          <w14:textFill>
            <w14:solidFill>
              <w14:schemeClr w14:val="tx1"/>
            </w14:solidFill>
          </w14:textFill>
        </w:rPr>
      </w:pPr>
      <w:bookmarkStart w:id="60" w:name="_Toc15396625"/>
      <w:r>
        <w:rPr>
          <w:rStyle w:val="25"/>
          <w:rFonts w:hint="eastAsia" w:ascii="仿宋" w:hAnsi="仿宋" w:eastAsia="仿宋"/>
          <w:b w:val="0"/>
          <w:bCs w:val="0"/>
          <w:color w:val="000000" w:themeColor="text1"/>
          <w14:textFill>
            <w14:solidFill>
              <w14:schemeClr w14:val="tx1"/>
            </w14:solidFill>
          </w14:textFill>
        </w:rPr>
        <w:t>七、</w:t>
      </w:r>
      <w:r>
        <w:rPr>
          <w:rFonts w:hint="eastAsia" w:ascii="仿宋" w:hAnsi="仿宋" w:eastAsia="仿宋"/>
          <w:b w:val="0"/>
          <w:color w:val="000000" w:themeColor="text1"/>
          <w14:textFill>
            <w14:solidFill>
              <w14:schemeClr w14:val="tx1"/>
            </w14:solidFill>
          </w14:textFill>
        </w:rPr>
        <w:t>一</w:t>
      </w:r>
      <w:r>
        <w:rPr>
          <w:rStyle w:val="25"/>
          <w:rFonts w:hint="eastAsia" w:ascii="仿宋" w:hAnsi="仿宋" w:eastAsia="仿宋"/>
          <w:b w:val="0"/>
          <w:bCs w:val="0"/>
          <w:color w:val="000000" w:themeColor="text1"/>
          <w14:textFill>
            <w14:solidFill>
              <w14:schemeClr w14:val="tx1"/>
            </w14:solidFill>
          </w14:textFill>
        </w:rPr>
        <w:t>般公共预算财政拨款支出决算明细表</w:t>
      </w:r>
      <w:bookmarkEnd w:id="60"/>
    </w:p>
    <w:p>
      <w:pPr>
        <w:pStyle w:val="4"/>
        <w:rPr>
          <w:rFonts w:ascii="仿宋" w:hAnsi="仿宋" w:eastAsia="仿宋"/>
          <w:color w:val="000000" w:themeColor="text1"/>
          <w14:textFill>
            <w14:solidFill>
              <w14:schemeClr w14:val="tx1"/>
            </w14:solidFill>
          </w14:textFill>
        </w:rPr>
      </w:pPr>
      <w:bookmarkStart w:id="61" w:name="_Toc15396626"/>
      <w:r>
        <w:rPr>
          <w:rStyle w:val="25"/>
          <w:rFonts w:hint="eastAsia" w:ascii="仿宋" w:hAnsi="仿宋" w:eastAsia="仿宋"/>
          <w:b w:val="0"/>
          <w:bCs w:val="0"/>
          <w:color w:val="000000" w:themeColor="text1"/>
          <w14:textFill>
            <w14:solidFill>
              <w14:schemeClr w14:val="tx1"/>
            </w14:solidFill>
          </w14:textFill>
        </w:rPr>
        <w:t>八、</w:t>
      </w:r>
      <w:r>
        <w:rPr>
          <w:rFonts w:hint="eastAsia" w:ascii="仿宋" w:hAnsi="仿宋" w:eastAsia="仿宋"/>
          <w:b w:val="0"/>
          <w:color w:val="000000" w:themeColor="text1"/>
          <w14:textFill>
            <w14:solidFill>
              <w14:schemeClr w14:val="tx1"/>
            </w14:solidFill>
          </w14:textFill>
        </w:rPr>
        <w:t>一</w:t>
      </w:r>
      <w:r>
        <w:rPr>
          <w:rStyle w:val="25"/>
          <w:rFonts w:hint="eastAsia" w:ascii="仿宋" w:hAnsi="仿宋" w:eastAsia="仿宋"/>
          <w:b w:val="0"/>
          <w:bCs w:val="0"/>
          <w:color w:val="000000" w:themeColor="text1"/>
          <w14:textFill>
            <w14:solidFill>
              <w14:schemeClr w14:val="tx1"/>
            </w14:solidFill>
          </w14:textFill>
        </w:rPr>
        <w:t>般公共预算财政拨款基本支出决算表</w:t>
      </w:r>
      <w:bookmarkEnd w:id="61"/>
    </w:p>
    <w:p>
      <w:pPr>
        <w:pStyle w:val="4"/>
        <w:rPr>
          <w:rFonts w:ascii="仿宋" w:hAnsi="仿宋" w:eastAsia="仿宋"/>
          <w:color w:val="000000" w:themeColor="text1"/>
          <w14:textFill>
            <w14:solidFill>
              <w14:schemeClr w14:val="tx1"/>
            </w14:solidFill>
          </w14:textFill>
        </w:rPr>
      </w:pPr>
      <w:bookmarkStart w:id="62" w:name="_Toc15396627"/>
      <w:r>
        <w:rPr>
          <w:rStyle w:val="25"/>
          <w:rFonts w:hint="eastAsia" w:ascii="仿宋" w:hAnsi="仿宋" w:eastAsia="仿宋"/>
          <w:b w:val="0"/>
          <w:bCs w:val="0"/>
          <w:color w:val="000000" w:themeColor="text1"/>
          <w14:textFill>
            <w14:solidFill>
              <w14:schemeClr w14:val="tx1"/>
            </w14:solidFill>
          </w14:textFill>
        </w:rPr>
        <w:t>九、</w:t>
      </w:r>
      <w:r>
        <w:rPr>
          <w:rFonts w:hint="eastAsia" w:ascii="仿宋" w:hAnsi="仿宋" w:eastAsia="仿宋"/>
          <w:b w:val="0"/>
          <w:color w:val="000000" w:themeColor="text1"/>
          <w14:textFill>
            <w14:solidFill>
              <w14:schemeClr w14:val="tx1"/>
            </w14:solidFill>
          </w14:textFill>
        </w:rPr>
        <w:t>一</w:t>
      </w:r>
      <w:r>
        <w:rPr>
          <w:rStyle w:val="25"/>
          <w:rFonts w:hint="eastAsia" w:ascii="仿宋" w:hAnsi="仿宋" w:eastAsia="仿宋"/>
          <w:b w:val="0"/>
          <w:bCs w:val="0"/>
          <w:color w:val="000000" w:themeColor="text1"/>
          <w14:textFill>
            <w14:solidFill>
              <w14:schemeClr w14:val="tx1"/>
            </w14:solidFill>
          </w14:textFill>
        </w:rPr>
        <w:t>般公共预算财政拨款项目支出决算表</w:t>
      </w:r>
      <w:bookmarkEnd w:id="62"/>
    </w:p>
    <w:p>
      <w:pPr>
        <w:pStyle w:val="4"/>
        <w:rPr>
          <w:rFonts w:ascii="仿宋" w:hAnsi="仿宋" w:eastAsia="仿宋"/>
          <w:color w:val="000000" w:themeColor="text1"/>
          <w14:textFill>
            <w14:solidFill>
              <w14:schemeClr w14:val="tx1"/>
            </w14:solidFill>
          </w14:textFill>
        </w:rPr>
      </w:pPr>
      <w:bookmarkStart w:id="63" w:name="_Toc15396628"/>
      <w:r>
        <w:rPr>
          <w:rStyle w:val="25"/>
          <w:rFonts w:hint="eastAsia" w:ascii="仿宋" w:hAnsi="仿宋" w:eastAsia="仿宋"/>
          <w:b w:val="0"/>
          <w:bCs w:val="0"/>
          <w:color w:val="000000" w:themeColor="text1"/>
          <w14:textFill>
            <w14:solidFill>
              <w14:schemeClr w14:val="tx1"/>
            </w14:solidFill>
          </w14:textFill>
        </w:rPr>
        <w:t>十、</w:t>
      </w:r>
      <w:bookmarkEnd w:id="63"/>
      <w:r>
        <w:rPr>
          <w:rFonts w:hint="eastAsia" w:ascii="仿宋" w:hAnsi="仿宋" w:eastAsia="仿宋"/>
          <w:b w:val="0"/>
          <w:color w:val="000000" w:themeColor="text1"/>
          <w14:textFill>
            <w14:solidFill>
              <w14:schemeClr w14:val="tx1"/>
            </w14:solidFill>
          </w14:textFill>
        </w:rPr>
        <w:t>政</w:t>
      </w:r>
      <w:r>
        <w:rPr>
          <w:rStyle w:val="25"/>
          <w:rFonts w:hint="eastAsia" w:ascii="仿宋" w:hAnsi="仿宋" w:eastAsia="仿宋"/>
          <w:b w:val="0"/>
          <w:bCs w:val="0"/>
          <w:color w:val="000000" w:themeColor="text1"/>
          <w14:textFill>
            <w14:solidFill>
              <w14:schemeClr w14:val="tx1"/>
            </w14:solidFill>
          </w14:textFill>
        </w:rPr>
        <w:t>府性基金预算财政拨款收入支出决算表</w:t>
      </w:r>
    </w:p>
    <w:p>
      <w:pPr>
        <w:pStyle w:val="4"/>
        <w:rPr>
          <w:rFonts w:ascii="仿宋" w:hAnsi="仿宋" w:eastAsia="仿宋"/>
          <w:color w:val="000000" w:themeColor="text1"/>
          <w14:textFill>
            <w14:solidFill>
              <w14:schemeClr w14:val="tx1"/>
            </w14:solidFill>
          </w14:textFill>
        </w:rPr>
      </w:pPr>
      <w:bookmarkStart w:id="64" w:name="_Toc15396629"/>
      <w:r>
        <w:rPr>
          <w:rStyle w:val="25"/>
          <w:rFonts w:hint="eastAsia" w:ascii="仿宋" w:hAnsi="仿宋" w:eastAsia="仿宋"/>
          <w:b w:val="0"/>
          <w:bCs w:val="0"/>
          <w:color w:val="000000" w:themeColor="text1"/>
          <w14:textFill>
            <w14:solidFill>
              <w14:schemeClr w14:val="tx1"/>
            </w14:solidFill>
          </w14:textFill>
        </w:rPr>
        <w:t>十一、</w:t>
      </w:r>
      <w:bookmarkEnd w:id="64"/>
      <w:r>
        <w:rPr>
          <w:rFonts w:hint="eastAsia" w:ascii="仿宋" w:hAnsi="仿宋" w:eastAsia="仿宋"/>
          <w:b w:val="0"/>
          <w:color w:val="000000" w:themeColor="text1"/>
          <w14:textFill>
            <w14:solidFill>
              <w14:schemeClr w14:val="tx1"/>
            </w14:solidFill>
          </w14:textFill>
        </w:rPr>
        <w:t>国</w:t>
      </w:r>
      <w:r>
        <w:rPr>
          <w:rStyle w:val="25"/>
          <w:rFonts w:hint="eastAsia" w:ascii="仿宋" w:hAnsi="仿宋" w:eastAsia="仿宋"/>
          <w:b w:val="0"/>
          <w:bCs w:val="0"/>
          <w:color w:val="000000" w:themeColor="text1"/>
          <w14:textFill>
            <w14:solidFill>
              <w14:schemeClr w14:val="tx1"/>
            </w14:solidFill>
          </w14:textFill>
        </w:rPr>
        <w:t>有资本经营预算财政拨款收入支出决算表</w:t>
      </w:r>
    </w:p>
    <w:p>
      <w:pPr>
        <w:pStyle w:val="4"/>
        <w:rPr>
          <w:rFonts w:ascii="仿宋" w:hAnsi="仿宋" w:eastAsia="仿宋"/>
          <w:color w:val="000000" w:themeColor="text1"/>
          <w14:textFill>
            <w14:solidFill>
              <w14:schemeClr w14:val="tx1"/>
            </w14:solidFill>
          </w14:textFill>
        </w:rPr>
      </w:pPr>
      <w:bookmarkStart w:id="65" w:name="_Toc15396630"/>
      <w:r>
        <w:rPr>
          <w:rStyle w:val="25"/>
          <w:rFonts w:hint="eastAsia" w:ascii="仿宋" w:hAnsi="仿宋" w:eastAsia="仿宋"/>
          <w:b w:val="0"/>
          <w:bCs w:val="0"/>
          <w:color w:val="000000" w:themeColor="text1"/>
          <w14:textFill>
            <w14:solidFill>
              <w14:schemeClr w14:val="tx1"/>
            </w14:solidFill>
          </w14:textFill>
        </w:rPr>
        <w:t>十二、</w:t>
      </w:r>
      <w:bookmarkEnd w:id="65"/>
      <w:r>
        <w:rPr>
          <w:rStyle w:val="25"/>
          <w:rFonts w:hint="eastAsia" w:ascii="仿宋" w:hAnsi="仿宋" w:eastAsia="仿宋"/>
          <w:b w:val="0"/>
          <w:bCs w:val="0"/>
          <w:color w:val="000000" w:themeColor="text1"/>
          <w14:textFill>
            <w14:solidFill>
              <w14:schemeClr w14:val="tx1"/>
            </w14:solidFill>
          </w14:textFill>
        </w:rPr>
        <w:t>国有资本经营预算财政拨款支出决算表</w:t>
      </w:r>
    </w:p>
    <w:p>
      <w:pPr>
        <w:pStyle w:val="4"/>
        <w:rPr>
          <w:rFonts w:eastAsia="仿宋"/>
          <w:color w:val="000000" w:themeColor="text1"/>
          <w14:textFill>
            <w14:solidFill>
              <w14:schemeClr w14:val="tx1"/>
            </w14:solidFill>
          </w14:textFill>
        </w:rPr>
      </w:pPr>
      <w:bookmarkStart w:id="66" w:name="_Toc15396631"/>
      <w:r>
        <w:rPr>
          <w:rStyle w:val="25"/>
          <w:rFonts w:hint="eastAsia" w:ascii="仿宋" w:hAnsi="仿宋" w:eastAsia="仿宋"/>
          <w:b w:val="0"/>
          <w:bCs w:val="0"/>
          <w:color w:val="000000" w:themeColor="text1"/>
          <w14:textFill>
            <w14:solidFill>
              <w14:schemeClr w14:val="tx1"/>
            </w14:solidFill>
          </w14:textFill>
        </w:rPr>
        <w:t>十三、</w:t>
      </w:r>
      <w:bookmarkEnd w:id="66"/>
      <w:r>
        <w:rPr>
          <w:rStyle w:val="25"/>
          <w:rFonts w:hint="eastAsia" w:ascii="仿宋" w:hAnsi="仿宋" w:eastAsia="仿宋"/>
          <w:b w:val="0"/>
          <w:bCs w:val="0"/>
          <w:color w:val="000000" w:themeColor="text1"/>
          <w14:textFill>
            <w14:solidFill>
              <w14:schemeClr w14:val="tx1"/>
            </w14:solidFill>
          </w14:textFill>
        </w:rPr>
        <w:t>财政拨款“三公”经费支出决算表</w:t>
      </w:r>
    </w:p>
    <w:p>
      <w:pPr>
        <w:pStyle w:val="4"/>
        <w:rPr>
          <w:rFonts w:eastAsia="仿宋"/>
        </w:rPr>
      </w:pPr>
      <w:bookmarkStart w:id="67" w:name="_GoBack"/>
      <w:bookmarkEnd w:id="67"/>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ZmY2YzE0ZDJhYTJmYTllNTUyOTY1MTZhMTQwMz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62F5"/>
    <w:rsid w:val="00FD3CC1"/>
    <w:rsid w:val="00FF1E02"/>
    <w:rsid w:val="00FF30B4"/>
    <w:rsid w:val="01E66FA5"/>
    <w:rsid w:val="05322502"/>
    <w:rsid w:val="053A62B5"/>
    <w:rsid w:val="06DD649D"/>
    <w:rsid w:val="0A2032A3"/>
    <w:rsid w:val="0B5331D2"/>
    <w:rsid w:val="0B8A37D8"/>
    <w:rsid w:val="0D3F3A0E"/>
    <w:rsid w:val="0F4672D5"/>
    <w:rsid w:val="0F711E78"/>
    <w:rsid w:val="0F955B67"/>
    <w:rsid w:val="10C055FF"/>
    <w:rsid w:val="117A6D98"/>
    <w:rsid w:val="118107EC"/>
    <w:rsid w:val="11902A8A"/>
    <w:rsid w:val="11DD6519"/>
    <w:rsid w:val="12753A2E"/>
    <w:rsid w:val="12BA7692"/>
    <w:rsid w:val="14151024"/>
    <w:rsid w:val="165A18B8"/>
    <w:rsid w:val="168E49C7"/>
    <w:rsid w:val="16BB723D"/>
    <w:rsid w:val="18015F3F"/>
    <w:rsid w:val="18F02060"/>
    <w:rsid w:val="19406B43"/>
    <w:rsid w:val="19AA220F"/>
    <w:rsid w:val="1BE8440E"/>
    <w:rsid w:val="1D155CEE"/>
    <w:rsid w:val="1F2E743E"/>
    <w:rsid w:val="20AF45AF"/>
    <w:rsid w:val="20F57F95"/>
    <w:rsid w:val="240371BF"/>
    <w:rsid w:val="25076767"/>
    <w:rsid w:val="25583467"/>
    <w:rsid w:val="25711CC6"/>
    <w:rsid w:val="25C741E6"/>
    <w:rsid w:val="26E36F23"/>
    <w:rsid w:val="27427F2B"/>
    <w:rsid w:val="27433CA3"/>
    <w:rsid w:val="27842671"/>
    <w:rsid w:val="281A0EA7"/>
    <w:rsid w:val="29FD04D3"/>
    <w:rsid w:val="2A6401B8"/>
    <w:rsid w:val="2ABE7A3E"/>
    <w:rsid w:val="2B606BD1"/>
    <w:rsid w:val="2C2B5431"/>
    <w:rsid w:val="2CA234A8"/>
    <w:rsid w:val="2E2A1718"/>
    <w:rsid w:val="2EFA178C"/>
    <w:rsid w:val="30B46D73"/>
    <w:rsid w:val="30C96FC7"/>
    <w:rsid w:val="317258B0"/>
    <w:rsid w:val="319F7F4E"/>
    <w:rsid w:val="32894C60"/>
    <w:rsid w:val="367B704F"/>
    <w:rsid w:val="36E25286"/>
    <w:rsid w:val="383D272C"/>
    <w:rsid w:val="397C4FDC"/>
    <w:rsid w:val="39AE70AB"/>
    <w:rsid w:val="3AE3337B"/>
    <w:rsid w:val="3C0C0783"/>
    <w:rsid w:val="3F9F3A96"/>
    <w:rsid w:val="44BF09B5"/>
    <w:rsid w:val="48BF60AB"/>
    <w:rsid w:val="493C27E9"/>
    <w:rsid w:val="496F39ED"/>
    <w:rsid w:val="49B44860"/>
    <w:rsid w:val="49FF41D3"/>
    <w:rsid w:val="4BE068DB"/>
    <w:rsid w:val="4BF6002B"/>
    <w:rsid w:val="4C0A69B9"/>
    <w:rsid w:val="4C942727"/>
    <w:rsid w:val="4E683E6B"/>
    <w:rsid w:val="4ECE2238"/>
    <w:rsid w:val="500E27F0"/>
    <w:rsid w:val="50812093"/>
    <w:rsid w:val="510B46C8"/>
    <w:rsid w:val="51DB4B86"/>
    <w:rsid w:val="52CA50F4"/>
    <w:rsid w:val="531243A6"/>
    <w:rsid w:val="55333C3E"/>
    <w:rsid w:val="56A96DCF"/>
    <w:rsid w:val="5AC71F19"/>
    <w:rsid w:val="5C6D1FB7"/>
    <w:rsid w:val="5CAF2C65"/>
    <w:rsid w:val="6192502F"/>
    <w:rsid w:val="62CC27C3"/>
    <w:rsid w:val="64CA39A1"/>
    <w:rsid w:val="67E22141"/>
    <w:rsid w:val="69630ADE"/>
    <w:rsid w:val="6C4A05C8"/>
    <w:rsid w:val="6C8D4D71"/>
    <w:rsid w:val="6D3B1A89"/>
    <w:rsid w:val="6FFD220E"/>
    <w:rsid w:val="70B12FF8"/>
    <w:rsid w:val="71A843FB"/>
    <w:rsid w:val="71BF4EC2"/>
    <w:rsid w:val="72734D90"/>
    <w:rsid w:val="73B051AA"/>
    <w:rsid w:val="7412278C"/>
    <w:rsid w:val="74B310ED"/>
    <w:rsid w:val="75DA6B4D"/>
    <w:rsid w:val="79DA35C0"/>
    <w:rsid w:val="79E7B28D"/>
    <w:rsid w:val="7A392094"/>
    <w:rsid w:val="7DB12889"/>
    <w:rsid w:val="7EA83C8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4035</Words>
  <Characters>6325</Characters>
  <Lines>41</Lines>
  <Paragraphs>11</Paragraphs>
  <TotalTime>10</TotalTime>
  <ScaleCrop>false</ScaleCrop>
  <LinksUpToDate>false</LinksUpToDate>
  <CharactersWithSpaces>6351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珂妤</cp:lastModifiedBy>
  <cp:lastPrinted>2023-07-31T02:35:00Z</cp:lastPrinted>
  <dcterms:modified xsi:type="dcterms:W3CDTF">2023-09-11T01:57:31Z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3B70A12B98244487819D964475F2F086_12</vt:lpwstr>
  </property>
</Properties>
</file>