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375" w:afterAutospacing="0"/>
        <w:ind w:left="0" w:right="0" w:firstLine="0"/>
        <w:jc w:val="center"/>
        <w:rPr>
          <w:rFonts w:hint="eastAsia" w:ascii="微软雅黑" w:hAnsi="微软雅黑" w:eastAsia="微软雅黑" w:cs="微软雅黑"/>
          <w:b w:val="0"/>
          <w:i w:val="0"/>
          <w:caps w:val="0"/>
          <w:color w:val="000000" w:themeColor="text1"/>
          <w:spacing w:val="0"/>
          <w:sz w:val="45"/>
          <w:szCs w:val="45"/>
          <w14:textFill>
            <w14:solidFill>
              <w14:schemeClr w14:val="tx1"/>
            </w14:solidFill>
          </w14:textFill>
        </w:rPr>
      </w:pPr>
    </w:p>
    <w:p>
      <w:pPr>
        <w:rPr>
          <w:rFonts w:hint="eastAsia"/>
        </w:rPr>
      </w:pPr>
    </w:p>
    <w:p>
      <w:pPr>
        <w:rPr>
          <w:rFonts w:hint="eastAsia"/>
        </w:rPr>
      </w:pP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375" w:afterAutospacing="0"/>
        <w:ind w:left="0" w:right="0" w:firstLine="0"/>
        <w:jc w:val="center"/>
        <w:rPr>
          <w:rFonts w:hint="eastAsia" w:ascii="微软雅黑" w:hAnsi="微软雅黑" w:eastAsia="微软雅黑" w:cs="微软雅黑"/>
          <w:b w:val="0"/>
          <w:i w:val="0"/>
          <w:caps w:val="0"/>
          <w:color w:val="000000" w:themeColor="text1"/>
          <w:spacing w:val="-20"/>
          <w:sz w:val="72"/>
          <w:szCs w:val="72"/>
          <w14:textFill>
            <w14:solidFill>
              <w14:schemeClr w14:val="tx1"/>
            </w14:solidFill>
          </w14:textFill>
        </w:rPr>
      </w:pPr>
      <w:r>
        <w:rPr>
          <w:rFonts w:hint="eastAsia" w:ascii="微软雅黑" w:hAnsi="微软雅黑" w:eastAsia="微软雅黑" w:cs="微软雅黑"/>
          <w:b w:val="0"/>
          <w:i w:val="0"/>
          <w:caps w:val="0"/>
          <w:color w:val="000000" w:themeColor="text1"/>
          <w:spacing w:val="-20"/>
          <w:sz w:val="72"/>
          <w:szCs w:val="72"/>
          <w14:textFill>
            <w14:solidFill>
              <w14:schemeClr w14:val="tx1"/>
            </w14:solidFill>
          </w14:textFill>
        </w:rPr>
        <w:t>202</w:t>
      </w:r>
      <w:r>
        <w:rPr>
          <w:rFonts w:hint="eastAsia" w:ascii="微软雅黑" w:hAnsi="微软雅黑" w:eastAsia="微软雅黑" w:cs="微软雅黑"/>
          <w:b w:val="0"/>
          <w:i w:val="0"/>
          <w:caps w:val="0"/>
          <w:color w:val="000000" w:themeColor="text1"/>
          <w:spacing w:val="-20"/>
          <w:sz w:val="72"/>
          <w:szCs w:val="72"/>
          <w:lang w:val="en-US" w:eastAsia="zh-CN"/>
          <w14:textFill>
            <w14:solidFill>
              <w14:schemeClr w14:val="tx1"/>
            </w14:solidFill>
          </w14:textFill>
        </w:rPr>
        <w:t>2</w:t>
      </w:r>
      <w:r>
        <w:rPr>
          <w:rFonts w:hint="eastAsia" w:ascii="微软雅黑" w:hAnsi="微软雅黑" w:eastAsia="微软雅黑" w:cs="微软雅黑"/>
          <w:b w:val="0"/>
          <w:i w:val="0"/>
          <w:caps w:val="0"/>
          <w:color w:val="000000" w:themeColor="text1"/>
          <w:spacing w:val="-20"/>
          <w:sz w:val="72"/>
          <w:szCs w:val="72"/>
          <w14:textFill>
            <w14:solidFill>
              <w14:schemeClr w14:val="tx1"/>
            </w14:solidFill>
          </w14:textFill>
        </w:rPr>
        <w:t>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375" w:afterAutospacing="0"/>
        <w:ind w:left="0" w:right="0" w:firstLine="0"/>
        <w:jc w:val="center"/>
        <w:rPr>
          <w:rFonts w:hint="eastAsia" w:ascii="微软雅黑" w:hAnsi="微软雅黑" w:eastAsia="微软雅黑" w:cs="微软雅黑"/>
          <w:b w:val="0"/>
          <w:i w:val="0"/>
          <w:caps w:val="0"/>
          <w:color w:val="000000" w:themeColor="text1"/>
          <w:spacing w:val="-20"/>
          <w:sz w:val="72"/>
          <w:szCs w:val="72"/>
          <w14:textFill>
            <w14:solidFill>
              <w14:schemeClr w14:val="tx1"/>
            </w14:solidFill>
          </w14:textFill>
        </w:rPr>
      </w:pPr>
      <w:r>
        <w:rPr>
          <w:rFonts w:hint="eastAsia" w:ascii="微软雅黑" w:hAnsi="微软雅黑" w:eastAsia="微软雅黑" w:cs="微软雅黑"/>
          <w:b w:val="0"/>
          <w:i w:val="0"/>
          <w:caps w:val="0"/>
          <w:color w:val="000000" w:themeColor="text1"/>
          <w:spacing w:val="-20"/>
          <w:sz w:val="72"/>
          <w:szCs w:val="72"/>
          <w14:textFill>
            <w14:solidFill>
              <w14:schemeClr w14:val="tx1"/>
            </w14:solidFill>
          </w14:textFill>
        </w:rPr>
        <w:t>攀枝花市人力资源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375" w:afterAutospacing="0"/>
        <w:ind w:left="0" w:right="0" w:firstLine="0"/>
        <w:jc w:val="center"/>
        <w:rPr>
          <w:rFonts w:ascii="微软雅黑" w:hAnsi="微软雅黑" w:eastAsia="微软雅黑" w:cs="微软雅黑"/>
          <w:b w:val="0"/>
          <w:i w:val="0"/>
          <w:caps w:val="0"/>
          <w:color w:val="000000" w:themeColor="text1"/>
          <w:spacing w:val="-20"/>
          <w:sz w:val="72"/>
          <w:szCs w:val="72"/>
          <w14:textFill>
            <w14:solidFill>
              <w14:schemeClr w14:val="tx1"/>
            </w14:solidFill>
          </w14:textFill>
        </w:rPr>
      </w:pPr>
      <w:r>
        <w:rPr>
          <w:rFonts w:hint="eastAsia" w:ascii="微软雅黑" w:hAnsi="微软雅黑" w:eastAsia="微软雅黑" w:cs="微软雅黑"/>
          <w:b w:val="0"/>
          <w:i w:val="0"/>
          <w:caps w:val="0"/>
          <w:color w:val="000000" w:themeColor="text1"/>
          <w:spacing w:val="-20"/>
          <w:sz w:val="72"/>
          <w:szCs w:val="72"/>
          <w14:textFill>
            <w14:solidFill>
              <w14:schemeClr w14:val="tx1"/>
            </w14:solidFill>
          </w14:textFill>
        </w:rPr>
        <w:t>和社会保障局部门决算</w:t>
      </w:r>
    </w:p>
    <w:p>
      <w:pPr>
        <w:pStyle w:val="7"/>
        <w:keepNext w:val="0"/>
        <w:keepLines w:val="0"/>
        <w:widowControl/>
        <w:suppressLineNumbers w:val="0"/>
        <w:pBdr>
          <w:top w:val="none" w:color="auto" w:sz="0" w:space="0"/>
          <w:left w:val="none" w:color="auto" w:sz="0" w:space="0"/>
          <w:bottom w:val="none" w:color="auto" w:sz="0" w:space="0"/>
          <w:right w:val="none" w:color="auto" w:sz="0" w:space="0"/>
        </w:pBdr>
        <w:tabs>
          <w:tab w:val="left" w:pos="5892"/>
        </w:tabs>
        <w:spacing w:before="406" w:beforeAutospacing="0" w:after="406" w:afterAutospacing="0" w:line="525" w:lineRule="atLeast"/>
        <w:ind w:left="0" w:right="0"/>
        <w:rPr>
          <w:rFonts w:hint="eastAsia" w:ascii="微软雅黑" w:hAnsi="微软雅黑" w:eastAsia="微软雅黑" w:cs="微软雅黑"/>
          <w:i w:val="0"/>
          <w:caps w:val="0"/>
          <w:color w:val="000000" w:themeColor="text1"/>
          <w:spacing w:val="0"/>
          <w:sz w:val="27"/>
          <w:szCs w:val="27"/>
          <w:lang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　　</w:t>
      </w:r>
      <w:r>
        <w:rPr>
          <w:rFonts w:hint="eastAsia" w:ascii="微软雅黑" w:hAnsi="微软雅黑" w:eastAsia="微软雅黑" w:cs="微软雅黑"/>
          <w:i w:val="0"/>
          <w:caps w:val="0"/>
          <w:color w:val="000000" w:themeColor="text1"/>
          <w:spacing w:val="0"/>
          <w:sz w:val="27"/>
          <w:szCs w:val="27"/>
          <w:lang w:eastAsia="zh-CN"/>
          <w14:textFill>
            <w14:solidFill>
              <w14:schemeClr w14:val="tx1"/>
            </w14:solidFill>
          </w14:textFill>
        </w:rPr>
        <w:tab/>
      </w:r>
    </w:p>
    <w:p>
      <w:pPr>
        <w:pStyle w:val="7"/>
        <w:keepNext w:val="0"/>
        <w:keepLines w:val="0"/>
        <w:widowControl/>
        <w:suppressLineNumbers w:val="0"/>
        <w:pBdr>
          <w:top w:val="none" w:color="auto" w:sz="0" w:space="0"/>
          <w:left w:val="none" w:color="auto" w:sz="0" w:space="0"/>
          <w:bottom w:val="none" w:color="auto" w:sz="0" w:space="0"/>
          <w:right w:val="none" w:color="auto" w:sz="0" w:space="0"/>
        </w:pBdr>
        <w:tabs>
          <w:tab w:val="left" w:pos="5892"/>
        </w:tabs>
        <w:spacing w:before="406" w:beforeAutospacing="0" w:after="406" w:afterAutospacing="0" w:line="525" w:lineRule="atLeast"/>
        <w:ind w:left="0" w:right="0"/>
        <w:rPr>
          <w:rFonts w:hint="eastAsia" w:ascii="微软雅黑" w:hAnsi="微软雅黑" w:eastAsia="微软雅黑" w:cs="微软雅黑"/>
          <w:i w:val="0"/>
          <w:caps w:val="0"/>
          <w:color w:val="000000" w:themeColor="text1"/>
          <w:spacing w:val="0"/>
          <w:sz w:val="27"/>
          <w:szCs w:val="27"/>
          <w:lang w:eastAsia="zh-CN"/>
          <w14:textFill>
            <w14:solidFill>
              <w14:schemeClr w14:val="tx1"/>
            </w14:solidFill>
          </w14:textFill>
        </w:rPr>
      </w:pPr>
      <w:bookmarkStart w:id="123" w:name="_GoBack"/>
      <w:bookmarkEnd w:id="123"/>
    </w:p>
    <w:p>
      <w:pPr>
        <w:pStyle w:val="7"/>
        <w:keepNext w:val="0"/>
        <w:keepLines w:val="0"/>
        <w:widowControl/>
        <w:suppressLineNumbers w:val="0"/>
        <w:pBdr>
          <w:top w:val="none" w:color="auto" w:sz="0" w:space="0"/>
          <w:left w:val="none" w:color="auto" w:sz="0" w:space="0"/>
          <w:bottom w:val="none" w:color="auto" w:sz="0" w:space="0"/>
          <w:right w:val="none" w:color="auto" w:sz="0" w:space="0"/>
        </w:pBdr>
        <w:tabs>
          <w:tab w:val="left" w:pos="5892"/>
        </w:tabs>
        <w:spacing w:before="406" w:beforeAutospacing="0" w:after="406" w:afterAutospacing="0" w:line="525" w:lineRule="atLeast"/>
        <w:ind w:left="0" w:right="0"/>
        <w:rPr>
          <w:rFonts w:hint="eastAsia" w:ascii="微软雅黑" w:hAnsi="微软雅黑" w:eastAsia="微软雅黑" w:cs="微软雅黑"/>
          <w:i w:val="0"/>
          <w:caps w:val="0"/>
          <w:color w:val="000000" w:themeColor="text1"/>
          <w:spacing w:val="0"/>
          <w:sz w:val="27"/>
          <w:szCs w:val="27"/>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tabs>
          <w:tab w:val="left" w:pos="5892"/>
        </w:tabs>
        <w:spacing w:before="406" w:beforeAutospacing="0" w:after="406" w:afterAutospacing="0" w:line="525" w:lineRule="atLeast"/>
        <w:ind w:left="0" w:right="0"/>
        <w:rPr>
          <w:rFonts w:hint="eastAsia" w:ascii="微软雅黑" w:hAnsi="微软雅黑" w:eastAsia="微软雅黑" w:cs="微软雅黑"/>
          <w:i w:val="0"/>
          <w:caps w:val="0"/>
          <w:color w:val="000000" w:themeColor="text1"/>
          <w:spacing w:val="0"/>
          <w:sz w:val="27"/>
          <w:szCs w:val="27"/>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tabs>
          <w:tab w:val="left" w:pos="5892"/>
        </w:tabs>
        <w:spacing w:before="406" w:beforeAutospacing="0" w:after="406" w:afterAutospacing="0" w:line="525" w:lineRule="atLeast"/>
        <w:ind w:left="0" w:right="0"/>
        <w:rPr>
          <w:rFonts w:hint="eastAsia" w:ascii="微软雅黑" w:hAnsi="微软雅黑" w:eastAsia="微软雅黑" w:cs="微软雅黑"/>
          <w:i w:val="0"/>
          <w:caps w:val="0"/>
          <w:color w:val="000000" w:themeColor="text1"/>
          <w:spacing w:val="0"/>
          <w:sz w:val="27"/>
          <w:szCs w:val="27"/>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color w:val="000000" w:themeColor="text1"/>
          <w:sz w:val="36"/>
          <w:szCs w:val="36"/>
          <w14:textFill>
            <w14:solidFill>
              <w14:schemeClr w14:val="tx1"/>
            </w14:solidFill>
          </w14:textFill>
        </w:rPr>
      </w:pPr>
      <w:r>
        <w:rPr>
          <w:rFonts w:hint="eastAsia" w:ascii="微软雅黑" w:hAnsi="微软雅黑" w:eastAsia="微软雅黑" w:cs="微软雅黑"/>
          <w:i w:val="0"/>
          <w:caps w:val="0"/>
          <w:color w:val="000000" w:themeColor="text1"/>
          <w:spacing w:val="0"/>
          <w:sz w:val="36"/>
          <w:szCs w:val="36"/>
          <w14:textFill>
            <w14:solidFill>
              <w14:schemeClr w14:val="tx1"/>
            </w14:solidFill>
          </w14:textFill>
        </w:rPr>
        <w:t>目</w:t>
      </w:r>
      <w:r>
        <w:rPr>
          <w:rFonts w:hint="eastAsia" w:ascii="微软雅黑" w:hAnsi="微软雅黑" w:eastAsia="微软雅黑" w:cs="微软雅黑"/>
          <w:i w:val="0"/>
          <w:caps w:val="0"/>
          <w:color w:val="000000" w:themeColor="text1"/>
          <w:spacing w:val="0"/>
          <w:sz w:val="36"/>
          <w:szCs w:val="36"/>
          <w:lang w:val="en-US" w:eastAsia="zh-CN"/>
          <w14:textFill>
            <w14:solidFill>
              <w14:schemeClr w14:val="tx1"/>
            </w14:solidFill>
          </w14:textFill>
        </w:rPr>
        <w:t xml:space="preserve">   </w:t>
      </w:r>
      <w:r>
        <w:rPr>
          <w:rFonts w:hint="eastAsia" w:ascii="微软雅黑" w:hAnsi="微软雅黑" w:eastAsia="微软雅黑" w:cs="微软雅黑"/>
          <w:i w:val="0"/>
          <w:caps w:val="0"/>
          <w:color w:val="000000" w:themeColor="text1"/>
          <w:spacing w:val="0"/>
          <w:sz w:val="36"/>
          <w:szCs w:val="36"/>
          <w14:textFill>
            <w14:solidFill>
              <w14:schemeClr w14:val="tx1"/>
            </w14:solidFill>
          </w14:textFill>
        </w:rPr>
        <w:t>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公开时间：2022年9月1</w:t>
      </w:r>
      <w:r>
        <w:rPr>
          <w:rFonts w:hint="eastAsia" w:ascii="微软雅黑" w:hAnsi="微软雅黑" w:eastAsia="微软雅黑" w:cs="微软雅黑"/>
          <w:i w:val="0"/>
          <w:caps w:val="0"/>
          <w:color w:val="000000" w:themeColor="text1"/>
          <w:spacing w:val="0"/>
          <w:sz w:val="27"/>
          <w:szCs w:val="27"/>
          <w:lang w:val="en-US" w:eastAsia="zh-CN"/>
          <w14:textFill>
            <w14:solidFill>
              <w14:schemeClr w14:val="tx1"/>
            </w14:solidFill>
          </w14:textFill>
        </w:rPr>
        <w:t>5</w:t>
      </w: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日</w:t>
      </w:r>
    </w:p>
    <w:sdt>
      <w:sdtPr>
        <w:rPr>
          <w:rFonts w:ascii="宋体" w:hAnsi="宋体" w:eastAsia="宋体" w:cstheme="minorBidi"/>
          <w:kern w:val="2"/>
          <w:sz w:val="21"/>
          <w:szCs w:val="24"/>
          <w:lang w:val="en-US" w:eastAsia="zh-CN" w:bidi="ar-SA"/>
        </w:rPr>
        <w:id w:val="147468970"/>
        <w:docPartObj>
          <w:docPartGallery w:val="Table of Contents"/>
          <w:docPartUnique/>
        </w:docPartObj>
      </w:sdtPr>
      <w:sdtEndPr>
        <w:rPr>
          <w:rFonts w:asciiTheme="minorHAnsi" w:hAnsiTheme="minorHAnsi" w:eastAsiaTheme="minorEastAsia"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30285_WPSOffice_Type2"/>
        </w:p>
        <w:p>
          <w:pPr>
            <w:pStyle w:val="13"/>
            <w:tabs>
              <w:tab w:val="right" w:leader="dot" w:pos="8306"/>
            </w:tabs>
            <w:rPr>
              <w:b w:val="0"/>
              <w:bCs w:val="0"/>
              <w:sz w:val="22"/>
              <w:szCs w:val="22"/>
            </w:rPr>
          </w:pPr>
          <w:r>
            <w:rPr>
              <w:b w:val="0"/>
              <w:bCs w:val="0"/>
              <w:sz w:val="22"/>
              <w:szCs w:val="22"/>
            </w:rPr>
            <w:fldChar w:fldCharType="begin"/>
          </w:r>
          <w:r>
            <w:rPr>
              <w:b w:val="0"/>
              <w:bCs w:val="0"/>
              <w:sz w:val="22"/>
              <w:szCs w:val="22"/>
            </w:rPr>
            <w:instrText xml:space="preserve"> HYPERLINK \l _Toc18313_WPSOffice_Level1 </w:instrText>
          </w:r>
          <w:r>
            <w:rPr>
              <w:b w:val="0"/>
              <w:bCs w:val="0"/>
              <w:sz w:val="22"/>
              <w:szCs w:val="22"/>
            </w:rPr>
            <w:fldChar w:fldCharType="separate"/>
          </w:r>
          <w:sdt>
            <w:sdtPr>
              <w:rPr>
                <w:rFonts w:asciiTheme="minorHAnsi" w:hAnsiTheme="minorHAnsi" w:eastAsiaTheme="minorEastAsia" w:cstheme="minorBidi"/>
                <w:b w:val="0"/>
                <w:bCs w:val="0"/>
                <w:kern w:val="0"/>
                <w:sz w:val="22"/>
                <w:szCs w:val="22"/>
                <w:lang w:val="en-US" w:eastAsia="zh-CN" w:bidi="ar"/>
              </w:rPr>
              <w:id w:val="147468974"/>
              <w:placeholder>
                <w:docPart w:val="{3ddee3ea-398c-4438-ab3f-3e563697ebad}"/>
              </w:placeholder>
            </w:sdtPr>
            <w:sdtEndPr>
              <w:rPr>
                <w:rFonts w:asciiTheme="minorHAnsi" w:hAnsiTheme="minorHAnsi" w:eastAsiaTheme="minorEastAsia" w:cstheme="minorBidi"/>
                <w:b w:val="0"/>
                <w:bCs w:val="0"/>
                <w:kern w:val="0"/>
                <w:sz w:val="22"/>
                <w:szCs w:val="22"/>
                <w:lang w:val="en-US" w:eastAsia="zh-CN" w:bidi="ar"/>
              </w:rPr>
            </w:sdtEndPr>
            <w:sdtContent>
              <w:r>
                <w:rPr>
                  <w:rFonts w:hint="eastAsia" w:ascii="黑体" w:hAnsi="黑体" w:eastAsia="黑体" w:cs="黑体"/>
                  <w:b w:val="0"/>
                  <w:bCs w:val="0"/>
                  <w:sz w:val="22"/>
                  <w:szCs w:val="22"/>
                </w:rPr>
                <w:t>第一部分 部门概况</w:t>
              </w:r>
            </w:sdtContent>
          </w:sdt>
          <w:r>
            <w:rPr>
              <w:b w:val="0"/>
              <w:bCs w:val="0"/>
              <w:sz w:val="22"/>
              <w:szCs w:val="22"/>
            </w:rPr>
            <w:tab/>
          </w:r>
          <w:bookmarkStart w:id="1" w:name="_Toc18313_WPSOffice_Level1Page"/>
          <w:r>
            <w:rPr>
              <w:b w:val="0"/>
              <w:bCs w:val="0"/>
              <w:sz w:val="22"/>
              <w:szCs w:val="22"/>
            </w:rPr>
            <w:t>1</w:t>
          </w:r>
          <w:bookmarkEnd w:id="1"/>
          <w:r>
            <w:rPr>
              <w:b w:val="0"/>
              <w:bCs w:val="0"/>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_Toc19536_WPSOffice_Level2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9b42a332-593c-4083-8517-ae5d9714fbbf}"/>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一、部门职责</w:t>
              </w:r>
            </w:sdtContent>
          </w:sdt>
          <w:r>
            <w:rPr>
              <w:rFonts w:hint="eastAsia" w:ascii="仿宋_GB2312" w:hAnsi="仿宋_GB2312" w:eastAsia="仿宋_GB2312" w:cs="仿宋_GB2312"/>
              <w:sz w:val="22"/>
              <w:szCs w:val="22"/>
            </w:rPr>
            <w:tab/>
          </w:r>
          <w:bookmarkStart w:id="2" w:name="_Toc19536_WPSOffice_Level2Page"/>
          <w:r>
            <w:rPr>
              <w:rFonts w:hint="eastAsia" w:ascii="仿宋_GB2312" w:hAnsi="仿宋_GB2312" w:eastAsia="仿宋_GB2312" w:cs="仿宋_GB2312"/>
              <w:sz w:val="22"/>
              <w:szCs w:val="22"/>
            </w:rPr>
            <w:t>1</w:t>
          </w:r>
          <w:bookmarkEnd w:id="2"/>
          <w:r>
            <w:rPr>
              <w:rFonts w:hint="eastAsia" w:ascii="仿宋_GB2312" w:hAnsi="仿宋_GB2312" w:eastAsia="仿宋_GB2312" w:cs="仿宋_GB2312"/>
              <w:sz w:val="22"/>
              <w:szCs w:val="22"/>
            </w:rPr>
            <w:fldChar w:fldCharType="end"/>
          </w:r>
        </w:p>
        <w:p>
          <w:pPr>
            <w:pStyle w:val="14"/>
            <w:tabs>
              <w:tab w:val="right" w:leader="dot" w:pos="8306"/>
            </w:tabs>
            <w:rPr>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_Toc18123_WPSOffice_Level2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7344e18b-ae1b-4205-92a2-268eaad69128}"/>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二、机构设置</w:t>
              </w:r>
            </w:sdtContent>
          </w:sdt>
          <w:r>
            <w:rPr>
              <w:rFonts w:hint="eastAsia" w:ascii="仿宋_GB2312" w:hAnsi="仿宋_GB2312" w:eastAsia="仿宋_GB2312" w:cs="仿宋_GB2312"/>
              <w:sz w:val="22"/>
              <w:szCs w:val="22"/>
            </w:rPr>
            <w:tab/>
          </w:r>
          <w:bookmarkStart w:id="3" w:name="_Toc18123_WPSOffice_Level2Page"/>
          <w:r>
            <w:rPr>
              <w:rFonts w:hint="eastAsia" w:ascii="仿宋_GB2312" w:hAnsi="仿宋_GB2312" w:eastAsia="仿宋_GB2312" w:cs="仿宋_GB2312"/>
              <w:sz w:val="22"/>
              <w:szCs w:val="22"/>
            </w:rPr>
            <w:t>4</w:t>
          </w:r>
          <w:bookmarkEnd w:id="3"/>
          <w:r>
            <w:rPr>
              <w:rFonts w:hint="eastAsia" w:ascii="仿宋_GB2312" w:hAnsi="仿宋_GB2312" w:eastAsia="仿宋_GB2312" w:cs="仿宋_GB2312"/>
              <w:sz w:val="22"/>
              <w:szCs w:val="22"/>
            </w:rPr>
            <w:fldChar w:fldCharType="end"/>
          </w:r>
        </w:p>
        <w:p>
          <w:pPr>
            <w:pStyle w:val="13"/>
            <w:tabs>
              <w:tab w:val="right" w:leader="dot" w:pos="8306"/>
            </w:tabs>
            <w:rPr>
              <w:b w:val="0"/>
              <w:bCs w:val="0"/>
              <w:sz w:val="22"/>
              <w:szCs w:val="22"/>
            </w:rPr>
          </w:pPr>
          <w:r>
            <w:rPr>
              <w:b w:val="0"/>
              <w:bCs w:val="0"/>
              <w:sz w:val="22"/>
              <w:szCs w:val="22"/>
            </w:rPr>
            <w:fldChar w:fldCharType="begin"/>
          </w:r>
          <w:r>
            <w:rPr>
              <w:b w:val="0"/>
              <w:bCs w:val="0"/>
              <w:sz w:val="22"/>
              <w:szCs w:val="22"/>
            </w:rPr>
            <w:instrText xml:space="preserve"> HYPERLINK \l _Toc19536_WPSOffice_Level1 </w:instrText>
          </w:r>
          <w:r>
            <w:rPr>
              <w:b w:val="0"/>
              <w:bCs w:val="0"/>
              <w:sz w:val="22"/>
              <w:szCs w:val="22"/>
            </w:rPr>
            <w:fldChar w:fldCharType="separate"/>
          </w:r>
          <w:sdt>
            <w:sdtPr>
              <w:rPr>
                <w:rFonts w:asciiTheme="minorHAnsi" w:hAnsiTheme="minorHAnsi" w:eastAsiaTheme="minorEastAsia" w:cstheme="minorBidi"/>
                <w:b w:val="0"/>
                <w:bCs w:val="0"/>
                <w:kern w:val="0"/>
                <w:sz w:val="22"/>
                <w:szCs w:val="22"/>
                <w:lang w:val="en-US" w:eastAsia="zh-CN" w:bidi="ar"/>
              </w:rPr>
              <w:id w:val="147468974"/>
              <w:placeholder>
                <w:docPart w:val="{27727047-dd38-4588-9603-cfdbfd08ee46}"/>
              </w:placeholder>
            </w:sdtPr>
            <w:sdtEndPr>
              <w:rPr>
                <w:rFonts w:asciiTheme="minorHAnsi" w:hAnsiTheme="minorHAnsi" w:eastAsiaTheme="minorEastAsia" w:cstheme="minorBidi"/>
                <w:b w:val="0"/>
                <w:bCs w:val="0"/>
                <w:kern w:val="0"/>
                <w:sz w:val="22"/>
                <w:szCs w:val="22"/>
                <w:lang w:val="en-US" w:eastAsia="zh-CN" w:bidi="ar"/>
              </w:rPr>
            </w:sdtEndPr>
            <w:sdtContent>
              <w:r>
                <w:rPr>
                  <w:rFonts w:hint="eastAsia" w:ascii="黑体" w:hAnsi="黑体" w:eastAsia="黑体" w:cs="黑体"/>
                  <w:b w:val="0"/>
                  <w:bCs w:val="0"/>
                  <w:sz w:val="22"/>
                  <w:szCs w:val="22"/>
                </w:rPr>
                <w:t>第二部分 2022年度部门决算情况说明</w:t>
              </w:r>
            </w:sdtContent>
          </w:sdt>
          <w:r>
            <w:rPr>
              <w:b w:val="0"/>
              <w:bCs w:val="0"/>
              <w:sz w:val="22"/>
              <w:szCs w:val="22"/>
            </w:rPr>
            <w:tab/>
          </w:r>
          <w:bookmarkStart w:id="4" w:name="_Toc19536_WPSOffice_Level1Page"/>
          <w:r>
            <w:rPr>
              <w:b w:val="0"/>
              <w:bCs w:val="0"/>
              <w:sz w:val="22"/>
              <w:szCs w:val="22"/>
            </w:rPr>
            <w:t>5</w:t>
          </w:r>
          <w:bookmarkEnd w:id="4"/>
          <w:r>
            <w:rPr>
              <w:b w:val="0"/>
              <w:bCs w:val="0"/>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_Toc20774_WPSOffice_Level2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d52e73be-9c14-407d-afc2-388e55b4869c}"/>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一、收入支出决算总体情况说明</w:t>
              </w:r>
            </w:sdtContent>
          </w:sdt>
          <w:r>
            <w:rPr>
              <w:rFonts w:hint="eastAsia" w:ascii="仿宋_GB2312" w:hAnsi="仿宋_GB2312" w:eastAsia="仿宋_GB2312" w:cs="仿宋_GB2312"/>
              <w:sz w:val="22"/>
              <w:szCs w:val="22"/>
            </w:rPr>
            <w:tab/>
          </w:r>
          <w:bookmarkStart w:id="5" w:name="_Toc20774_WPSOffice_Level2Page"/>
          <w:r>
            <w:rPr>
              <w:rFonts w:hint="eastAsia" w:ascii="仿宋_GB2312" w:hAnsi="仿宋_GB2312" w:eastAsia="仿宋_GB2312" w:cs="仿宋_GB2312"/>
              <w:sz w:val="22"/>
              <w:szCs w:val="22"/>
            </w:rPr>
            <w:t>5</w:t>
          </w:r>
          <w:bookmarkEnd w:id="5"/>
          <w:r>
            <w:rPr>
              <w:rFonts w:hint="eastAsia" w:ascii="仿宋_GB2312" w:hAnsi="仿宋_GB2312" w:eastAsia="仿宋_GB2312" w:cs="仿宋_GB2312"/>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_Toc18470_WPSOffice_Level2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fa8a02b1-d18e-4a56-9de3-7accfc66f970}"/>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二、收入决算情况说明</w:t>
              </w:r>
            </w:sdtContent>
          </w:sdt>
          <w:r>
            <w:rPr>
              <w:rFonts w:hint="eastAsia" w:ascii="仿宋_GB2312" w:hAnsi="仿宋_GB2312" w:eastAsia="仿宋_GB2312" w:cs="仿宋_GB2312"/>
              <w:sz w:val="22"/>
              <w:szCs w:val="22"/>
            </w:rPr>
            <w:tab/>
          </w:r>
          <w:bookmarkStart w:id="6" w:name="_Toc18470_WPSOffice_Level2Page"/>
          <w:r>
            <w:rPr>
              <w:rFonts w:hint="eastAsia" w:ascii="仿宋_GB2312" w:hAnsi="仿宋_GB2312" w:eastAsia="仿宋_GB2312" w:cs="仿宋_GB2312"/>
              <w:sz w:val="22"/>
              <w:szCs w:val="22"/>
            </w:rPr>
            <w:t>5</w:t>
          </w:r>
          <w:bookmarkEnd w:id="6"/>
          <w:r>
            <w:rPr>
              <w:rFonts w:hint="eastAsia" w:ascii="仿宋_GB2312" w:hAnsi="仿宋_GB2312" w:eastAsia="仿宋_GB2312" w:cs="仿宋_GB2312"/>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_Toc22176_WPSOffice_Level2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1a64dcb4-cd15-44e3-925e-3313b508833b}"/>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三、支出决算情况说明</w:t>
              </w:r>
            </w:sdtContent>
          </w:sdt>
          <w:r>
            <w:rPr>
              <w:rFonts w:hint="eastAsia" w:ascii="仿宋_GB2312" w:hAnsi="仿宋_GB2312" w:eastAsia="仿宋_GB2312" w:cs="仿宋_GB2312"/>
              <w:sz w:val="22"/>
              <w:szCs w:val="22"/>
            </w:rPr>
            <w:tab/>
          </w:r>
          <w:bookmarkStart w:id="7" w:name="_Toc22176_WPSOffice_Level2Page"/>
          <w:r>
            <w:rPr>
              <w:rFonts w:hint="eastAsia" w:ascii="仿宋_GB2312" w:hAnsi="仿宋_GB2312" w:eastAsia="仿宋_GB2312" w:cs="仿宋_GB2312"/>
              <w:sz w:val="22"/>
              <w:szCs w:val="22"/>
            </w:rPr>
            <w:t>6</w:t>
          </w:r>
          <w:bookmarkEnd w:id="7"/>
          <w:r>
            <w:rPr>
              <w:rFonts w:hint="eastAsia" w:ascii="仿宋_GB2312" w:hAnsi="仿宋_GB2312" w:eastAsia="仿宋_GB2312" w:cs="仿宋_GB2312"/>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_Toc28593_WPSOffice_Level2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7b1d6695-f9e0-4e88-a511-fed69331718d}"/>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四、财政拨款收入支出决算总体情况说明</w:t>
              </w:r>
            </w:sdtContent>
          </w:sdt>
          <w:r>
            <w:rPr>
              <w:rFonts w:hint="eastAsia" w:ascii="仿宋_GB2312" w:hAnsi="仿宋_GB2312" w:eastAsia="仿宋_GB2312" w:cs="仿宋_GB2312"/>
              <w:sz w:val="22"/>
              <w:szCs w:val="22"/>
            </w:rPr>
            <w:tab/>
          </w:r>
          <w:bookmarkStart w:id="8" w:name="_Toc28593_WPSOffice_Level2Page"/>
          <w:r>
            <w:rPr>
              <w:rFonts w:hint="eastAsia" w:ascii="仿宋_GB2312" w:hAnsi="仿宋_GB2312" w:eastAsia="仿宋_GB2312" w:cs="仿宋_GB2312"/>
              <w:sz w:val="22"/>
              <w:szCs w:val="22"/>
            </w:rPr>
            <w:t>7</w:t>
          </w:r>
          <w:bookmarkEnd w:id="8"/>
          <w:r>
            <w:rPr>
              <w:rFonts w:hint="eastAsia" w:ascii="仿宋_GB2312" w:hAnsi="仿宋_GB2312" w:eastAsia="仿宋_GB2312" w:cs="仿宋_GB2312"/>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_Toc14898_WPSOffice_Level2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9c2319f4-03de-485f-927c-1dddfad590b0}"/>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五、一般公共预算财政拨款支出决算情况说明</w:t>
              </w:r>
            </w:sdtContent>
          </w:sdt>
          <w:r>
            <w:rPr>
              <w:rFonts w:hint="eastAsia" w:ascii="仿宋_GB2312" w:hAnsi="仿宋_GB2312" w:eastAsia="仿宋_GB2312" w:cs="仿宋_GB2312"/>
              <w:sz w:val="22"/>
              <w:szCs w:val="22"/>
            </w:rPr>
            <w:tab/>
          </w:r>
          <w:bookmarkStart w:id="9" w:name="_Toc14898_WPSOffice_Level2Page"/>
          <w:r>
            <w:rPr>
              <w:rFonts w:hint="eastAsia" w:ascii="仿宋_GB2312" w:hAnsi="仿宋_GB2312" w:eastAsia="仿宋_GB2312" w:cs="仿宋_GB2312"/>
              <w:sz w:val="22"/>
              <w:szCs w:val="22"/>
            </w:rPr>
            <w:t>7</w:t>
          </w:r>
          <w:bookmarkEnd w:id="9"/>
          <w:r>
            <w:rPr>
              <w:rFonts w:hint="eastAsia" w:ascii="仿宋_GB2312" w:hAnsi="仿宋_GB2312" w:eastAsia="仿宋_GB2312" w:cs="仿宋_GB2312"/>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_Toc12295_WPSOffice_Level2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bf63c859-cfa8-4a65-986b-807cb31b1d1b}"/>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六、一般公共预算财政拨款基本支出决算情况说明</w:t>
              </w:r>
            </w:sdtContent>
          </w:sdt>
          <w:r>
            <w:rPr>
              <w:rFonts w:hint="eastAsia" w:ascii="仿宋_GB2312" w:hAnsi="仿宋_GB2312" w:eastAsia="仿宋_GB2312" w:cs="仿宋_GB2312"/>
              <w:sz w:val="22"/>
              <w:szCs w:val="22"/>
            </w:rPr>
            <w:tab/>
          </w:r>
          <w:bookmarkStart w:id="10" w:name="_Toc12295_WPSOffice_Level2Page"/>
          <w:r>
            <w:rPr>
              <w:rFonts w:hint="eastAsia" w:ascii="仿宋_GB2312" w:hAnsi="仿宋_GB2312" w:eastAsia="仿宋_GB2312" w:cs="仿宋_GB2312"/>
              <w:sz w:val="22"/>
              <w:szCs w:val="22"/>
            </w:rPr>
            <w:t>11</w:t>
          </w:r>
          <w:bookmarkEnd w:id="10"/>
          <w:r>
            <w:rPr>
              <w:rFonts w:hint="eastAsia" w:ascii="仿宋_GB2312" w:hAnsi="仿宋_GB2312" w:eastAsia="仿宋_GB2312" w:cs="仿宋_GB2312"/>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_Toc19249_WPSOffice_Level2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cd1ffeb0-acc2-48c5-b8d5-2d389e8ae93e}"/>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七、财政拨款“三公”经费支出决算情况说明</w:t>
              </w:r>
            </w:sdtContent>
          </w:sdt>
          <w:r>
            <w:rPr>
              <w:rFonts w:hint="eastAsia" w:ascii="仿宋_GB2312" w:hAnsi="仿宋_GB2312" w:eastAsia="仿宋_GB2312" w:cs="仿宋_GB2312"/>
              <w:sz w:val="22"/>
              <w:szCs w:val="22"/>
            </w:rPr>
            <w:tab/>
          </w:r>
          <w:bookmarkStart w:id="11" w:name="_Toc19249_WPSOffice_Level2Page"/>
          <w:r>
            <w:rPr>
              <w:rFonts w:hint="eastAsia" w:ascii="仿宋_GB2312" w:hAnsi="仿宋_GB2312" w:eastAsia="仿宋_GB2312" w:cs="仿宋_GB2312"/>
              <w:sz w:val="22"/>
              <w:szCs w:val="22"/>
            </w:rPr>
            <w:t>11</w:t>
          </w:r>
          <w:bookmarkEnd w:id="11"/>
          <w:r>
            <w:rPr>
              <w:rFonts w:hint="eastAsia" w:ascii="仿宋_GB2312" w:hAnsi="仿宋_GB2312" w:eastAsia="仿宋_GB2312" w:cs="仿宋_GB2312"/>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_Toc19878_WPSOffice_Level2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4"/>
              <w:placeholder>
                <w:docPart w:val="{c1adeb25-9001-4fdf-92eb-01537428a528}"/>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八、政府性基金预算支出决算情况说明</w:t>
              </w:r>
            </w:sdtContent>
          </w:sdt>
          <w:r>
            <w:rPr>
              <w:rFonts w:hint="eastAsia" w:ascii="仿宋_GB2312" w:hAnsi="仿宋_GB2312" w:eastAsia="仿宋_GB2312" w:cs="仿宋_GB2312"/>
              <w:sz w:val="22"/>
              <w:szCs w:val="22"/>
            </w:rPr>
            <w:tab/>
          </w:r>
          <w:bookmarkStart w:id="12" w:name="_Toc19878_WPSOffice_Level2Page"/>
          <w:r>
            <w:rPr>
              <w:rFonts w:hint="eastAsia" w:ascii="仿宋_GB2312" w:hAnsi="仿宋_GB2312" w:eastAsia="仿宋_GB2312" w:cs="仿宋_GB2312"/>
              <w:sz w:val="22"/>
              <w:szCs w:val="22"/>
            </w:rPr>
            <w:t>13</w:t>
          </w:r>
          <w:bookmarkEnd w:id="12"/>
          <w:r>
            <w:rPr>
              <w:rFonts w:hint="eastAsia" w:ascii="仿宋_GB2312" w:hAnsi="仿宋_GB2312" w:eastAsia="仿宋_GB2312" w:cs="仿宋_GB2312"/>
              <w:sz w:val="22"/>
              <w:szCs w:val="22"/>
            </w:rPr>
            <w:fldChar w:fldCharType="end"/>
          </w:r>
        </w:p>
        <w:p>
          <w:pPr>
            <w:pStyle w:val="14"/>
            <w:tabs>
              <w:tab w:val="right" w:leader="dot" w:pos="8306"/>
            </w:tabs>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_Toc11422_WPSOffice_Level2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0"/>
              <w:placeholder>
                <w:docPart w:val="{54dd6c52-a5a0-4088-b167-bacd222c4758}"/>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九、国有资本经营预算支出决算情况说明</w:t>
              </w:r>
            </w:sdtContent>
          </w:sdt>
          <w:r>
            <w:rPr>
              <w:rFonts w:hint="eastAsia" w:ascii="仿宋_GB2312" w:hAnsi="仿宋_GB2312" w:eastAsia="仿宋_GB2312" w:cs="仿宋_GB2312"/>
              <w:sz w:val="22"/>
              <w:szCs w:val="22"/>
            </w:rPr>
            <w:tab/>
          </w:r>
          <w:bookmarkStart w:id="13" w:name="_Toc11422_WPSOffice_Level2Page"/>
          <w:r>
            <w:rPr>
              <w:rFonts w:hint="eastAsia" w:ascii="仿宋_GB2312" w:hAnsi="仿宋_GB2312" w:eastAsia="仿宋_GB2312" w:cs="仿宋_GB2312"/>
              <w:sz w:val="22"/>
              <w:szCs w:val="22"/>
            </w:rPr>
            <w:t>13</w:t>
          </w:r>
          <w:bookmarkEnd w:id="13"/>
          <w:r>
            <w:rPr>
              <w:rFonts w:hint="eastAsia" w:ascii="仿宋_GB2312" w:hAnsi="仿宋_GB2312" w:eastAsia="仿宋_GB2312" w:cs="仿宋_GB2312"/>
              <w:sz w:val="22"/>
              <w:szCs w:val="22"/>
            </w:rPr>
            <w:fldChar w:fldCharType="end"/>
          </w:r>
        </w:p>
        <w:p>
          <w:pPr>
            <w:pStyle w:val="14"/>
            <w:tabs>
              <w:tab w:val="right" w:leader="dot" w:pos="8306"/>
            </w:tabs>
            <w:rPr>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\l _Toc30285_WPSOffice_Level2 </w:instrText>
          </w:r>
          <w:r>
            <w:rPr>
              <w:rFonts w:hint="eastAsia" w:ascii="仿宋_GB2312" w:hAnsi="仿宋_GB2312" w:eastAsia="仿宋_GB2312" w:cs="仿宋_GB2312"/>
              <w:sz w:val="22"/>
              <w:szCs w:val="22"/>
            </w:rPr>
            <w:fldChar w:fldCharType="separate"/>
          </w:r>
          <w:sdt>
            <w:sdtPr>
              <w:rPr>
                <w:rFonts w:hint="eastAsia" w:ascii="仿宋_GB2312" w:hAnsi="仿宋_GB2312" w:eastAsia="仿宋_GB2312" w:cs="仿宋_GB2312"/>
                <w:kern w:val="0"/>
                <w:sz w:val="22"/>
                <w:szCs w:val="22"/>
                <w:lang w:val="en-US" w:eastAsia="zh-CN" w:bidi="ar"/>
              </w:rPr>
              <w:id w:val="147468970"/>
              <w:placeholder>
                <w:docPart w:val="{9952ea23-7830-4523-99a5-bf4e74785a3b}"/>
              </w:placeholder>
            </w:sdtPr>
            <w:sdtEndPr>
              <w:rPr>
                <w:rFonts w:hint="eastAsia" w:ascii="仿宋_GB2312" w:hAnsi="仿宋_GB2312" w:eastAsia="仿宋_GB2312" w:cs="仿宋_GB2312"/>
                <w:kern w:val="0"/>
                <w:sz w:val="22"/>
                <w:szCs w:val="22"/>
                <w:lang w:val="en-US" w:eastAsia="zh-CN" w:bidi="ar"/>
              </w:rPr>
            </w:sdtEndPr>
            <w:sdtContent>
              <w:r>
                <w:rPr>
                  <w:rFonts w:hint="eastAsia" w:ascii="仿宋_GB2312" w:hAnsi="仿宋_GB2312" w:eastAsia="仿宋_GB2312" w:cs="仿宋_GB2312"/>
                  <w:sz w:val="22"/>
                  <w:szCs w:val="22"/>
                </w:rPr>
                <w:t>十、其他重要事项的情况说明</w:t>
              </w:r>
            </w:sdtContent>
          </w:sdt>
          <w:r>
            <w:rPr>
              <w:rFonts w:hint="eastAsia" w:ascii="仿宋_GB2312" w:hAnsi="仿宋_GB2312" w:eastAsia="仿宋_GB2312" w:cs="仿宋_GB2312"/>
              <w:sz w:val="22"/>
              <w:szCs w:val="22"/>
            </w:rPr>
            <w:tab/>
          </w:r>
          <w:bookmarkStart w:id="14" w:name="_Toc30285_WPSOffice_Level2Page"/>
          <w:r>
            <w:rPr>
              <w:rFonts w:hint="eastAsia" w:ascii="仿宋_GB2312" w:hAnsi="仿宋_GB2312" w:eastAsia="仿宋_GB2312" w:cs="仿宋_GB2312"/>
              <w:sz w:val="22"/>
              <w:szCs w:val="22"/>
            </w:rPr>
            <w:t>13</w:t>
          </w:r>
          <w:bookmarkEnd w:id="14"/>
          <w:r>
            <w:rPr>
              <w:rFonts w:hint="eastAsia" w:ascii="仿宋_GB2312" w:hAnsi="仿宋_GB2312" w:eastAsia="仿宋_GB2312" w:cs="仿宋_GB2312"/>
              <w:sz w:val="22"/>
              <w:szCs w:val="22"/>
            </w:rPr>
            <w:fldChar w:fldCharType="end"/>
          </w:r>
        </w:p>
        <w:p>
          <w:pPr>
            <w:pStyle w:val="13"/>
            <w:tabs>
              <w:tab w:val="right" w:leader="dot" w:pos="8306"/>
            </w:tabs>
            <w:rPr>
              <w:b w:val="0"/>
              <w:bCs w:val="0"/>
              <w:sz w:val="22"/>
              <w:szCs w:val="22"/>
            </w:rPr>
          </w:pPr>
          <w:r>
            <w:rPr>
              <w:b w:val="0"/>
              <w:bCs w:val="0"/>
              <w:sz w:val="22"/>
              <w:szCs w:val="22"/>
            </w:rPr>
            <w:fldChar w:fldCharType="begin"/>
          </w:r>
          <w:r>
            <w:rPr>
              <w:b w:val="0"/>
              <w:bCs w:val="0"/>
              <w:sz w:val="22"/>
              <w:szCs w:val="22"/>
            </w:rPr>
            <w:instrText xml:space="preserve"> HYPERLINK \l _Toc30285_WPSOffice_Level1 </w:instrText>
          </w:r>
          <w:r>
            <w:rPr>
              <w:b w:val="0"/>
              <w:bCs w:val="0"/>
              <w:sz w:val="22"/>
              <w:szCs w:val="22"/>
            </w:rPr>
            <w:fldChar w:fldCharType="separate"/>
          </w:r>
          <w:sdt>
            <w:sdtPr>
              <w:rPr>
                <w:rFonts w:asciiTheme="minorHAnsi" w:hAnsiTheme="minorHAnsi" w:eastAsiaTheme="minorEastAsia" w:cstheme="minorBidi"/>
                <w:b w:val="0"/>
                <w:bCs w:val="0"/>
                <w:kern w:val="0"/>
                <w:sz w:val="22"/>
                <w:szCs w:val="22"/>
                <w:lang w:val="en-US" w:eastAsia="zh-CN" w:bidi="ar"/>
              </w:rPr>
              <w:id w:val="147468970"/>
              <w:placeholder>
                <w:docPart w:val="{c251b27a-7deb-47cb-b5d6-e3f8e8b7a83d}"/>
              </w:placeholder>
            </w:sdtPr>
            <w:sdtEndPr>
              <w:rPr>
                <w:rFonts w:asciiTheme="minorHAnsi" w:hAnsiTheme="minorHAnsi" w:eastAsiaTheme="minorEastAsia" w:cstheme="minorBidi"/>
                <w:b w:val="0"/>
                <w:bCs w:val="0"/>
                <w:kern w:val="0"/>
                <w:sz w:val="22"/>
                <w:szCs w:val="22"/>
                <w:lang w:val="en-US" w:eastAsia="zh-CN" w:bidi="ar"/>
              </w:rPr>
            </w:sdtEndPr>
            <w:sdtContent>
              <w:r>
                <w:rPr>
                  <w:rFonts w:hint="eastAsia" w:ascii="黑体" w:hAnsi="黑体" w:eastAsia="黑体" w:cs="黑体"/>
                  <w:b w:val="0"/>
                  <w:bCs w:val="0"/>
                  <w:sz w:val="22"/>
                  <w:szCs w:val="22"/>
                </w:rPr>
                <w:t>第三部分 名词解释</w:t>
              </w:r>
            </w:sdtContent>
          </w:sdt>
          <w:r>
            <w:rPr>
              <w:b w:val="0"/>
              <w:bCs w:val="0"/>
              <w:sz w:val="22"/>
              <w:szCs w:val="22"/>
            </w:rPr>
            <w:tab/>
          </w:r>
          <w:bookmarkStart w:id="15" w:name="_Toc30285_WPSOffice_Level1Page"/>
          <w:r>
            <w:rPr>
              <w:b w:val="0"/>
              <w:bCs w:val="0"/>
              <w:sz w:val="22"/>
              <w:szCs w:val="22"/>
            </w:rPr>
            <w:t>16</w:t>
          </w:r>
          <w:bookmarkEnd w:id="15"/>
          <w:r>
            <w:rPr>
              <w:b w:val="0"/>
              <w:bCs w:val="0"/>
              <w:sz w:val="22"/>
              <w:szCs w:val="22"/>
            </w:rPr>
            <w:fldChar w:fldCharType="end"/>
          </w:r>
        </w:p>
        <w:p>
          <w:pPr>
            <w:pStyle w:val="13"/>
            <w:tabs>
              <w:tab w:val="right" w:leader="dot" w:pos="8306"/>
            </w:tabs>
            <w:rPr>
              <w:b w:val="0"/>
              <w:bCs w:val="0"/>
              <w:sz w:val="22"/>
              <w:szCs w:val="22"/>
            </w:rPr>
          </w:pPr>
          <w:r>
            <w:rPr>
              <w:b w:val="0"/>
              <w:bCs w:val="0"/>
              <w:sz w:val="22"/>
              <w:szCs w:val="22"/>
            </w:rPr>
            <w:fldChar w:fldCharType="begin"/>
          </w:r>
          <w:r>
            <w:rPr>
              <w:b w:val="0"/>
              <w:bCs w:val="0"/>
              <w:sz w:val="22"/>
              <w:szCs w:val="22"/>
            </w:rPr>
            <w:instrText xml:space="preserve"> HYPERLINK \l _Toc3219_WPSOffice_Level1 </w:instrText>
          </w:r>
          <w:r>
            <w:rPr>
              <w:b w:val="0"/>
              <w:bCs w:val="0"/>
              <w:sz w:val="22"/>
              <w:szCs w:val="22"/>
            </w:rPr>
            <w:fldChar w:fldCharType="separate"/>
          </w:r>
          <w:sdt>
            <w:sdtPr>
              <w:rPr>
                <w:rFonts w:asciiTheme="minorHAnsi" w:hAnsiTheme="minorHAnsi" w:eastAsiaTheme="minorEastAsia" w:cstheme="minorBidi"/>
                <w:b w:val="0"/>
                <w:bCs w:val="0"/>
                <w:kern w:val="0"/>
                <w:sz w:val="22"/>
                <w:szCs w:val="22"/>
                <w:lang w:val="en-US" w:eastAsia="zh-CN" w:bidi="ar"/>
              </w:rPr>
              <w:id w:val="147468970"/>
              <w:placeholder>
                <w:docPart w:val="{acfab68d-4011-46ae-8ed5-aa6deaf2b886}"/>
              </w:placeholder>
            </w:sdtPr>
            <w:sdtEndPr>
              <w:rPr>
                <w:rFonts w:asciiTheme="minorHAnsi" w:hAnsiTheme="minorHAnsi" w:eastAsiaTheme="minorEastAsia" w:cstheme="minorBidi"/>
                <w:b w:val="0"/>
                <w:bCs w:val="0"/>
                <w:kern w:val="0"/>
                <w:sz w:val="22"/>
                <w:szCs w:val="22"/>
                <w:lang w:val="en-US" w:eastAsia="zh-CN" w:bidi="ar"/>
              </w:rPr>
            </w:sdtEndPr>
            <w:sdtContent>
              <w:r>
                <w:rPr>
                  <w:rFonts w:hint="eastAsia" w:ascii="黑体" w:hAnsi="黑体" w:eastAsia="黑体" w:cs="黑体"/>
                  <w:b w:val="0"/>
                  <w:bCs w:val="0"/>
                  <w:sz w:val="22"/>
                  <w:szCs w:val="22"/>
                </w:rPr>
                <w:t>第四部分 附件</w:t>
              </w:r>
            </w:sdtContent>
          </w:sdt>
          <w:r>
            <w:rPr>
              <w:b w:val="0"/>
              <w:bCs w:val="0"/>
              <w:sz w:val="22"/>
              <w:szCs w:val="22"/>
            </w:rPr>
            <w:tab/>
          </w:r>
          <w:bookmarkStart w:id="16" w:name="_Toc3219_WPSOffice_Level1Page"/>
          <w:r>
            <w:rPr>
              <w:b w:val="0"/>
              <w:bCs w:val="0"/>
              <w:sz w:val="22"/>
              <w:szCs w:val="22"/>
            </w:rPr>
            <w:t>20</w:t>
          </w:r>
          <w:bookmarkEnd w:id="16"/>
          <w:r>
            <w:rPr>
              <w:b w:val="0"/>
              <w:bCs w:val="0"/>
              <w:sz w:val="22"/>
              <w:szCs w:val="22"/>
            </w:rPr>
            <w:fldChar w:fldCharType="end"/>
          </w:r>
        </w:p>
        <w:p>
          <w:pPr>
            <w:pStyle w:val="13"/>
            <w:tabs>
              <w:tab w:val="right" w:leader="dot" w:pos="8306"/>
            </w:tabs>
            <w:rPr>
              <w:sz w:val="22"/>
              <w:szCs w:val="22"/>
            </w:rPr>
          </w:pPr>
          <w:r>
            <w:rPr>
              <w:b w:val="0"/>
              <w:bCs w:val="0"/>
              <w:sz w:val="22"/>
              <w:szCs w:val="22"/>
            </w:rPr>
            <w:fldChar w:fldCharType="begin"/>
          </w:r>
          <w:r>
            <w:rPr>
              <w:b w:val="0"/>
              <w:bCs w:val="0"/>
              <w:sz w:val="22"/>
              <w:szCs w:val="22"/>
            </w:rPr>
            <w:instrText xml:space="preserve"> HYPERLINK \l _Toc12069_WPSOffice_Level1 </w:instrText>
          </w:r>
          <w:r>
            <w:rPr>
              <w:b w:val="0"/>
              <w:bCs w:val="0"/>
              <w:sz w:val="22"/>
              <w:szCs w:val="22"/>
            </w:rPr>
            <w:fldChar w:fldCharType="separate"/>
          </w:r>
          <w:sdt>
            <w:sdtPr>
              <w:rPr>
                <w:rFonts w:asciiTheme="minorHAnsi" w:hAnsiTheme="minorHAnsi" w:eastAsiaTheme="minorEastAsia" w:cstheme="minorBidi"/>
                <w:b w:val="0"/>
                <w:bCs w:val="0"/>
                <w:kern w:val="0"/>
                <w:sz w:val="22"/>
                <w:szCs w:val="22"/>
                <w:lang w:val="en-US" w:eastAsia="zh-CN" w:bidi="ar"/>
              </w:rPr>
              <w:id w:val="147468970"/>
              <w:placeholder>
                <w:docPart w:val="{944d1609-ad93-43c1-8ddd-4e108ac617b1}"/>
              </w:placeholder>
            </w:sdtPr>
            <w:sdtEndPr>
              <w:rPr>
                <w:rFonts w:asciiTheme="minorHAnsi" w:hAnsiTheme="minorHAnsi" w:eastAsiaTheme="minorEastAsia" w:cstheme="minorBidi"/>
                <w:b w:val="0"/>
                <w:bCs w:val="0"/>
                <w:kern w:val="0"/>
                <w:sz w:val="22"/>
                <w:szCs w:val="22"/>
                <w:lang w:val="en-US" w:eastAsia="zh-CN" w:bidi="ar"/>
              </w:rPr>
            </w:sdtEndPr>
            <w:sdtContent>
              <w:r>
                <w:rPr>
                  <w:rFonts w:hint="eastAsia" w:ascii="黑体" w:hAnsi="黑体" w:eastAsia="黑体" w:cs="黑体"/>
                  <w:b w:val="0"/>
                  <w:bCs w:val="0"/>
                  <w:sz w:val="22"/>
                  <w:szCs w:val="22"/>
                </w:rPr>
                <w:t>第五部分 附表</w:t>
              </w:r>
            </w:sdtContent>
          </w:sdt>
          <w:r>
            <w:rPr>
              <w:b w:val="0"/>
              <w:bCs w:val="0"/>
              <w:sz w:val="22"/>
              <w:szCs w:val="22"/>
            </w:rPr>
            <w:tab/>
          </w:r>
          <w:bookmarkStart w:id="17" w:name="_Toc12069_WPSOffice_Level1Page"/>
          <w:r>
            <w:rPr>
              <w:b w:val="0"/>
              <w:bCs w:val="0"/>
              <w:sz w:val="22"/>
              <w:szCs w:val="22"/>
            </w:rPr>
            <w:t>36</w:t>
          </w:r>
          <w:bookmarkEnd w:id="17"/>
          <w:r>
            <w:rPr>
              <w:b w:val="0"/>
              <w:bCs w:val="0"/>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_Toc21718_WPSOffice_Level2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7323d970-0231-41c2-8571-efd122553232}"/>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一、收入支出决算总表</w:t>
              </w:r>
            </w:sdtContent>
          </w:sdt>
          <w:r>
            <w:rPr>
              <w:sz w:val="22"/>
              <w:szCs w:val="22"/>
            </w:rPr>
            <w:tab/>
          </w:r>
          <w:bookmarkStart w:id="18" w:name="_Toc21718_WPSOffice_Level2Page"/>
          <w:r>
            <w:rPr>
              <w:sz w:val="22"/>
              <w:szCs w:val="22"/>
            </w:rPr>
            <w:t>36</w:t>
          </w:r>
          <w:bookmarkEnd w:id="18"/>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_Toc21740_WPSOffice_Level2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c8a8f5a8-e93e-4d84-91d2-614bd72aa94a}"/>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二、收入决算表</w:t>
              </w:r>
            </w:sdtContent>
          </w:sdt>
          <w:r>
            <w:rPr>
              <w:sz w:val="22"/>
              <w:szCs w:val="22"/>
            </w:rPr>
            <w:tab/>
          </w:r>
          <w:bookmarkStart w:id="19" w:name="_Toc21740_WPSOffice_Level2Page"/>
          <w:r>
            <w:rPr>
              <w:sz w:val="22"/>
              <w:szCs w:val="22"/>
            </w:rPr>
            <w:t>36</w:t>
          </w:r>
          <w:bookmarkEnd w:id="19"/>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_Toc29332_WPSOffice_Level2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586e8bd3-4a90-485e-a8a6-5f653f5d3327}"/>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三、支出决算表</w:t>
              </w:r>
            </w:sdtContent>
          </w:sdt>
          <w:r>
            <w:rPr>
              <w:sz w:val="22"/>
              <w:szCs w:val="22"/>
            </w:rPr>
            <w:tab/>
          </w:r>
          <w:bookmarkStart w:id="20" w:name="_Toc29332_WPSOffice_Level2Page"/>
          <w:r>
            <w:rPr>
              <w:sz w:val="22"/>
              <w:szCs w:val="22"/>
            </w:rPr>
            <w:t>36</w:t>
          </w:r>
          <w:bookmarkEnd w:id="20"/>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_Toc30607_WPSOffice_Level2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e7aea217-206b-40b6-82b7-f9e7d4af70a1}"/>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四、财政拨款收入支出决算总表</w:t>
              </w:r>
            </w:sdtContent>
          </w:sdt>
          <w:r>
            <w:rPr>
              <w:sz w:val="22"/>
              <w:szCs w:val="22"/>
            </w:rPr>
            <w:tab/>
          </w:r>
          <w:bookmarkStart w:id="21" w:name="_Toc30607_WPSOffice_Level2Page"/>
          <w:r>
            <w:rPr>
              <w:sz w:val="22"/>
              <w:szCs w:val="22"/>
            </w:rPr>
            <w:t>36</w:t>
          </w:r>
          <w:bookmarkEnd w:id="21"/>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_Toc26553_WPSOffice_Level2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019d5033-21ec-4c30-bf46-75b1eb33a599}"/>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五、财政拨款支出决算明细表</w:t>
              </w:r>
            </w:sdtContent>
          </w:sdt>
          <w:r>
            <w:rPr>
              <w:sz w:val="22"/>
              <w:szCs w:val="22"/>
            </w:rPr>
            <w:tab/>
          </w:r>
          <w:bookmarkStart w:id="22" w:name="_Toc26553_WPSOffice_Level2Page"/>
          <w:r>
            <w:rPr>
              <w:sz w:val="22"/>
              <w:szCs w:val="22"/>
            </w:rPr>
            <w:t>36</w:t>
          </w:r>
          <w:bookmarkEnd w:id="22"/>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_Toc3864_WPSOffice_Level2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67492fe7-889d-4cb4-9f66-6f19c22e8a39}"/>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六、一般公共预算财政拨款支出决算表</w:t>
              </w:r>
            </w:sdtContent>
          </w:sdt>
          <w:r>
            <w:rPr>
              <w:sz w:val="22"/>
              <w:szCs w:val="22"/>
            </w:rPr>
            <w:tab/>
          </w:r>
          <w:bookmarkStart w:id="23" w:name="_Toc3864_WPSOffice_Level2Page"/>
          <w:r>
            <w:rPr>
              <w:sz w:val="22"/>
              <w:szCs w:val="22"/>
            </w:rPr>
            <w:t>36</w:t>
          </w:r>
          <w:bookmarkEnd w:id="23"/>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_Toc4564_WPSOffice_Level2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53bdb8cc-8ccc-4fe9-a45b-df6ab1678df7}"/>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七、一般公共预算财政拨款支出决算明细表</w:t>
              </w:r>
            </w:sdtContent>
          </w:sdt>
          <w:r>
            <w:rPr>
              <w:sz w:val="22"/>
              <w:szCs w:val="22"/>
            </w:rPr>
            <w:tab/>
          </w:r>
          <w:bookmarkStart w:id="24" w:name="_Toc4564_WPSOffice_Level2Page"/>
          <w:r>
            <w:rPr>
              <w:sz w:val="22"/>
              <w:szCs w:val="22"/>
            </w:rPr>
            <w:t>36</w:t>
          </w:r>
          <w:bookmarkEnd w:id="24"/>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_Toc15816_WPSOffice_Level2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c7755a47-bb1e-44cc-9a89-4372494c0cb5}"/>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八、一般公共预算财政拨款基本支出决算表</w:t>
              </w:r>
            </w:sdtContent>
          </w:sdt>
          <w:r>
            <w:rPr>
              <w:sz w:val="22"/>
              <w:szCs w:val="22"/>
            </w:rPr>
            <w:tab/>
          </w:r>
          <w:bookmarkStart w:id="25" w:name="_Toc15816_WPSOffice_Level2Page"/>
          <w:r>
            <w:rPr>
              <w:sz w:val="22"/>
              <w:szCs w:val="22"/>
            </w:rPr>
            <w:t>36</w:t>
          </w:r>
          <w:bookmarkEnd w:id="25"/>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_Toc355_WPSOffice_Level2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aa38051d-d219-42a2-8c91-715dc91b9c25}"/>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九、一般公共预算财政拨款项目支出决算表</w:t>
              </w:r>
            </w:sdtContent>
          </w:sdt>
          <w:r>
            <w:rPr>
              <w:sz w:val="22"/>
              <w:szCs w:val="22"/>
            </w:rPr>
            <w:tab/>
          </w:r>
          <w:bookmarkStart w:id="26" w:name="_Toc355_WPSOffice_Level2Page"/>
          <w:r>
            <w:rPr>
              <w:sz w:val="22"/>
              <w:szCs w:val="22"/>
            </w:rPr>
            <w:t>36</w:t>
          </w:r>
          <w:bookmarkEnd w:id="26"/>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_Toc29787_WPSOffice_Level2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a7e5dc5e-47e8-442c-b2d4-31658755d031}"/>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十、政府性基金预算财政拨款收入支出决算表（财决公开10表无数据）</w:t>
              </w:r>
            </w:sdtContent>
          </w:sdt>
          <w:r>
            <w:rPr>
              <w:sz w:val="22"/>
              <w:szCs w:val="22"/>
            </w:rPr>
            <w:tab/>
          </w:r>
          <w:bookmarkStart w:id="27" w:name="_Toc29787_WPSOffice_Level2Page"/>
          <w:r>
            <w:rPr>
              <w:sz w:val="22"/>
              <w:szCs w:val="22"/>
            </w:rPr>
            <w:t>36</w:t>
          </w:r>
          <w:bookmarkEnd w:id="27"/>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_Toc25989_WPSOffice_Level2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14135ff0-e8dd-405a-a6c5-0559f387c1d2}"/>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十一、国有资本经营预算财政拨款收入支出决算表（财决公开11表无数据）</w:t>
              </w:r>
            </w:sdtContent>
          </w:sdt>
          <w:r>
            <w:rPr>
              <w:sz w:val="22"/>
              <w:szCs w:val="22"/>
            </w:rPr>
            <w:tab/>
          </w:r>
          <w:bookmarkStart w:id="28" w:name="_Toc25989_WPSOffice_Level2Page"/>
          <w:r>
            <w:rPr>
              <w:sz w:val="22"/>
              <w:szCs w:val="22"/>
            </w:rPr>
            <w:t>36</w:t>
          </w:r>
          <w:bookmarkEnd w:id="28"/>
          <w:r>
            <w:rPr>
              <w:sz w:val="22"/>
              <w:szCs w:val="22"/>
            </w:rPr>
            <w:fldChar w:fldCharType="end"/>
          </w:r>
        </w:p>
        <w:p>
          <w:pPr>
            <w:pStyle w:val="14"/>
            <w:tabs>
              <w:tab w:val="right" w:leader="dot" w:pos="8306"/>
            </w:tabs>
            <w:rPr>
              <w:sz w:val="22"/>
              <w:szCs w:val="22"/>
            </w:rPr>
          </w:pPr>
          <w:r>
            <w:rPr>
              <w:sz w:val="22"/>
              <w:szCs w:val="22"/>
            </w:rPr>
            <w:fldChar w:fldCharType="begin"/>
          </w:r>
          <w:r>
            <w:rPr>
              <w:sz w:val="22"/>
              <w:szCs w:val="22"/>
            </w:rPr>
            <w:instrText xml:space="preserve"> HYPERLINK \l _Toc27012_WPSOffice_Level2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8755a17c-f0b3-4ba5-a4ca-0510d5377d01}"/>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十二、国有资本经营预算财政拨款支出决算表（财决公开12表无数据）</w:t>
              </w:r>
            </w:sdtContent>
          </w:sdt>
          <w:r>
            <w:rPr>
              <w:sz w:val="22"/>
              <w:szCs w:val="22"/>
            </w:rPr>
            <w:tab/>
          </w:r>
          <w:bookmarkStart w:id="29" w:name="_Toc27012_WPSOffice_Level2Page"/>
          <w:r>
            <w:rPr>
              <w:sz w:val="22"/>
              <w:szCs w:val="22"/>
            </w:rPr>
            <w:t>36</w:t>
          </w:r>
          <w:bookmarkEnd w:id="29"/>
          <w:r>
            <w:rPr>
              <w:sz w:val="22"/>
              <w:szCs w:val="22"/>
            </w:rPr>
            <w:fldChar w:fldCharType="end"/>
          </w:r>
        </w:p>
        <w:p>
          <w:pPr>
            <w:pStyle w:val="14"/>
            <w:tabs>
              <w:tab w:val="right" w:leader="dot" w:pos="8306"/>
            </w:tabs>
          </w:pPr>
          <w:r>
            <w:rPr>
              <w:sz w:val="22"/>
              <w:szCs w:val="22"/>
            </w:rPr>
            <w:fldChar w:fldCharType="begin"/>
          </w:r>
          <w:r>
            <w:rPr>
              <w:sz w:val="22"/>
              <w:szCs w:val="22"/>
            </w:rPr>
            <w:instrText xml:space="preserve"> HYPERLINK \l _Toc30214_WPSOffice_Level2 </w:instrText>
          </w:r>
          <w:r>
            <w:rPr>
              <w:sz w:val="22"/>
              <w:szCs w:val="22"/>
            </w:rPr>
            <w:fldChar w:fldCharType="separate"/>
          </w:r>
          <w:sdt>
            <w:sdtPr>
              <w:rPr>
                <w:rFonts w:asciiTheme="minorHAnsi" w:hAnsiTheme="minorHAnsi" w:eastAsiaTheme="minorEastAsia" w:cstheme="minorBidi"/>
                <w:kern w:val="0"/>
                <w:sz w:val="22"/>
                <w:szCs w:val="22"/>
                <w:lang w:val="en-US" w:eastAsia="zh-CN" w:bidi="ar"/>
              </w:rPr>
              <w:id w:val="147468970"/>
              <w:placeholder>
                <w:docPart w:val="{4d93603f-74d1-4e00-a138-b6fc505329b7}"/>
              </w:placeholder>
            </w:sdtPr>
            <w:sdtEndPr>
              <w:rPr>
                <w:rFonts w:asciiTheme="minorHAnsi" w:hAnsiTheme="minorHAnsi" w:eastAsiaTheme="minorEastAsia" w:cstheme="minorBidi"/>
                <w:kern w:val="0"/>
                <w:sz w:val="22"/>
                <w:szCs w:val="22"/>
                <w:lang w:val="en-US" w:eastAsia="zh-CN" w:bidi="ar"/>
              </w:rPr>
            </w:sdtEndPr>
            <w:sdtContent>
              <w:r>
                <w:rPr>
                  <w:rFonts w:hint="eastAsia" w:ascii="仿宋_GB2312" w:hAnsi="仿宋_GB2312" w:eastAsia="仿宋_GB2312" w:cs="仿宋_GB2312"/>
                  <w:sz w:val="22"/>
                  <w:szCs w:val="22"/>
                </w:rPr>
                <w:t>十三、财政拨款“三公”经费支出决算表</w:t>
              </w:r>
            </w:sdtContent>
          </w:sdt>
          <w:r>
            <w:rPr>
              <w:sz w:val="22"/>
              <w:szCs w:val="22"/>
            </w:rPr>
            <w:tab/>
          </w:r>
          <w:bookmarkStart w:id="30" w:name="_Toc30214_WPSOffice_Level2Page"/>
          <w:r>
            <w:rPr>
              <w:sz w:val="22"/>
              <w:szCs w:val="22"/>
            </w:rPr>
            <w:t>36</w:t>
          </w:r>
          <w:bookmarkEnd w:id="30"/>
          <w:r>
            <w:rPr>
              <w:sz w:val="22"/>
              <w:szCs w:val="22"/>
            </w:rPr>
            <w:fldChar w:fldCharType="end"/>
          </w:r>
          <w:bookmarkEnd w:id="0"/>
        </w:p>
      </w:sdtContent>
    </w:sdt>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both"/>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i w:val="0"/>
          <w:caps w:val="0"/>
          <w:color w:val="000000" w:themeColor="text1"/>
          <w:spacing w:val="0"/>
          <w:sz w:val="44"/>
          <w:szCs w:val="44"/>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bookmarkStart w:id="31" w:name="_Toc21517_WPSOffice_Level1"/>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color w:val="000000" w:themeColor="text1"/>
          <w:sz w:val="44"/>
          <w:szCs w:val="44"/>
          <w14:textFill>
            <w14:solidFill>
              <w14:schemeClr w14:val="tx1"/>
            </w14:solidFill>
          </w14:textFill>
        </w:rPr>
      </w:pPr>
      <w:bookmarkStart w:id="32" w:name="_Toc18313_WPSOffice_Level1"/>
      <w:r>
        <w:rPr>
          <w:rFonts w:hint="eastAsia" w:ascii="黑体" w:hAnsi="黑体" w:eastAsia="黑体" w:cs="黑体"/>
          <w:i w:val="0"/>
          <w:caps w:val="0"/>
          <w:color w:val="000000" w:themeColor="text1"/>
          <w:spacing w:val="0"/>
          <w:sz w:val="44"/>
          <w:szCs w:val="44"/>
          <w14:textFill>
            <w14:solidFill>
              <w14:schemeClr w14:val="tx1"/>
            </w14:solidFill>
          </w14:textFill>
        </w:rPr>
        <w:t>第一部分 部门概况</w:t>
      </w:r>
      <w:bookmarkEnd w:id="31"/>
      <w:bookmarkEnd w:id="3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617"/>
        </w:tabs>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bookmarkStart w:id="33" w:name="_Toc12645_WPSOffice_Level2"/>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ab/>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617"/>
        </w:tabs>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bookmarkStart w:id="34" w:name="_Toc19536_WPSOffice_Level2"/>
      <w:r>
        <w:rPr>
          <w:rFonts w:hint="eastAsia" w:ascii="黑体" w:hAnsi="黑体" w:eastAsia="黑体" w:cs="黑体"/>
          <w:b w:val="0"/>
          <w:bCs w:val="0"/>
          <w:i w:val="0"/>
          <w:caps w:val="0"/>
          <w:color w:val="000000" w:themeColor="text1"/>
          <w:spacing w:val="0"/>
          <w:sz w:val="32"/>
          <w:szCs w:val="32"/>
          <w14:textFill>
            <w14:solidFill>
              <w14:schemeClr w14:val="tx1"/>
            </w14:solidFill>
          </w14:textFill>
        </w:rPr>
        <w:t>一、</w:t>
      </w:r>
      <w:bookmarkEnd w:id="33"/>
      <w:r>
        <w:rPr>
          <w:rFonts w:hint="eastAsia" w:ascii="黑体" w:hAnsi="黑体" w:eastAsia="黑体" w:cs="黑体"/>
          <w:b w:val="0"/>
          <w:bCs w:val="0"/>
          <w:i w:val="0"/>
          <w:caps w:val="0"/>
          <w:color w:val="000000" w:themeColor="text1"/>
          <w:spacing w:val="0"/>
          <w:sz w:val="32"/>
          <w:szCs w:val="32"/>
          <w:lang w:eastAsia="zh-CN"/>
          <w14:textFill>
            <w14:solidFill>
              <w14:schemeClr w14:val="tx1"/>
            </w14:solidFill>
          </w14:textFill>
        </w:rPr>
        <w:t>部门职责</w:t>
      </w:r>
      <w:bookmarkEnd w:id="3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eastAsia="仿宋_GB2312"/>
          <w:sz w:val="32"/>
          <w:szCs w:val="32"/>
        </w:rPr>
        <w:t>经</w:t>
      </w:r>
      <w:r>
        <w:rPr>
          <w:rFonts w:hint="eastAsia" w:eastAsia="仿宋_GB2312"/>
          <w:sz w:val="32"/>
          <w:szCs w:val="32"/>
          <w:lang w:eastAsia="zh-CN"/>
        </w:rPr>
        <w:t>市</w:t>
      </w:r>
      <w:r>
        <w:rPr>
          <w:rFonts w:eastAsia="仿宋_GB2312"/>
          <w:sz w:val="32"/>
          <w:szCs w:val="32"/>
        </w:rPr>
        <w:t>委、</w:t>
      </w:r>
      <w:r>
        <w:rPr>
          <w:rFonts w:hint="eastAsia" w:eastAsia="仿宋_GB2312"/>
          <w:sz w:val="32"/>
          <w:szCs w:val="32"/>
          <w:lang w:eastAsia="zh-CN"/>
        </w:rPr>
        <w:t>市</w:t>
      </w:r>
      <w:r>
        <w:rPr>
          <w:rFonts w:eastAsia="仿宋_GB2312"/>
          <w:sz w:val="32"/>
          <w:szCs w:val="32"/>
        </w:rPr>
        <w:t>政府批准同意，根据《关于</w:t>
      </w:r>
      <w:r>
        <w:rPr>
          <w:rFonts w:hint="eastAsia" w:eastAsia="仿宋_GB2312"/>
          <w:sz w:val="32"/>
          <w:szCs w:val="32"/>
          <w:lang w:eastAsia="zh-CN"/>
        </w:rPr>
        <w:t>印发</w:t>
      </w:r>
      <w:r>
        <w:rPr>
          <w:rFonts w:eastAsia="仿宋_GB2312"/>
          <w:sz w:val="32"/>
          <w:szCs w:val="32"/>
        </w:rPr>
        <w:t>〈</w:t>
      </w:r>
      <w:r>
        <w:rPr>
          <w:rFonts w:hint="eastAsia" w:eastAsia="仿宋_GB2312"/>
          <w:sz w:val="32"/>
          <w:szCs w:val="32"/>
          <w:lang w:eastAsia="zh-CN"/>
        </w:rPr>
        <w:t>攀枝花市</w:t>
      </w:r>
      <w:r>
        <w:rPr>
          <w:rFonts w:eastAsia="仿宋_GB2312"/>
          <w:sz w:val="32"/>
          <w:szCs w:val="32"/>
        </w:rPr>
        <w:t>人力资源和社会保障</w:t>
      </w:r>
      <w:r>
        <w:rPr>
          <w:rFonts w:hint="eastAsia" w:eastAsia="仿宋_GB2312"/>
          <w:sz w:val="32"/>
          <w:szCs w:val="32"/>
          <w:lang w:eastAsia="zh-CN"/>
        </w:rPr>
        <w:t>局</w:t>
      </w:r>
      <w:r>
        <w:rPr>
          <w:rFonts w:eastAsia="仿宋_GB2312"/>
          <w:sz w:val="32"/>
          <w:szCs w:val="32"/>
        </w:rPr>
        <w:t>职能配置、内设机构和人员编制规定〉的通知》（</w:t>
      </w:r>
      <w:r>
        <w:rPr>
          <w:rFonts w:hint="eastAsia" w:eastAsia="仿宋_GB2312"/>
          <w:sz w:val="32"/>
          <w:szCs w:val="32"/>
          <w:lang w:eastAsia="zh-CN"/>
        </w:rPr>
        <w:t>攀</w:t>
      </w:r>
      <w:r>
        <w:rPr>
          <w:rFonts w:eastAsia="仿宋_GB2312"/>
          <w:sz w:val="32"/>
          <w:szCs w:val="32"/>
        </w:rPr>
        <w:t>委</w:t>
      </w:r>
      <w:r>
        <w:rPr>
          <w:rFonts w:hint="eastAsia" w:eastAsia="仿宋_GB2312"/>
          <w:sz w:val="32"/>
          <w:szCs w:val="32"/>
          <w:lang w:eastAsia="zh-CN"/>
        </w:rPr>
        <w:t>办</w:t>
      </w:r>
      <w:r>
        <w:rPr>
          <w:rFonts w:eastAsia="仿宋_GB2312"/>
          <w:sz w:val="32"/>
          <w:szCs w:val="32"/>
        </w:rPr>
        <w:t>〔2019〕</w:t>
      </w:r>
      <w:r>
        <w:rPr>
          <w:rFonts w:hint="eastAsia" w:eastAsia="仿宋_GB2312"/>
          <w:sz w:val="32"/>
          <w:szCs w:val="32"/>
          <w:lang w:val="en-US" w:eastAsia="zh-CN"/>
        </w:rPr>
        <w:t>53</w:t>
      </w:r>
      <w:r>
        <w:rPr>
          <w:rFonts w:eastAsia="仿宋_GB2312"/>
          <w:sz w:val="32"/>
          <w:szCs w:val="32"/>
        </w:rPr>
        <w:t>号），人力资源社会保障</w:t>
      </w:r>
      <w:r>
        <w:rPr>
          <w:rFonts w:hint="eastAsia" w:eastAsia="仿宋_GB2312"/>
          <w:sz w:val="32"/>
          <w:szCs w:val="32"/>
          <w:lang w:eastAsia="zh-CN"/>
        </w:rPr>
        <w:t>局</w:t>
      </w:r>
      <w:r>
        <w:rPr>
          <w:rFonts w:eastAsia="仿宋_GB2312"/>
          <w:sz w:val="32"/>
          <w:szCs w:val="32"/>
        </w:rPr>
        <w:t>是</w:t>
      </w:r>
      <w:r>
        <w:rPr>
          <w:rFonts w:hint="eastAsia" w:eastAsia="仿宋_GB2312"/>
          <w:sz w:val="32"/>
          <w:szCs w:val="32"/>
          <w:lang w:eastAsia="zh-CN"/>
        </w:rPr>
        <w:t>攀枝花市</w:t>
      </w:r>
      <w:r>
        <w:rPr>
          <w:rFonts w:eastAsia="仿宋_GB2312"/>
          <w:sz w:val="32"/>
          <w:szCs w:val="32"/>
        </w:rPr>
        <w:t>人民政府</w:t>
      </w:r>
      <w:r>
        <w:rPr>
          <w:rFonts w:hint="eastAsia" w:eastAsia="仿宋_GB2312"/>
          <w:sz w:val="32"/>
          <w:szCs w:val="32"/>
          <w:lang w:eastAsia="zh-CN"/>
        </w:rPr>
        <w:t>工作</w:t>
      </w:r>
      <w:r>
        <w:rPr>
          <w:rFonts w:eastAsia="仿宋_GB2312"/>
          <w:sz w:val="32"/>
          <w:szCs w:val="32"/>
        </w:rPr>
        <w:t>部门，为正</w:t>
      </w:r>
      <w:r>
        <w:rPr>
          <w:rFonts w:hint="eastAsia" w:eastAsia="仿宋_GB2312"/>
          <w:sz w:val="32"/>
          <w:szCs w:val="32"/>
          <w:lang w:eastAsia="zh-CN"/>
        </w:rPr>
        <w:t>县</w:t>
      </w:r>
      <w:r>
        <w:rPr>
          <w:rFonts w:eastAsia="仿宋_GB2312"/>
          <w:sz w:val="32"/>
          <w:szCs w:val="32"/>
        </w:rPr>
        <w:t>级。人力资源社会保障</w:t>
      </w:r>
      <w:r>
        <w:rPr>
          <w:rFonts w:hint="eastAsia" w:eastAsia="仿宋_GB2312"/>
          <w:sz w:val="32"/>
          <w:szCs w:val="32"/>
          <w:lang w:eastAsia="zh-CN"/>
        </w:rPr>
        <w:t>局</w:t>
      </w:r>
      <w:r>
        <w:rPr>
          <w:rFonts w:eastAsia="仿宋_GB2312"/>
          <w:sz w:val="32"/>
          <w:szCs w:val="32"/>
        </w:rPr>
        <w:t>承担以下</w:t>
      </w:r>
      <w:r>
        <w:rPr>
          <w:rFonts w:hint="eastAsia" w:eastAsia="仿宋_GB2312"/>
          <w:sz w:val="32"/>
          <w:szCs w:val="32"/>
          <w:lang w:eastAsia="zh-CN"/>
        </w:rPr>
        <w:t>主要职责</w:t>
      </w:r>
      <w:r>
        <w:rPr>
          <w:rFonts w:eastAsia="仿宋_GB2312"/>
          <w:sz w:val="32"/>
          <w:szCs w:val="32"/>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①贯彻执行国家、省人力资源和社会保障工作的法律、法规、规章和政策，拟订全市人力资源和社会保障事业发展规划、政策并组织实施，统筹推进人力资源和社会保障事业发展。②拟订并组织实施全市人力资源市场发展规划和人力资源服务业发展、人力资源流动政策，促进人力资源合理流动，有效配置。③负责促进就业工作，拟订统筹全市城乡就业发展规划和政策，完善公共就业创业服务体系，统筹建立面向城乡劳动者的职业技能培训制度，拟订并组织落实创业、就业援助制度，提出就业资金安排计划并组织实施，牵头拟订高校毕业生就业政策，组织实施高校毕业生就业创业服务工作。④统筹推进建立覆盖全市城乡的多层次社会保障体系。贯彻执行国家、省养老、失业、工伤等社会保险及其补充保险政策和标准，拟订全市的相关政策并组织实施，贯彻落实养老保险全国统筹办法和全国统一的养老、失业、工伤保险关系转续办法，会同有关部门拟订全市养老、失业、工伤等社会保险及其补充保险基金管理和监督制度并组织实施，编制全市相关社会保险基金预决算草案，会同有关部门实施全民参保计划并建立全市统一的社会保险公共服务平台。负责全市养老、失业、工伤保险基金保值增值的监督检查。拟订人力资源和社会保障信息化建设总体规划、年度计划，制定相关制度并组织实施。⑤负责就业、失业和相关社会保障基金预测预警和信息引导，拟订应对预案，实施预防、调节和控制，保持就业形势稳定和相关社会保险基金总体收支平衡。⑥统筹拟订劳动人事争议调解仲裁制度和劳动关系政策，完善劳动关系协商协调机制，拟订职工工作时间、休息休假制度，拟订消除非法使用童工政策和女工、未成年工特殊劳动保护政策。依法督促用人单位在劳动用工、合同签订与履约时，载明劳动保护、劳动条件和职业危害防护等条款。组织实施劳动保障监察，协调劳动者维权工作，依法查处重大案件。⑦牵头推进深化职称制度改革，拟订专业技术人员管理、继续教育和博士后管理政策并组织实施，负责高层次专业技术人才选拔和培养工作，负责留学回国人员的服务和管理工作。组织拟订技能人才培养评价、使用和激励制度。贯彻落实职业资格制度，健全职业技能多元化评价政策。指导、监督各级各类技工学校、民办职业培训机构按国家、省和我市有关规定履行安全管理责任。⑧组织实施国家表彰制度，综合管理表彰奖励工作，承担全市评比达标表彰和市级部门表彰奖励工作，根据授权承办以市委、市政府名义开展的市级表彰活动。承办市委管理的部分领导人员的行政任免手续。⑨会同有关部门指导实施事业单位人事制度改革，按照管理权限承办事业单位岗位设置、公开招聘、人员聘用等人事综合管理工作，拟订事业单位工作人员和机关工勤人员管理政策，将安全生产责任履行情况作为事业单位工作人员奖惩、考核的重要内容。⑩贯彻执行国家、省企业职工工资收入分配、支付、保障和调控政策，指导和监督国有企业工资总额管理和国有企业负责人工资收入分配。贯彻落实事业单位人员工资收入分配政策，建立企事业单位人员工资决定、正常增长和支付保障机制，贯彻落实企事业单位人员福利和退休政策。⑾会同有关部门拟订劳务开发及农民工工作综合性政策和规划并推动相关政策的落实，协调解决重点难点问题，维护农民工合法权益。负责将安全生产纳入农民工技能培训内容。⑿受理人力资源和社会保障方面的信访事项，会同有关部门协调处理重大信访事件或突发事件。⒀负责市人力资源社会保障领域的对外交流与合作工作。⒁承担职责范围内的安全生产和职业健康、生态环境保护、审批服务便民化等工作。⒂完成市委、市政府交办的其他任务。⒃职能转变。深入推进简政放权、放管结合、优化服务改革，进一步减少行政审批事项，规范和优化对外办理事项，减少职业资格许可和认定等事项，实行职业资格目录清单管理，加强事中事后监管，创新就业和社会保障等公共服务方式，加强信息共享，提高公共服务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35" w:name="_Toc18123_WPSOffice_Level2"/>
      <w:bookmarkStart w:id="36" w:name="_Toc4437_WPSOffice_Level2"/>
      <w:r>
        <w:rPr>
          <w:rFonts w:hint="eastAsia" w:ascii="黑体" w:hAnsi="黑体" w:eastAsia="黑体" w:cs="黑体"/>
          <w:i w:val="0"/>
          <w:caps w:val="0"/>
          <w:color w:val="000000" w:themeColor="text1"/>
          <w:spacing w:val="0"/>
          <w:sz w:val="32"/>
          <w:szCs w:val="32"/>
          <w14:textFill>
            <w14:solidFill>
              <w14:schemeClr w14:val="tx1"/>
            </w14:solidFill>
          </w14:textFill>
        </w:rPr>
        <w:t>二、机构设置</w:t>
      </w:r>
      <w:bookmarkEnd w:id="35"/>
      <w:bookmarkEnd w:id="3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攀枝花市人力资源和社会保障局下属二级</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预算</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单位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个，其中行政单位0个，参照公务员法管理的事业单位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个，其他事业单位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个。</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纳入攀枝花市人力资源和社会保障局202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年度部门决算编制范围的二级预算单位包括：</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攀枝花市劳动保障监察支队。</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攀枝花市人力资源和社会保障信息中心。</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攀枝花市人才服务中心。</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攀枝花市人事考试中心。</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攀枝花市劳动人事争议仲裁院。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color w:val="000000" w:themeColor="text1"/>
          <w:sz w:val="44"/>
          <w:szCs w:val="44"/>
          <w14:textFill>
            <w14:solidFill>
              <w14:schemeClr w14:val="tx1"/>
            </w14:solidFill>
          </w14:textFill>
        </w:rPr>
      </w:pPr>
      <w:bookmarkStart w:id="37" w:name="_Toc19536_WPSOffice_Level1"/>
      <w:bookmarkStart w:id="38" w:name="_Toc12645_WPSOffice_Level1"/>
      <w:r>
        <w:rPr>
          <w:rFonts w:hint="eastAsia" w:ascii="黑体" w:hAnsi="黑体" w:eastAsia="黑体" w:cs="黑体"/>
          <w:i w:val="0"/>
          <w:caps w:val="0"/>
          <w:color w:val="000000" w:themeColor="text1"/>
          <w:spacing w:val="0"/>
          <w:sz w:val="44"/>
          <w:szCs w:val="44"/>
          <w14:textFill>
            <w14:solidFill>
              <w14:schemeClr w14:val="tx1"/>
            </w14:solidFill>
          </w14:textFill>
        </w:rPr>
        <w:t>第二部分 202</w:t>
      </w:r>
      <w:r>
        <w:rPr>
          <w:rFonts w:hint="eastAsia" w:ascii="黑体" w:hAnsi="黑体" w:eastAsia="黑体" w:cs="黑体"/>
          <w:i w:val="0"/>
          <w:caps w:val="0"/>
          <w:color w:val="000000" w:themeColor="text1"/>
          <w:spacing w:val="0"/>
          <w:sz w:val="44"/>
          <w:szCs w:val="44"/>
          <w:lang w:val="en-US" w:eastAsia="zh-CN"/>
          <w14:textFill>
            <w14:solidFill>
              <w14:schemeClr w14:val="tx1"/>
            </w14:solidFill>
          </w14:textFill>
        </w:rPr>
        <w:t>2</w:t>
      </w:r>
      <w:r>
        <w:rPr>
          <w:rFonts w:hint="eastAsia" w:ascii="黑体" w:hAnsi="黑体" w:eastAsia="黑体" w:cs="黑体"/>
          <w:i w:val="0"/>
          <w:caps w:val="0"/>
          <w:color w:val="000000" w:themeColor="text1"/>
          <w:spacing w:val="0"/>
          <w:sz w:val="44"/>
          <w:szCs w:val="44"/>
          <w14:textFill>
            <w14:solidFill>
              <w14:schemeClr w14:val="tx1"/>
            </w14:solidFill>
          </w14:textFill>
        </w:rPr>
        <w:t>年度部门决算情况说明</w:t>
      </w:r>
      <w:bookmarkEnd w:id="37"/>
      <w:bookmarkEnd w:id="3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bookmarkStart w:id="39" w:name="_Toc23996_WPSOffice_Level2"/>
      <w:bookmarkStart w:id="40" w:name="_Toc20774_WPSOffice_Level2"/>
      <w:r>
        <w:rPr>
          <w:rFonts w:hint="eastAsia" w:ascii="黑体" w:hAnsi="黑体" w:eastAsia="黑体" w:cs="黑体"/>
          <w:i w:val="0"/>
          <w:caps w:val="0"/>
          <w:color w:val="000000" w:themeColor="text1"/>
          <w:spacing w:val="0"/>
          <w:sz w:val="32"/>
          <w:szCs w:val="32"/>
          <w14:textFill>
            <w14:solidFill>
              <w14:schemeClr w14:val="tx1"/>
            </w14:solidFill>
          </w14:textFill>
        </w:rPr>
        <w:t>一、收入支出决算总体情况说明</w:t>
      </w:r>
      <w:bookmarkEnd w:id="39"/>
      <w:bookmarkEnd w:id="40"/>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年度收、支总计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3273.84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万元。与202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年相比，收、支总计各</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增加</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26.31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增长</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0.81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%。主要变动原因是</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市人事考试中心</w:t>
      </w:r>
      <w:r>
        <w:rPr>
          <w:rFonts w:hint="eastAsia" w:ascii="仿宋_GB2312" w:hAnsi="仿宋_GB2312" w:eastAsia="仿宋_GB2312" w:cs="仿宋_GB2312"/>
          <w:color w:val="000000" w:themeColor="text1"/>
          <w:sz w:val="32"/>
          <w:szCs w:val="32"/>
          <w14:textFill>
            <w14:solidFill>
              <w14:schemeClr w14:val="tx1"/>
            </w14:solidFill>
          </w14:textFill>
        </w:rPr>
        <w:t>根据攀审报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28号文件，将以前年度计入其他应付款的省考试中心拨付的考点工作经费161.88万元调整到非同级财政拨款收入科目。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drawing>
          <wp:inline distT="0" distB="0" distL="114300" distR="114300">
            <wp:extent cx="4216400" cy="2755265"/>
            <wp:effectExtent l="4445" t="4445" r="8255" b="2159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（图1：收、支决算总计变动情况图）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bookmarkStart w:id="41" w:name="_Toc18470_WPSOffice_Level2"/>
      <w:bookmarkStart w:id="42" w:name="_Toc4375_WPSOffice_Level2"/>
      <w:r>
        <w:rPr>
          <w:rFonts w:hint="eastAsia" w:ascii="黑体" w:hAnsi="黑体" w:eastAsia="黑体" w:cs="黑体"/>
          <w:i w:val="0"/>
          <w:caps w:val="0"/>
          <w:color w:val="000000" w:themeColor="text1"/>
          <w:spacing w:val="0"/>
          <w:sz w:val="32"/>
          <w:szCs w:val="32"/>
          <w14:textFill>
            <w14:solidFill>
              <w14:schemeClr w14:val="tx1"/>
            </w14:solidFill>
          </w14:textFill>
        </w:rPr>
        <w:t>二、收入决算情况说明</w:t>
      </w:r>
      <w:bookmarkEnd w:id="41"/>
      <w:bookmarkEnd w:id="4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年本年收入合计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2975.67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万元，其中：一般公共预算财政拨款收入</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2666.57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万元，占</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89.61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%；政府性基金预算财政拨款收入</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万元；国有资本经营预算财政拨款收入0万元；上级补助收入0万元；事业收入0万元；经营收入0万元；附属单位上缴收入0万元；其他收入</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309.09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万元，占</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10.39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微软雅黑" w:hAnsi="微软雅黑" w:eastAsia="微软雅黑" w:cs="微软雅黑"/>
          <w:i w:val="0"/>
          <w:caps w:val="0"/>
          <w:color w:val="000000" w:themeColor="text1"/>
          <w:spacing w:val="0"/>
          <w:sz w:val="27"/>
          <w:szCs w:val="27"/>
          <w:lang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lang w:eastAsia="zh-CN"/>
          <w14:textFill>
            <w14:solidFill>
              <w14:schemeClr w14:val="tx1"/>
            </w14:solidFill>
          </w14:textFill>
        </w:rPr>
        <w:drawing>
          <wp:inline distT="0" distB="0" distL="114300" distR="114300">
            <wp:extent cx="4254500" cy="2437130"/>
            <wp:effectExtent l="4445" t="4445" r="8255" b="1587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jc w:val="center"/>
        <w:textAlignment w:val="auto"/>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（图2：收入决算结构图）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43" w:name="_Toc22176_WPSOffice_Level2"/>
      <w:bookmarkStart w:id="44" w:name="_Toc21959_WPSOffice_Level2"/>
      <w:r>
        <w:rPr>
          <w:rFonts w:hint="eastAsia" w:ascii="黑体" w:hAnsi="黑体" w:eastAsia="黑体" w:cs="黑体"/>
          <w:i w:val="0"/>
          <w:caps w:val="0"/>
          <w:color w:val="000000" w:themeColor="text1"/>
          <w:spacing w:val="0"/>
          <w:sz w:val="32"/>
          <w:szCs w:val="32"/>
          <w14:textFill>
            <w14:solidFill>
              <w14:schemeClr w14:val="tx1"/>
            </w14:solidFill>
          </w14:textFill>
        </w:rPr>
        <w:t>三、支出决算情况说明</w:t>
      </w:r>
      <w:bookmarkEnd w:id="43"/>
      <w:bookmarkEnd w:id="4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年本年支出合计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3173.25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万元，其中：基本支出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2382.93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万元，占</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75.09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790.31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万元，占</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24.91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%；上缴上级支出0万元；经营支出0万元；对附属单位补助支出0万元。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drawing>
          <wp:inline distT="0" distB="0" distL="114300" distR="114300">
            <wp:extent cx="4184650" cy="2541270"/>
            <wp:effectExtent l="4445" t="4445" r="20955" b="698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jc w:val="center"/>
        <w:textAlignment w:val="auto"/>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　(图3：支出决算结构图)　　</w:t>
      </w:r>
      <w:bookmarkStart w:id="45" w:name="_Toc12831_WPSOffice_Level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46" w:name="_Toc28593_WPSOffice_Level2"/>
      <w:r>
        <w:rPr>
          <w:rFonts w:hint="eastAsia" w:ascii="黑体" w:hAnsi="黑体" w:eastAsia="黑体" w:cs="黑体"/>
          <w:i w:val="0"/>
          <w:caps w:val="0"/>
          <w:color w:val="000000" w:themeColor="text1"/>
          <w:spacing w:val="0"/>
          <w:sz w:val="32"/>
          <w:szCs w:val="32"/>
          <w14:textFill>
            <w14:solidFill>
              <w14:schemeClr w14:val="tx1"/>
            </w14:solidFill>
          </w14:textFill>
        </w:rPr>
        <w:t>四、财政拨款收入支出决算总体情况说明</w:t>
      </w:r>
      <w:bookmarkEnd w:id="45"/>
      <w:bookmarkEnd w:id="4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年财政拨款收、支总计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2964.74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万元。与202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年相比，财政拨款收、支总计各减少</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281.99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万元，下降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8.69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%。主要变动原因是坚持过紧日子，勤俭办一切事业。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drawing>
          <wp:inline distT="0" distB="0" distL="114300" distR="114300">
            <wp:extent cx="4641215" cy="3826510"/>
            <wp:effectExtent l="4445" t="4445" r="21590" b="1714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525" w:lineRule="atLeas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(图4：财政拨款收、支决算总计变动情况)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47" w:name="_Toc2505_WPSOffice_Level2"/>
      <w:bookmarkStart w:id="48" w:name="_Toc14898_WPSOffice_Level2"/>
      <w:r>
        <w:rPr>
          <w:rFonts w:hint="eastAsia" w:ascii="黑体" w:hAnsi="黑体" w:eastAsia="黑体" w:cs="黑体"/>
          <w:i w:val="0"/>
          <w:caps w:val="0"/>
          <w:color w:val="000000" w:themeColor="text1"/>
          <w:spacing w:val="0"/>
          <w:sz w:val="32"/>
          <w:szCs w:val="32"/>
          <w14:textFill>
            <w14:solidFill>
              <w14:schemeClr w14:val="tx1"/>
            </w14:solidFill>
          </w14:textFill>
        </w:rPr>
        <w:t>五、一般公共预算财政拨款支出决算情况说明</w:t>
      </w:r>
      <w:bookmarkEnd w:id="47"/>
      <w:bookmarkEnd w:id="4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（一）一般公共预算财政拨款支出决算总体情况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年一般公共预算财政拨款支出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2964.74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万元，占本年支出合计的</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90.56</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%。与202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年相比，一般公共预算财政拨款</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减少</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261.00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下降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8.09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%。主要变动原因是坚持过紧日子，勤俭办一切事业。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drawing>
          <wp:inline distT="0" distB="0" distL="114300" distR="114300">
            <wp:extent cx="4460875" cy="2882265"/>
            <wp:effectExtent l="4445" t="4445" r="11430" b="889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25" w:lineRule="atLeas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（图5：一般公共预算财政拨款支出决算变动情况）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（二）一般公共预算财政拨款支出决算结构情况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年一般公共预算财政拨款支出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2964.74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万元，主要用于以下方面:社会保障和就业支出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2794.68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万元，占94.</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26</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卫生健康支出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0.18万元，占0.01%；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住房保障支出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169.88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万元，占4.65%。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drawing>
          <wp:inline distT="0" distB="0" distL="114300" distR="114300">
            <wp:extent cx="4247515" cy="2652395"/>
            <wp:effectExtent l="4445" t="4445" r="15240" b="1016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25" w:lineRule="atLeas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（图6：一般公共预算财政拨款支出决算结构）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（三）一般公共预算财政拨款支出决算具体情况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年一般公共预算支出决算数为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2964.74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万元，完成预算100%。其中：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1.社会保障和就业支出（类）人力资源和社会保障管理事务（款）行政运行（项）:支出决算</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1016.72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社会保障和就业支出（类）人力资源和社会保障管理事务（款）一般行政管理事务（项）:支出决算</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55.30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社会保障和就业支出（类）人力资源和社会保障管理事务（款）劳动保障监察（项）:支出决算</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164.05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社会保障和就业支出（类）人力资源和社会保障管理事务（款）信息化建设（项）:支出决算为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363.77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社会保障和就业支出（类）人力资源和社会保障管理事务（款）劳动人事争议调解仲裁（项）:支出决算为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90.22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社会保障和就业支出（类）人力资源和社会保障管理事务（款）事业运行（项）:支出决算为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532.82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社会保障和就业支出（类）人力资源和社会保障管理事务（款）其他人力资源和社会保障管理事务支出（项）:支出决算为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208.83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社会保障和就业支出（类）行政事业单位养老支出（款）行政单位离退休（项）:支出决算为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163.92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社会保障和就业支出（类）行政事业单位养老支出（款）事业单位离退休（项）:支出决算为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26.77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社会保障和就业支出（类）行政事业单位养老支出（款）机关事业单位基本养老保险缴费支出（项）:支出决算为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141.35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社会保障和就业支出（类）就业补助（款）其他就业补助支出（项）:支出决算为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30.92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卫生健康</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支出（类）</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其他卫生健康</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支出（款）</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卫生健康</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支出（项）:支出决算为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0.18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.住房保障支出（类）住房改革支出（款）住房公积金（项）:支出决算为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169.88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49" w:name="_Toc14569_WPSOffice_Level2"/>
      <w:bookmarkStart w:id="50" w:name="_Toc12295_WPSOffice_Level2"/>
      <w:r>
        <w:rPr>
          <w:rFonts w:hint="eastAsia" w:ascii="黑体" w:hAnsi="黑体" w:eastAsia="黑体" w:cs="黑体"/>
          <w:i w:val="0"/>
          <w:caps w:val="0"/>
          <w:color w:val="000000" w:themeColor="text1"/>
          <w:spacing w:val="0"/>
          <w:sz w:val="32"/>
          <w:szCs w:val="32"/>
          <w14:textFill>
            <w14:solidFill>
              <w14:schemeClr w14:val="tx1"/>
            </w14:solidFill>
          </w14:textFill>
        </w:rPr>
        <w:t>六、一般公共预算财政拨款基本支出决算情况说明</w:t>
      </w:r>
      <w:bookmarkEnd w:id="49"/>
      <w:bookmarkEnd w:id="5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年一般公共预算财政拨款基本支出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2382.93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万元，其中：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人员经费</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2180.61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主要包括：基本工资、津贴补贴、奖金、绩效工资、机关事业单位基本养老保险缴费、职工基本医疗保险缴费、公务员医疗补助缴费、其他社会保障缴费、住房公积金、其他工资福利支出、抚恤金、生活补助、医疗费补助、其他对个人和家庭的补助支出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公用经费</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202.32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万元，主要包括：办公费、印刷费、水费、电费、邮电费、物业管理费、差旅费、维修（护）费、</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租赁费、</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培训费、公务接待费、劳务费、委托业务费、工会经费、福利费、公务用车运行维护费、其他交通费、其他商品和服务支出</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、办公设备购置</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51" w:name="_Toc21668_WPSOffice_Level2"/>
      <w:bookmarkStart w:id="52" w:name="_Toc19249_WPSOffice_Level2"/>
      <w:r>
        <w:rPr>
          <w:rFonts w:hint="eastAsia" w:ascii="黑体" w:hAnsi="黑体" w:eastAsia="黑体" w:cs="黑体"/>
          <w:i w:val="0"/>
          <w:caps w:val="0"/>
          <w:color w:val="000000" w:themeColor="text1"/>
          <w:spacing w:val="0"/>
          <w:sz w:val="32"/>
          <w:szCs w:val="32"/>
          <w14:textFill>
            <w14:solidFill>
              <w14:schemeClr w14:val="tx1"/>
            </w14:solidFill>
          </w14:textFill>
        </w:rPr>
        <w:t>七、</w:t>
      </w:r>
      <w:r>
        <w:rPr>
          <w:rFonts w:hint="eastAsia" w:ascii="黑体" w:hAnsi="黑体" w:eastAsia="黑体" w:cs="黑体"/>
          <w:i w:val="0"/>
          <w:caps w:val="0"/>
          <w:color w:val="000000" w:themeColor="text1"/>
          <w:spacing w:val="0"/>
          <w:sz w:val="32"/>
          <w:szCs w:val="32"/>
          <w:lang w:eastAsia="zh-CN"/>
          <w14:textFill>
            <w14:solidFill>
              <w14:schemeClr w14:val="tx1"/>
            </w14:solidFill>
          </w14:textFill>
        </w:rPr>
        <w:t>财政拨款</w:t>
      </w:r>
      <w:r>
        <w:rPr>
          <w:rFonts w:hint="eastAsia" w:ascii="黑体" w:hAnsi="黑体" w:eastAsia="黑体" w:cs="黑体"/>
          <w:i w:val="0"/>
          <w:caps w:val="0"/>
          <w:color w:val="000000" w:themeColor="text1"/>
          <w:spacing w:val="0"/>
          <w:sz w:val="32"/>
          <w:szCs w:val="32"/>
          <w14:textFill>
            <w14:solidFill>
              <w14:schemeClr w14:val="tx1"/>
            </w14:solidFill>
          </w14:textFill>
        </w:rPr>
        <w:t>“三公”经费支出决算情况说明</w:t>
      </w:r>
      <w:bookmarkEnd w:id="51"/>
      <w:bookmarkEnd w:id="5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（一）“三公”经费财政拨款支出决算总体情况说明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年“三公”经费财政拨款支出决算为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8.69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较上年减少</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1.92万元，下降18.10%。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决算数与预算数持平。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（二）“三公”经费财政拨款支出决算具体情况说明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年“三公”经费财政拨款支出决算中，因公出国（境）费支出决算0万元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，占</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；公务用车购置及运行维护费支出决算</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5.64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万元，占</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64.90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%；公务接待费支出决算</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3.05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万元，占</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35.10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%。具体情况如下：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drawing>
          <wp:inline distT="0" distB="0" distL="114300" distR="114300">
            <wp:extent cx="4596130" cy="2857500"/>
            <wp:effectExtent l="4445" t="4445" r="9525" b="1460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25" w:lineRule="atLeas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(图7：“三公”经费财政拨款支出结构)</w:t>
      </w:r>
    </w:p>
    <w:p>
      <w:pPr>
        <w:spacing w:line="576"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1.因公出国（境）经费支出</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0万元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Style w:val="10"/>
          <w:rFonts w:eastAsia="仿宋_GB2312"/>
          <w:b w:val="0"/>
          <w:bCs/>
          <w:sz w:val="32"/>
          <w:szCs w:val="32"/>
        </w:rPr>
        <w:t>完成预算0%。</w:t>
      </w:r>
      <w:r>
        <w:rPr>
          <w:rFonts w:eastAsia="仿宋_GB2312"/>
          <w:sz w:val="32"/>
          <w:szCs w:val="32"/>
        </w:rPr>
        <w:t>全年安排因公出国（境）团组0次，出国（境）0人。因公出国（境）支出决算与2021年持平。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2.公务用车购置及运行维护费支出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5.64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万元,完成预算100%。公务用车购置及运行维护费支出决算比202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年减少</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1.14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万元，下降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16.81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%。主要原因是坚持过紧日子，勤俭办一切事业。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其中：</w:t>
      </w: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公务用车购置支出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0万元。全年按规定更新购置公务用车0辆。截至202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年12月底，单位共有公务用车</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辆，其中：轿车</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辆、越野车1辆、载客汽车0辆。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公务用车运行维护费支出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5.64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万元。主要用于开展人力资源社会保障工作所需的公务用车燃料费、维修费、过路过桥费、保险费等支出。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3.公务接待费支出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3.05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万元，完成预算100%。公务接待费支出决算比202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减少</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0.78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下降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20.37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%。主要原因是坚持过紧日子，勤俭办一切事业。其中：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国内公务接待支出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3.05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万元，主要用于人力资源和社会保障事业发展执行公务、开展业务活动开支的交通费、住宿费、用餐费等。国内公务接待</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批次，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人次（不包括陪同人员），共计支出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3.05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万元。具体内容包括：人力资源社会保障局机关接待上级部门和省内省外学习考察开支</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2.30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万元；劳动保障监察公务接待</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0.26</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万元；人才服务中心公务接待0.</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万元；人事考试中心公务接待0.17万元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p>
    <w:p>
      <w:pPr>
        <w:spacing w:line="576" w:lineRule="exact"/>
        <w:ind w:firstLine="643" w:firstLineChars="200"/>
        <w:rPr>
          <w:rFonts w:eastAsia="仿宋_GB2312"/>
          <w:sz w:val="32"/>
          <w:szCs w:val="32"/>
        </w:rPr>
      </w:pPr>
      <w:bookmarkStart w:id="53" w:name="_Toc25553_WPSOffice_Level2"/>
      <w:bookmarkStart w:id="54" w:name="_Toc19878_WPSOffice_Level2"/>
      <w:r>
        <w:rPr>
          <w:rFonts w:eastAsia="仿宋_GB2312"/>
          <w:b/>
          <w:sz w:val="32"/>
          <w:szCs w:val="32"/>
        </w:rPr>
        <w:t>外事接待支出</w:t>
      </w:r>
      <w:r>
        <w:rPr>
          <w:rFonts w:eastAsia="仿宋_GB2312"/>
          <w:sz w:val="32"/>
          <w:szCs w:val="32"/>
        </w:rPr>
        <w:t>0万元，外事接待0批次，0人次，共计支出0万元。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八、政府性基金预算支出决算情况说明</w:t>
      </w:r>
      <w:bookmarkEnd w:id="53"/>
      <w:bookmarkEnd w:id="5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年政府性基金预算拨款支出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55" w:name="_Toc13858_WPSOffice_Level2"/>
      <w:bookmarkStart w:id="56" w:name="_Toc11422_WPSOffice_Level2"/>
      <w:r>
        <w:rPr>
          <w:rFonts w:hint="eastAsia" w:ascii="黑体" w:hAnsi="黑体" w:eastAsia="黑体" w:cs="黑体"/>
          <w:i w:val="0"/>
          <w:caps w:val="0"/>
          <w:color w:val="000000" w:themeColor="text1"/>
          <w:spacing w:val="0"/>
          <w:sz w:val="32"/>
          <w:szCs w:val="32"/>
          <w14:textFill>
            <w14:solidFill>
              <w14:schemeClr w14:val="tx1"/>
            </w14:solidFill>
          </w14:textFill>
        </w:rPr>
        <w:t>九、国有资本经营预算支出决算情况说明</w:t>
      </w:r>
      <w:bookmarkEnd w:id="55"/>
      <w:bookmarkEnd w:id="5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年国有资本经营预算拨款支出0万元。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57" w:name="_Toc2771_WPSOffice_Level2"/>
      <w:bookmarkStart w:id="58" w:name="_Toc30285_WPSOffice_Level2"/>
      <w:r>
        <w:rPr>
          <w:rFonts w:hint="eastAsia" w:ascii="黑体" w:hAnsi="黑体" w:eastAsia="黑体" w:cs="黑体"/>
          <w:i w:val="0"/>
          <w:caps w:val="0"/>
          <w:color w:val="000000" w:themeColor="text1"/>
          <w:spacing w:val="0"/>
          <w:sz w:val="32"/>
          <w:szCs w:val="32"/>
          <w14:textFill>
            <w14:solidFill>
              <w14:schemeClr w14:val="tx1"/>
            </w14:solidFill>
          </w14:textFill>
        </w:rPr>
        <w:t>十、其他重要事项的情况说明</w:t>
      </w:r>
      <w:bookmarkEnd w:id="57"/>
      <w:bookmarkEnd w:id="5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（一）机关运行经费支出情况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年，攀枝花市人力资源和社会保障局机关运行经费支出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139.44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万元，比202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减少</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87.80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下降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38.64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%。主要原因是坚持过紧日子，勤俭办一切事业。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（二）政府采购支出情况</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年，攀枝花市人力资源和社会保障局政府采购支出总额</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万元，其中：政府采购货物支出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万元、政府采购工程支出0万元、政府采购服务支出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eastAsia="仿宋_GB2312"/>
          <w:sz w:val="32"/>
          <w:szCs w:val="32"/>
        </w:rPr>
        <w:t>主要用</w:t>
      </w:r>
      <w:r>
        <w:rPr>
          <w:rFonts w:hint="eastAsia" w:ascii="仿宋_GB2312" w:eastAsia="仿宋_GB2312"/>
          <w:sz w:val="32"/>
          <w:szCs w:val="32"/>
          <w:lang w:val="en-US" w:eastAsia="zh-CN"/>
        </w:rPr>
        <w:t>于采购电脑、打印机、办公家具等</w:t>
      </w:r>
      <w:r>
        <w:rPr>
          <w:rFonts w:hint="eastAsia" w:ascii="仿宋_GB2312" w:eastAsia="仿宋_GB2312"/>
          <w:sz w:val="32"/>
          <w:szCs w:val="32"/>
        </w:rPr>
        <w:t>。授予中小企业合同金额</w:t>
      </w:r>
      <w:r>
        <w:rPr>
          <w:rFonts w:hint="eastAsia" w:ascii="仿宋_GB2312" w:eastAsia="仿宋_GB2312"/>
          <w:sz w:val="32"/>
          <w:szCs w:val="32"/>
          <w:lang w:val="en-US" w:eastAsia="zh-CN"/>
        </w:rPr>
        <w:t>1.26</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74.56</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1.26</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74.56</w:t>
      </w:r>
      <w:r>
        <w:rPr>
          <w:rFonts w:ascii="仿宋_GB2312" w:eastAsia="仿宋_GB2312"/>
          <w:sz w:val="32"/>
          <w:szCs w:val="32"/>
        </w:rPr>
        <w:t>%</w:t>
      </w:r>
      <w:r>
        <w:rPr>
          <w:rFonts w:hint="eastAsia" w:ascii="仿宋_GB2312" w:eastAsia="仿宋_GB2312"/>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（三）国有资产占有使用情况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截至202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年12月31日，攀枝花市人力资源和社会保障局共有车辆</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辆，其中：</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主要领导干部用车</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0辆、机要通信用车0辆、</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应急保障用车1辆、其他用车</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辆，其他用车主要是用于</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市劳动人事争议仲裁院</w:t>
      </w:r>
      <w:r>
        <w:rPr>
          <w:rFonts w:hint="eastAsia" w:ascii="仿宋_GB2312" w:eastAsia="仿宋_GB2312"/>
          <w:sz w:val="32"/>
          <w:szCs w:val="32"/>
          <w:lang w:eastAsia="zh-CN"/>
        </w:rPr>
        <w:t>和市劳动保障监察支队</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开展工作所需的一般公务用车</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单价100万元以上专用设备0台（套）。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（四）预算绩效管理情况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根据预算绩效管理要求，本部门在202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年度预算编制阶段，组织对社银合作资金项目、金保工程聘用人员经费</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、各类公招考试专项资金</w:t>
      </w:r>
      <w:r>
        <w:rPr>
          <w:rFonts w:hint="eastAsia" w:ascii="仿宋_GB2312" w:hAnsi="仿宋_GB2312" w:eastAsia="仿宋_GB2312" w:cs="仿宋_GB2312"/>
          <w:i w:val="0"/>
          <w:caps w:val="0"/>
          <w:color w:val="auto"/>
          <w:spacing w:val="0"/>
          <w:sz w:val="32"/>
          <w:szCs w:val="32"/>
        </w:rPr>
        <w:t>等3个</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项目开展了预算事前绩效评估，对</w:t>
      </w:r>
      <w:r>
        <w:rPr>
          <w:rFonts w:hint="eastAsia" w:ascii="仿宋_GB2312" w:hAnsi="仿宋_GB2312" w:eastAsia="仿宋_GB2312" w:cs="仿宋_GB2312"/>
          <w:i w:val="0"/>
          <w:caps w:val="0"/>
          <w:color w:val="auto"/>
          <w:spacing w:val="0"/>
          <w:sz w:val="32"/>
          <w:szCs w:val="32"/>
          <w:lang w:val="en-US" w:eastAsia="zh-CN"/>
        </w:rPr>
        <w:t>10</w:t>
      </w:r>
      <w:r>
        <w:rPr>
          <w:rFonts w:hint="eastAsia" w:ascii="仿宋_GB2312" w:hAnsi="仿宋_GB2312" w:eastAsia="仿宋_GB2312" w:cs="仿宋_GB2312"/>
          <w:i w:val="0"/>
          <w:caps w:val="0"/>
          <w:color w:val="auto"/>
          <w:spacing w:val="0"/>
          <w:sz w:val="32"/>
          <w:szCs w:val="32"/>
        </w:rPr>
        <w:t>个</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项目编制了绩效目标，预算执行过程中，选取</w:t>
      </w:r>
      <w:r>
        <w:rPr>
          <w:rFonts w:hint="eastAsia" w:ascii="仿宋_GB2312" w:hAnsi="仿宋_GB2312" w:eastAsia="仿宋_GB2312" w:cs="仿宋_GB2312"/>
          <w:i w:val="0"/>
          <w:caps w:val="0"/>
          <w:color w:val="auto"/>
          <w:spacing w:val="0"/>
          <w:sz w:val="32"/>
          <w:szCs w:val="32"/>
          <w:lang w:val="en-US" w:eastAsia="zh-CN"/>
        </w:rPr>
        <w:t>15</w:t>
      </w:r>
      <w:r>
        <w:rPr>
          <w:rFonts w:hint="eastAsia" w:ascii="仿宋_GB2312" w:hAnsi="仿宋_GB2312" w:eastAsia="仿宋_GB2312" w:cs="仿宋_GB2312"/>
          <w:i w:val="0"/>
          <w:caps w:val="0"/>
          <w:color w:val="auto"/>
          <w:spacing w:val="0"/>
          <w:sz w:val="32"/>
          <w:szCs w:val="32"/>
        </w:rPr>
        <w:t>个</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项目开展绩效监控</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w:t>
      </w:r>
      <w:r>
        <w:rPr>
          <w:rFonts w:hint="eastAsia" w:ascii="仿宋_GB2312" w:hAnsi="仿宋_GB2312" w:eastAsia="仿宋_GB2312" w:cs="仿宋_GB2312"/>
          <w:color w:val="auto"/>
          <w:sz w:val="32"/>
          <w:szCs w:val="32"/>
        </w:rPr>
        <w:t>形成</w:t>
      </w:r>
      <w:r>
        <w:rPr>
          <w:rFonts w:hint="eastAsia" w:ascii="仿宋_GB2312" w:hAnsi="仿宋_GB2312" w:eastAsia="仿宋_GB2312" w:cs="仿宋_GB2312"/>
          <w:i w:val="0"/>
          <w:caps w:val="0"/>
          <w:color w:val="auto"/>
          <w:spacing w:val="0"/>
          <w:sz w:val="32"/>
          <w:szCs w:val="32"/>
        </w:rPr>
        <w:t>攀枝花市人力资源和社会保障局</w:t>
      </w:r>
      <w:r>
        <w:rPr>
          <w:rFonts w:hint="eastAsia" w:ascii="仿宋_GB2312" w:hAnsi="仿宋_GB2312" w:eastAsia="仿宋_GB2312" w:cs="仿宋_GB2312"/>
          <w:color w:val="auto"/>
          <w:sz w:val="32"/>
          <w:szCs w:val="32"/>
        </w:rPr>
        <w:t>部门整体（含部门预算项目）绩效自评报告、</w:t>
      </w:r>
      <w:r>
        <w:rPr>
          <w:rFonts w:hint="eastAsia" w:ascii="仿宋_GB2312" w:hAnsi="仿宋_GB2312" w:eastAsia="仿宋_GB2312" w:cs="仿宋_GB2312"/>
          <w:color w:val="auto"/>
          <w:kern w:val="2"/>
          <w:sz w:val="32"/>
          <w:szCs w:val="32"/>
          <w:lang w:val="en-US"/>
        </w:rPr>
        <w:t>各类公招考试专项资金</w:t>
      </w:r>
      <w:r>
        <w:rPr>
          <w:rFonts w:hint="eastAsia" w:ascii="仿宋_GB2312" w:hAnsi="仿宋_GB2312" w:eastAsia="仿宋_GB2312" w:cs="仿宋_GB2312"/>
          <w:color w:val="auto"/>
          <w:sz w:val="32"/>
          <w:szCs w:val="32"/>
        </w:rPr>
        <w:t>等专项预算项目绩效自评报告，其中，</w:t>
      </w:r>
      <w:r>
        <w:rPr>
          <w:rFonts w:hint="eastAsia" w:ascii="仿宋_GB2312" w:hAnsi="仿宋_GB2312" w:eastAsia="仿宋_GB2312" w:cs="仿宋_GB2312"/>
          <w:i w:val="0"/>
          <w:caps w:val="0"/>
          <w:color w:val="auto"/>
          <w:spacing w:val="0"/>
          <w:sz w:val="32"/>
          <w:szCs w:val="32"/>
        </w:rPr>
        <w:t>攀枝花市人力资源和社会保障局</w:t>
      </w:r>
      <w:r>
        <w:rPr>
          <w:rFonts w:hint="eastAsia" w:ascii="仿宋_GB2312" w:hAnsi="仿宋_GB2312" w:eastAsia="仿宋_GB2312" w:cs="仿宋_GB2312"/>
          <w:color w:val="auto"/>
          <w:sz w:val="32"/>
          <w:szCs w:val="32"/>
        </w:rPr>
        <w:t>部门整体（含部门预算项目）绩效自评得分为</w:t>
      </w:r>
      <w:r>
        <w:rPr>
          <w:rFonts w:hint="eastAsia" w:ascii="仿宋_GB2312" w:hAnsi="仿宋_GB2312" w:eastAsia="仿宋_GB2312" w:cs="仿宋_GB2312"/>
          <w:color w:val="auto"/>
          <w:sz w:val="32"/>
          <w:szCs w:val="32"/>
          <w:lang w:val="en-US" w:eastAsia="zh-CN"/>
        </w:rPr>
        <w:t>92.80</w:t>
      </w:r>
      <w:r>
        <w:rPr>
          <w:rFonts w:hint="eastAsia" w:ascii="仿宋_GB2312" w:hAnsi="仿宋_GB2312" w:eastAsia="仿宋_GB2312" w:cs="仿宋_GB2312"/>
          <w:color w:val="auto"/>
          <w:sz w:val="32"/>
          <w:szCs w:val="32"/>
        </w:rPr>
        <w:t>分，绩效自评综述：</w:t>
      </w:r>
      <w:r>
        <w:rPr>
          <w:rFonts w:eastAsia="仿宋_GB2312"/>
          <w:sz w:val="32"/>
          <w:szCs w:val="32"/>
        </w:rPr>
        <w:t>整体支出绩效目标编制要素完整，绩效指标细化可量化，项目实际完成情况与预期绩效目标基本一致；</w:t>
      </w:r>
      <w:r>
        <w:rPr>
          <w:rFonts w:hint="eastAsia" w:ascii="仿宋_GB2312" w:hAnsi="仿宋_GB2312" w:eastAsia="仿宋_GB2312" w:cs="仿宋_GB2312"/>
          <w:color w:val="auto"/>
          <w:kern w:val="2"/>
          <w:sz w:val="32"/>
          <w:szCs w:val="32"/>
          <w:lang w:val="en-US"/>
        </w:rPr>
        <w:t>各类公招考试专项资金</w:t>
      </w:r>
      <w:r>
        <w:rPr>
          <w:rFonts w:hint="eastAsia" w:ascii="仿宋_GB2312" w:hAnsi="仿宋_GB2312" w:eastAsia="仿宋_GB2312" w:cs="仿宋_GB2312"/>
          <w:color w:val="auto"/>
          <w:sz w:val="32"/>
          <w:szCs w:val="32"/>
        </w:rPr>
        <w:t>专项预算项目绩效自评得分为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分，绩效自评综述：</w:t>
      </w:r>
      <w:r>
        <w:rPr>
          <w:rFonts w:eastAsia="仿宋_GB2312"/>
          <w:sz w:val="32"/>
          <w:szCs w:val="32"/>
        </w:rPr>
        <w:t>该项目立项程序规范、执行控制严格，严格</w:t>
      </w:r>
      <w:r>
        <w:rPr>
          <w:rFonts w:hint="eastAsia" w:eastAsia="仿宋_GB2312"/>
          <w:sz w:val="32"/>
          <w:szCs w:val="32"/>
          <w:lang w:eastAsia="zh-CN"/>
        </w:rPr>
        <w:t>执行</w:t>
      </w:r>
      <w:r>
        <w:rPr>
          <w:rFonts w:eastAsia="仿宋_GB2312"/>
          <w:sz w:val="32"/>
          <w:szCs w:val="32"/>
        </w:rPr>
        <w:t>相关政策文件</w:t>
      </w:r>
      <w:r>
        <w:rPr>
          <w:rFonts w:hint="eastAsia" w:eastAsia="仿宋_GB2312"/>
          <w:sz w:val="32"/>
          <w:szCs w:val="32"/>
          <w:lang w:eastAsia="zh-CN"/>
        </w:rPr>
        <w:t>规定</w:t>
      </w:r>
      <w:r>
        <w:rPr>
          <w:rFonts w:eastAsia="仿宋_GB2312"/>
          <w:sz w:val="32"/>
          <w:szCs w:val="32"/>
        </w:rPr>
        <w:t>，资金支出合规、合法、高效。</w:t>
      </w:r>
      <w:r>
        <w:rPr>
          <w:rFonts w:hint="eastAsia" w:ascii="仿宋_GB2312" w:hAnsi="仿宋_GB2312" w:eastAsia="仿宋_GB2312" w:cs="仿宋_GB2312"/>
          <w:color w:val="auto"/>
          <w:sz w:val="32"/>
          <w:szCs w:val="32"/>
        </w:rPr>
        <w:t>按照预期目标顺利完成2021年下半年及2022年上半年各项公务员公招面试、体检、2021年度事业单位笔试、面试、体检、2022届急需紧缺专业选调生面试等10余项考试工作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未发生一起考试安全事故和考生投诉信访事件，按时按要求完成各项考</w:t>
      </w:r>
      <w:r>
        <w:rPr>
          <w:rFonts w:hint="eastAsia" w:ascii="仿宋_GB2312" w:hAnsi="仿宋_GB2312" w:eastAsia="仿宋_GB2312" w:cs="仿宋_GB2312"/>
          <w:color w:val="auto"/>
          <w:sz w:val="32"/>
          <w:szCs w:val="32"/>
          <w:lang w:eastAsia="zh-CN"/>
        </w:rPr>
        <w:t>试，</w:t>
      </w:r>
      <w:r>
        <w:rPr>
          <w:rFonts w:eastAsia="仿宋_GB2312"/>
          <w:sz w:val="32"/>
          <w:szCs w:val="32"/>
        </w:rPr>
        <w:t>项目实施绩效果较好</w:t>
      </w:r>
      <w:r>
        <w:rPr>
          <w:rFonts w:hint="eastAsia" w:eastAsia="仿宋_GB2312"/>
          <w:sz w:val="32"/>
          <w:szCs w:val="32"/>
          <w:lang w:eastAsia="zh-CN"/>
        </w:rPr>
        <w:t>。</w:t>
      </w:r>
      <w:r>
        <w:rPr>
          <w:rFonts w:hint="eastAsia" w:ascii="仿宋_GB2312" w:hAnsi="仿宋_GB2312" w:eastAsia="仿宋_GB2312" w:cs="仿宋_GB2312"/>
          <w:color w:val="auto"/>
          <w:sz w:val="32"/>
          <w:szCs w:val="32"/>
        </w:rPr>
        <w:t>绩效自评报告详见附件。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color w:val="000000" w:themeColor="text1"/>
          <w:sz w:val="44"/>
          <w:szCs w:val="44"/>
          <w14:textFill>
            <w14:solidFill>
              <w14:schemeClr w14:val="tx1"/>
            </w14:solidFill>
          </w14:textFill>
        </w:rPr>
      </w:pPr>
      <w:bookmarkStart w:id="59" w:name="_Toc30285_WPSOffice_Level1"/>
      <w:bookmarkStart w:id="60" w:name="_Toc4437_WPSOffice_Level1"/>
      <w:r>
        <w:rPr>
          <w:rFonts w:hint="eastAsia" w:ascii="黑体" w:hAnsi="黑体" w:eastAsia="黑体" w:cs="黑体"/>
          <w:i w:val="0"/>
          <w:caps w:val="0"/>
          <w:color w:val="000000" w:themeColor="text1"/>
          <w:spacing w:val="0"/>
          <w:sz w:val="44"/>
          <w:szCs w:val="44"/>
          <w14:textFill>
            <w14:solidFill>
              <w14:schemeClr w14:val="tx1"/>
            </w14:solidFill>
          </w14:textFill>
        </w:rPr>
        <w:t>第三部分 名词解释</w:t>
      </w:r>
      <w:bookmarkEnd w:id="59"/>
      <w:bookmarkEnd w:id="6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1.财政拨款收入：指单位从同级财政部门取得的财政预算资金。</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2.其他收入：指单位取得的除上述收入以外的各项收入。主要是银行存款利息收入</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省考试中心拨付的考点工作经费</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3.年初结转和结余：指以前年度尚未完成、结转到本年按有关规定继续使用的资金。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4．年末结转和结余：指单位按有关规定结转到下年或以后年度继续使用的资金。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5.社会保障和就业支出（类）人力资源和社会保障管理事务（款）行政运行（项）：指反映行政单位（包括实行公务员管理的事业单位）的基本支出。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社会保障和就业支出（类）人力资源和社会保障管理事务（款）一般行政管理事务（项）：指反映行政单位(包括实行公务员管理的事业单位)未单独设置项级科目的其他项目支出。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社会保障和就业支出（类）人力资源和社会保障管理事务（款）劳动保障监察（项）：指反映劳动保障监察事务支出。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信息化建设（项）:指反映人力资源和社会保障部门用于信息化建设、运行维护和数据分析等方面的支出，如金保工程、社会保障卡建设和运行维护、人力资源市场信息化等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社会保障和就业支出（类）人力资源和社会保障管理事务（款）劳动人事争议调解仲裁（项）：指反映仲裁机构实体化建设、办案经费、调解仲裁能力建设等支出。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社会保障和就业（类）人力资源和社会保障管理事务（款）事业运行（项）:指反映事业单位的基本支出，不包括行政单位(包括实行公务员管理的事业单位)后勤服务中心、医务室等附属事业单位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社会保障和就业（类）人力资源和社会保障管理事务（款）其他人力资源和社会保障管理事务支出（项）:指反映除上述项目以外其他人力资源事务方面的支出。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社会保障和就业支出（类）行政事业单位养老支出（款）行政单位离退休（项）：指反映行政单位(包括实行公务员管理的事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社会保障和就业（类）行政事业单位养老支出（款）事业单位离退休（项）:指反映事业单位开支的离退休经费。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社会保障和就业支出（类）行政事业单位养老支出（款）机关事业单位基本养老保险缴费支出（项）：指反映机关事业单位实施养老保险制度由单位缴纳的基本养老保险费支出。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社会保障和就业支出（类）就业补助（款）其他就业补助支出（项）：指反映除上述项目以外按规定确定的其他用于促进就业的补助支出。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卫生健康支出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（类）</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其他卫生健康支出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（款）</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其他卫生健康支出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（项）：指反映</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除上述项目以外其他用于卫生健康方面的支出。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.住房保障（类）住房改革支出（款）住房公积金（项）：指反映行政事业单位按人力资源和社会保障部、财政部规定的基本工资和津贴补贴以及规定比例为职工缴纳的住房公积金。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.基本支出：指为保障机构正常运转、完成日常工作任务而发生的人员支出和公用支出。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.项目支出：指在基本支出之外为完成特定行政任务和事业发展目标所发生的支出。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i w:val="0"/>
          <w:caps w:val="0"/>
          <w:color w:val="000000" w:themeColor="text1"/>
          <w:spacing w:val="0"/>
          <w:sz w:val="44"/>
          <w:szCs w:val="44"/>
          <w14:textFill>
            <w14:solidFill>
              <w14:schemeClr w14:val="tx1"/>
            </w14:solidFill>
          </w14:textFill>
        </w:rPr>
      </w:pPr>
      <w:bookmarkStart w:id="61" w:name="_Toc23996_WPSOffice_Level1"/>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i w:val="0"/>
          <w:caps w:val="0"/>
          <w:color w:val="000000" w:themeColor="text1"/>
          <w:spacing w:val="0"/>
          <w:sz w:val="44"/>
          <w:szCs w:val="44"/>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i w:val="0"/>
          <w:caps w:val="0"/>
          <w:color w:val="000000" w:themeColor="text1"/>
          <w:spacing w:val="0"/>
          <w:sz w:val="44"/>
          <w:szCs w:val="44"/>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i w:val="0"/>
          <w:caps w:val="0"/>
          <w:color w:val="000000" w:themeColor="text1"/>
          <w:spacing w:val="0"/>
          <w:sz w:val="44"/>
          <w:szCs w:val="44"/>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i w:val="0"/>
          <w:caps w:val="0"/>
          <w:color w:val="000000" w:themeColor="text1"/>
          <w:spacing w:val="0"/>
          <w:sz w:val="44"/>
          <w:szCs w:val="44"/>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i w:val="0"/>
          <w:caps w:val="0"/>
          <w:color w:val="000000" w:themeColor="text1"/>
          <w:spacing w:val="0"/>
          <w:sz w:val="44"/>
          <w:szCs w:val="44"/>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i w:val="0"/>
          <w:caps w:val="0"/>
          <w:color w:val="000000" w:themeColor="text1"/>
          <w:spacing w:val="0"/>
          <w:sz w:val="44"/>
          <w:szCs w:val="44"/>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color w:val="000000" w:themeColor="text1"/>
          <w:sz w:val="44"/>
          <w:szCs w:val="44"/>
          <w14:textFill>
            <w14:solidFill>
              <w14:schemeClr w14:val="tx1"/>
            </w14:solidFill>
          </w14:textFill>
        </w:rPr>
      </w:pPr>
      <w:bookmarkStart w:id="62" w:name="_Toc3219_WPSOffice_Level1"/>
      <w:r>
        <w:rPr>
          <w:rFonts w:hint="eastAsia" w:ascii="黑体" w:hAnsi="黑体" w:eastAsia="黑体" w:cs="黑体"/>
          <w:i w:val="0"/>
          <w:caps w:val="0"/>
          <w:color w:val="000000" w:themeColor="text1"/>
          <w:spacing w:val="0"/>
          <w:sz w:val="44"/>
          <w:szCs w:val="44"/>
          <w14:textFill>
            <w14:solidFill>
              <w14:schemeClr w14:val="tx1"/>
            </w14:solidFill>
          </w14:textFill>
        </w:rPr>
        <w:t>第四部分 附件</w:t>
      </w:r>
      <w:bookmarkEnd w:id="61"/>
      <w:bookmarkEnd w:id="6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附件1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bookmarkStart w:id="63" w:name="_Toc2115_WPSOffice_Level2"/>
      <w:bookmarkStart w:id="64" w:name="_Toc28555_WPSOffice_Level2"/>
      <w:bookmarkStart w:id="65" w:name="_Toc3219_WPSOffice_Level2"/>
      <w:r>
        <w:rPr>
          <w:rFonts w:hint="eastAsia" w:ascii="黑体" w:hAnsi="黑体" w:eastAsia="黑体" w:cs="黑体"/>
          <w:i w:val="0"/>
          <w:caps w:val="0"/>
          <w:color w:val="000000" w:themeColor="text1"/>
          <w:spacing w:val="0"/>
          <w:sz w:val="36"/>
          <w:szCs w:val="36"/>
          <w14:textFill>
            <w14:solidFill>
              <w14:schemeClr w14:val="tx1"/>
            </w14:solidFill>
          </w14:textFill>
        </w:rPr>
        <w:t>202</w:t>
      </w:r>
      <w:r>
        <w:rPr>
          <w:rFonts w:hint="eastAsia" w:ascii="黑体" w:hAnsi="黑体" w:eastAsia="黑体" w:cs="黑体"/>
          <w:i w:val="0"/>
          <w:caps w:val="0"/>
          <w:color w:val="000000" w:themeColor="text1"/>
          <w:spacing w:val="0"/>
          <w:sz w:val="36"/>
          <w:szCs w:val="36"/>
          <w:lang w:val="en-US" w:eastAsia="zh-CN"/>
          <w14:textFill>
            <w14:solidFill>
              <w14:schemeClr w14:val="tx1"/>
            </w14:solidFill>
          </w14:textFill>
        </w:rPr>
        <w:t>2</w:t>
      </w:r>
      <w:r>
        <w:rPr>
          <w:rFonts w:hint="eastAsia" w:ascii="黑体" w:hAnsi="黑体" w:eastAsia="黑体" w:cs="黑体"/>
          <w:i w:val="0"/>
          <w:caps w:val="0"/>
          <w:color w:val="000000" w:themeColor="text1"/>
          <w:spacing w:val="0"/>
          <w:sz w:val="36"/>
          <w:szCs w:val="36"/>
          <w14:textFill>
            <w14:solidFill>
              <w14:schemeClr w14:val="tx1"/>
            </w14:solidFill>
          </w14:textFill>
        </w:rPr>
        <w:t>年攀枝花市人力资源和社会保障局</w:t>
      </w:r>
      <w:bookmarkEnd w:id="63"/>
      <w:bookmarkEnd w:id="64"/>
      <w:bookmarkEnd w:id="65"/>
      <w:bookmarkStart w:id="66" w:name="_Toc16925_WPSOffice_Level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bookmarkStart w:id="67" w:name="_Toc28206_WPSOffice_Level2"/>
      <w:bookmarkStart w:id="68" w:name="_Toc12069_WPSOffice_Level2"/>
      <w:r>
        <w:rPr>
          <w:rFonts w:hint="eastAsia" w:ascii="黑体" w:hAnsi="黑体" w:eastAsia="黑体" w:cs="黑体"/>
          <w:i w:val="0"/>
          <w:caps w:val="0"/>
          <w:color w:val="000000" w:themeColor="text1"/>
          <w:spacing w:val="0"/>
          <w:sz w:val="36"/>
          <w:szCs w:val="36"/>
          <w14:textFill>
            <w14:solidFill>
              <w14:schemeClr w14:val="tx1"/>
            </w14:solidFill>
          </w14:textFill>
        </w:rPr>
        <w:t>部门整体绩效评价报告</w:t>
      </w:r>
      <w:bookmarkEnd w:id="66"/>
      <w:bookmarkEnd w:id="67"/>
      <w:bookmarkEnd w:id="6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bookmarkStart w:id="69" w:name="_Toc20477_WPSOffice_Level2"/>
      <w:bookmarkStart w:id="70" w:name="_Toc7933_WPSOffice_Level2"/>
      <w:bookmarkStart w:id="71" w:name="_Toc28785_WPSOffice_Level2"/>
      <w:r>
        <w:rPr>
          <w:rFonts w:hint="eastAsia" w:ascii="黑体" w:hAnsi="黑体" w:eastAsia="黑体" w:cs="黑体"/>
          <w:i w:val="0"/>
          <w:caps w:val="0"/>
          <w:color w:val="000000" w:themeColor="text1"/>
          <w:spacing w:val="0"/>
          <w:sz w:val="32"/>
          <w:szCs w:val="32"/>
          <w14:textFill>
            <w14:solidFill>
              <w14:schemeClr w14:val="tx1"/>
            </w14:solidFill>
          </w14:textFill>
        </w:rPr>
        <w:t>一、部门</w:t>
      </w:r>
      <w:bookmarkEnd w:id="69"/>
      <w:r>
        <w:rPr>
          <w:rFonts w:hint="eastAsia" w:ascii="黑体" w:hAnsi="黑体" w:eastAsia="黑体" w:cs="黑体"/>
          <w:i w:val="0"/>
          <w:caps w:val="0"/>
          <w:color w:val="000000" w:themeColor="text1"/>
          <w:spacing w:val="0"/>
          <w:sz w:val="32"/>
          <w:szCs w:val="32"/>
          <w:lang w:eastAsia="zh-CN"/>
          <w14:textFill>
            <w14:solidFill>
              <w14:schemeClr w14:val="tx1"/>
            </w14:solidFill>
          </w14:textFill>
        </w:rPr>
        <w:t>基本情况</w:t>
      </w:r>
      <w:bookmarkEnd w:id="70"/>
      <w:bookmarkEnd w:id="7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（一）机构组成。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攀枝花市人力资源和社会保障局包括6个独立编制、独立核算单位。其中，一级预算单位1个：市人力资源和社会保障局；二级预算单位5个：市劳动保障监察支队、市劳动人事争议仲裁院、市人力资源和社会保障信息中心、市人才服务中心、市人事考试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（二）机构职能</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和人员概况</w:t>
      </w: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机构职能。</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①贯彻执行国家、省人力资源和社会保障工作的法律、法规、规章和政策，拟订全市人力资源和社会保障事业发展规划、政策并组织实施，统筹推进人力资源和社会保障事业发展。②拟订并组织实施全市人力资源市场发展规划和人力资源服务业发展、人力资源流动政策，促进人力资源合理流动，有效配置。③负责促进就业工作，拟订统筹全市城乡就业发展规划和政策，完善公共就业创业服务体系，统筹建立面向城乡劳动者的职业技能培训制度，拟订并组织落实创业、就业援助制度，提出就业资金安排计划并组织实施，牵头拟订高校毕业生就业政策，组织实施高校毕业生就业创业服务工作。④统筹推进建立覆盖全市城乡的多层次社会保障体系。贯彻执行国家、省养老、失业、工伤等社会保险及其补充保险政策和标准，拟订全市的相关政策并组织实施，贯彻落实养老保险全国统筹办法和全国统一的养老、失业、工伤保险关系转续办法，会同有关部门拟订全市养老、失业、工伤等社会保险及其补充保险基金管理和监督制度并组织实施，编制全市相关社会保险基金预决算草案，会同有关部门实施全民参保计划并建立全市统一的社会保险公共服务平台。负责全市养老、失业、工伤保险基金保值增值的监督检查。拟订人力资源和社会保障信息化建设总体规划、年度计划，制定相关制度并组织实施。⑤负责就业、失业和相关社会保障基金预测预警和信息引导，拟订应对预案，实施预防、调节和控制，保持就业形势稳定和相关社会保险基金总体收支平衡。⑥统筹拟订劳动人事争议调解仲裁制度和劳动关系政策，完善劳动关系协商协调机制，拟订职工工作时间、休息休假制度，拟订消除非法使用童工政策和女工、未成年工特殊劳动保护政策。依法督促用人单位在劳动用工、合同签订与履约时，载明劳动保护、劳动条件和职业危害防护等条款。组织实施劳动保障监察，协调劳动者维权工作，依法查处重大案件。⑦牵头推进深化职称制度改革，拟订专业技术人员管理、继续教育和博士后管理政策并组织实施，负责高层次专业技术人才选拔和培养工作，负责留学回国人员的服务和管理工作。组织拟订技能人才培养评价、使用和激励制度。贯彻落实职业资格制度，健全职业技能多元化评价政策。指导、监督各级各类技工学校、民办职业培训机构按国家、省和我市有关规定履行安全管理责任。⑧组织实施国家表彰制度，综合管理表彰奖励工作，承担全市评比达标表彰和市级部门表彰奖励工作，根据授权承办以市委、市政府名义开展的市级表彰活动。承办市委管理的部分领导人员的行政任免手续。⑨会同有关部门指导实施事业单位人事制度改革，按照管理权限承办事业单位岗位设置、公开招聘、人员聘用等人事综合管理工作，拟订事业单位工作人员和机关工勤人员管理政策，将安全生产责任履行情况作为事业单位工作人员奖惩、考核的重要内容。⑩贯彻执行国家、省企业职工工资收入分配、支付、保障和调控政策，指导和监督国有企业工资总额管理和国有企业负责人工资收入分配。贯彻落实事业单位人员工资收入分配政策，建立企事业单位人员工资决定、正常增长和支付保障机制，贯彻落实企事业单位人员福利和退休政策。⑾会同有关部门拟订劳务开发及农民工工作综合性政策和规划并推动相关政策的落实，协调解决重点难点问题，维护农民工合法权益。负责将安全生产纳入农民工技能培训内容。⑿受理人力资源和社会保障方面的信访事项，会同有关部门协调处理重大信访事件或突发事件。⒀负责市人力资源社会保障领域的对外交流与合作工作。⒁承担职责范围内的安全生产和职业健康、生态环境保护、审批服务便民化等工作。⒂完成市委、市政府交办的其他任务。⒃职能转变。深入推进简政放权、放管结合、优化服务改革，进一步减少行政审批事项，规范和优化对外办理事项，减少职业资格许可和认定等事项，实行职业资格目录清单管理，加强事中事后监管，创新就业和社会保障等公共服务方式，加强信息共享，提高公共服务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人员概况。202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年末实有在职人员10</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人，其中：行政人员4</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人，参照公务员法管理事业人员</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人，非参公事业人员</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46</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86号文聘用人员2人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年年末实有退休人员5</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（三）年度主要工作任务。</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color w:val="000000"/>
          <w:kern w:val="0"/>
          <w:sz w:val="32"/>
          <w:szCs w:val="32"/>
        </w:rPr>
        <w:t>一是</w:t>
      </w:r>
      <w:r>
        <w:rPr>
          <w:rFonts w:hint="eastAsia" w:ascii="仿宋_GB2312" w:hAnsi="仿宋_GB2312" w:eastAsia="仿宋_GB2312" w:cs="仿宋_GB2312"/>
          <w:b w:val="0"/>
          <w:bCs w:val="0"/>
          <w:snapToGrid w:val="0"/>
          <w:color w:val="000000"/>
          <w:kern w:val="0"/>
          <w:sz w:val="32"/>
          <w:szCs w:val="32"/>
          <w:lang w:eastAsia="zh-CN"/>
        </w:rPr>
        <w:t>稳就业促发展，持续改善民生福祉，</w:t>
      </w:r>
      <w:r>
        <w:rPr>
          <w:rFonts w:hint="eastAsia" w:ascii="仿宋_GB2312" w:hAnsi="仿宋_GB2312" w:eastAsia="仿宋_GB2312" w:cs="仿宋_GB2312"/>
          <w:snapToGrid w:val="0"/>
          <w:kern w:val="0"/>
          <w:sz w:val="32"/>
          <w:szCs w:val="32"/>
        </w:rPr>
        <w:t>坚持把促就业稳就业保就业摆在最突出位置，兜牢民生底线，全面落实促就业稳就业保就业各项政策，保持就业局势总体稳</w:t>
      </w:r>
      <w:r>
        <w:rPr>
          <w:rFonts w:hint="eastAsia" w:ascii="仿宋_GB2312" w:hAnsi="仿宋_GB2312" w:eastAsia="仿宋_GB2312" w:cs="仿宋_GB2312"/>
          <w:snapToGrid w:val="0"/>
          <w:kern w:val="0"/>
          <w:sz w:val="32"/>
          <w:szCs w:val="32"/>
          <w:lang w:eastAsia="zh-CN"/>
        </w:rPr>
        <w:t>定；</w:t>
      </w:r>
      <w:r>
        <w:rPr>
          <w:rFonts w:hint="eastAsia" w:ascii="仿宋_GB2312" w:hAnsi="仿宋_GB2312" w:eastAsia="仿宋_GB2312" w:cs="仿宋_GB2312"/>
          <w:b/>
          <w:bCs/>
          <w:snapToGrid w:val="0"/>
          <w:kern w:val="0"/>
          <w:sz w:val="32"/>
          <w:szCs w:val="32"/>
        </w:rPr>
        <w:t>二是</w:t>
      </w:r>
      <w:r>
        <w:rPr>
          <w:rFonts w:hint="eastAsia" w:ascii="仿宋_GB2312" w:hAnsi="仿宋_GB2312" w:eastAsia="仿宋_GB2312" w:cs="仿宋_GB2312"/>
          <w:b w:val="0"/>
          <w:bCs w:val="0"/>
          <w:snapToGrid w:val="0"/>
          <w:kern w:val="0"/>
          <w:sz w:val="32"/>
          <w:szCs w:val="32"/>
          <w:lang w:eastAsia="zh-CN"/>
        </w:rPr>
        <w:t>健全社保体系，发挥“压舱石”作用，</w:t>
      </w:r>
      <w:r>
        <w:rPr>
          <w:rFonts w:hint="eastAsia" w:ascii="仿宋_GB2312" w:hAnsi="仿宋_GB2312" w:eastAsia="仿宋_GB2312" w:cs="仿宋_GB2312"/>
          <w:snapToGrid w:val="0"/>
          <w:kern w:val="0"/>
          <w:sz w:val="32"/>
          <w:szCs w:val="32"/>
        </w:rPr>
        <w:t>积极稳妥推进社会保障体系建设，持续深化社会保障制度改革，推进重大改革任务落地落实，健全覆盖全民、统筹城乡、公平统一、可持续的多层次社会保障体</w:t>
      </w:r>
      <w:r>
        <w:rPr>
          <w:rFonts w:hint="eastAsia" w:ascii="仿宋_GB2312" w:hAnsi="仿宋_GB2312" w:eastAsia="仿宋_GB2312" w:cs="仿宋_GB2312"/>
          <w:snapToGrid w:val="0"/>
          <w:kern w:val="0"/>
          <w:sz w:val="32"/>
          <w:szCs w:val="32"/>
          <w:lang w:eastAsia="zh-CN"/>
        </w:rPr>
        <w:t>系；</w:t>
      </w:r>
      <w:r>
        <w:rPr>
          <w:rFonts w:hint="eastAsia" w:ascii="仿宋_GB2312" w:hAnsi="仿宋_GB2312" w:eastAsia="仿宋_GB2312" w:cs="仿宋_GB2312"/>
          <w:b/>
          <w:bCs/>
          <w:snapToGrid w:val="0"/>
          <w:kern w:val="0"/>
          <w:sz w:val="32"/>
          <w:szCs w:val="32"/>
        </w:rPr>
        <w:t>三是</w:t>
      </w:r>
      <w:r>
        <w:rPr>
          <w:rFonts w:hint="eastAsia" w:ascii="仿宋_GB2312" w:hAnsi="仿宋_GB2312" w:eastAsia="仿宋_GB2312" w:cs="仿宋_GB2312"/>
          <w:b w:val="0"/>
          <w:bCs w:val="0"/>
          <w:snapToGrid w:val="0"/>
          <w:kern w:val="0"/>
          <w:sz w:val="32"/>
          <w:szCs w:val="32"/>
          <w:lang w:eastAsia="zh-CN"/>
        </w:rPr>
        <w:t>聚力稳人增人，创新人才人事工作，紧扣区域中心城市人口目标，持续深化人才体制机制改革，服务稳人增长；</w:t>
      </w:r>
      <w:r>
        <w:rPr>
          <w:rFonts w:hint="eastAsia" w:ascii="仿宋_GB2312" w:hAnsi="仿宋_GB2312" w:eastAsia="仿宋_GB2312" w:cs="仿宋_GB2312"/>
          <w:b/>
          <w:bCs/>
          <w:snapToGrid w:val="0"/>
          <w:kern w:val="0"/>
          <w:sz w:val="32"/>
          <w:szCs w:val="32"/>
        </w:rPr>
        <w:t>四是</w:t>
      </w:r>
      <w:r>
        <w:rPr>
          <w:rFonts w:hint="eastAsia" w:ascii="仿宋_GB2312" w:hAnsi="仿宋_GB2312" w:eastAsia="仿宋_GB2312" w:cs="仿宋_GB2312"/>
          <w:b w:val="0"/>
          <w:bCs w:val="0"/>
          <w:snapToGrid w:val="0"/>
          <w:kern w:val="0"/>
          <w:sz w:val="32"/>
          <w:szCs w:val="32"/>
          <w:lang w:eastAsia="zh-CN"/>
        </w:rPr>
        <w:t>巩固和谐劳动关系，夯实宜业乐业基础，</w:t>
      </w:r>
      <w:r>
        <w:rPr>
          <w:rFonts w:hint="eastAsia" w:ascii="仿宋_GB2312" w:hAnsi="仿宋_GB2312" w:eastAsia="仿宋_GB2312" w:cs="仿宋_GB2312"/>
          <w:snapToGrid w:val="0"/>
          <w:kern w:val="0"/>
          <w:sz w:val="32"/>
          <w:szCs w:val="32"/>
          <w:lang w:eastAsia="zh-CN"/>
        </w:rPr>
        <w:t>深入开展和谐劳动关系“春风行动”“和谐同行”能力提升行动</w:t>
      </w:r>
      <w:r>
        <w:rPr>
          <w:rFonts w:hint="eastAsia" w:ascii="仿宋_GB2312" w:hAnsi="仿宋_GB2312" w:eastAsia="仿宋_GB2312" w:cs="仿宋_GB2312"/>
          <w:snapToGrid w:val="0"/>
          <w:kern w:val="0"/>
          <w:sz w:val="32"/>
          <w:szCs w:val="32"/>
        </w:rPr>
        <w:t>，维护劳动者合法权益，促进企业健康发展，积极构建规范有序、公正合理、合作共赢、和谐稳定的劳动关系；</w:t>
      </w:r>
      <w:r>
        <w:rPr>
          <w:rFonts w:hint="eastAsia" w:ascii="仿宋_GB2312" w:hAnsi="仿宋_GB2312" w:eastAsia="仿宋_GB2312" w:cs="仿宋_GB2312"/>
          <w:b/>
          <w:bCs/>
          <w:snapToGrid w:val="0"/>
          <w:kern w:val="0"/>
          <w:sz w:val="32"/>
          <w:szCs w:val="32"/>
        </w:rPr>
        <w:t>五是</w:t>
      </w:r>
      <w:r>
        <w:rPr>
          <w:rFonts w:hint="eastAsia" w:ascii="仿宋_GB2312" w:hAnsi="仿宋_GB2312" w:eastAsia="仿宋_GB2312" w:cs="仿宋_GB2312"/>
          <w:snapToGrid w:val="0"/>
          <w:kern w:val="0"/>
          <w:sz w:val="32"/>
          <w:szCs w:val="32"/>
        </w:rPr>
        <w:t>扎实做好农民工服务保障，持续推进服务保障农民工战略性工程，发挥农民工在稳定就业大局、助力乡村振兴、推动实现共同富裕中的重要作用，做大做强“农民工经济”；</w:t>
      </w:r>
      <w:r>
        <w:rPr>
          <w:rFonts w:hint="eastAsia" w:ascii="仿宋_GB2312" w:hAnsi="仿宋_GB2312" w:eastAsia="仿宋_GB2312" w:cs="仿宋_GB2312"/>
          <w:b/>
          <w:bCs/>
          <w:snapToGrid w:val="0"/>
          <w:kern w:val="0"/>
          <w:sz w:val="32"/>
          <w:szCs w:val="32"/>
        </w:rPr>
        <w:t>六是</w:t>
      </w:r>
      <w:r>
        <w:rPr>
          <w:rFonts w:hint="eastAsia" w:ascii="仿宋_GB2312" w:hAnsi="仿宋_GB2312" w:eastAsia="仿宋_GB2312" w:cs="仿宋_GB2312"/>
          <w:snapToGrid w:val="0"/>
          <w:kern w:val="0"/>
          <w:sz w:val="32"/>
          <w:szCs w:val="32"/>
        </w:rPr>
        <w:t>大力加强技能人才队伍建设，</w:t>
      </w:r>
      <w:r>
        <w:rPr>
          <w:rFonts w:hint="eastAsia" w:ascii="仿宋_GB2312" w:hAnsi="仿宋_GB2312" w:eastAsia="仿宋_GB2312" w:cs="仿宋_GB2312"/>
          <w:snapToGrid w:val="0"/>
          <w:kern w:val="0"/>
          <w:sz w:val="32"/>
          <w:szCs w:val="32"/>
          <w:lang w:eastAsia="zh-CN"/>
        </w:rPr>
        <w:t>打造“攀西工匠城”，助推攀枝花打造世界级钒钛产业基支、建设氢能产业示范城市</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b/>
          <w:bCs/>
          <w:snapToGrid w:val="0"/>
          <w:kern w:val="0"/>
          <w:sz w:val="32"/>
          <w:szCs w:val="32"/>
        </w:rPr>
        <w:t>七是</w:t>
      </w:r>
      <w:r>
        <w:rPr>
          <w:rFonts w:hint="eastAsia" w:ascii="仿宋_GB2312" w:hAnsi="仿宋_GB2312" w:eastAsia="仿宋_GB2312" w:cs="仿宋_GB2312"/>
          <w:snapToGrid w:val="0"/>
          <w:kern w:val="0"/>
          <w:sz w:val="32"/>
          <w:szCs w:val="32"/>
        </w:rPr>
        <w:t>做大做强人力资源服务业，</w:t>
      </w:r>
      <w:r>
        <w:rPr>
          <w:rFonts w:hint="eastAsia" w:ascii="仿宋_GB2312" w:hAnsi="仿宋_GB2312" w:eastAsia="仿宋_GB2312" w:cs="仿宋_GB2312"/>
          <w:snapToGrid w:val="0"/>
          <w:kern w:val="0"/>
          <w:sz w:val="32"/>
          <w:szCs w:val="32"/>
          <w:lang w:eastAsia="zh-CN"/>
        </w:rPr>
        <w:t>重点面向“中圈”深化区域合作，</w:t>
      </w:r>
      <w:r>
        <w:rPr>
          <w:rFonts w:hint="eastAsia" w:ascii="仿宋_GB2312" w:hAnsi="仿宋_GB2312" w:eastAsia="仿宋_GB2312" w:cs="仿宋_GB2312"/>
          <w:snapToGrid w:val="0"/>
          <w:kern w:val="0"/>
          <w:sz w:val="32"/>
          <w:szCs w:val="32"/>
        </w:rPr>
        <w:t>加快建设高标准人力资源</w:t>
      </w:r>
      <w:r>
        <w:rPr>
          <w:rFonts w:hint="eastAsia" w:ascii="仿宋_GB2312" w:hAnsi="仿宋_GB2312" w:eastAsia="仿宋_GB2312" w:cs="仿宋_GB2312"/>
          <w:snapToGrid w:val="0"/>
          <w:kern w:val="0"/>
          <w:sz w:val="32"/>
          <w:szCs w:val="32"/>
          <w:lang w:eastAsia="zh-CN"/>
        </w:rPr>
        <w:t>服务体系</w:t>
      </w:r>
      <w:r>
        <w:rPr>
          <w:rFonts w:hint="eastAsia" w:ascii="仿宋_GB2312" w:hAnsi="仿宋_GB2312" w:eastAsia="仿宋_GB2312" w:cs="仿宋_GB2312"/>
          <w:snapToGrid w:val="0"/>
          <w:kern w:val="0"/>
          <w:sz w:val="32"/>
          <w:szCs w:val="32"/>
        </w:rPr>
        <w:t>，持续推进强主体、建园区、创品牌、优业态、聚人才五大行动，</w:t>
      </w:r>
      <w:r>
        <w:rPr>
          <w:rFonts w:hint="eastAsia" w:ascii="仿宋_GB2312" w:hAnsi="仿宋_GB2312" w:eastAsia="仿宋_GB2312" w:cs="仿宋_GB2312"/>
          <w:snapToGrid w:val="0"/>
          <w:kern w:val="0"/>
          <w:sz w:val="32"/>
          <w:szCs w:val="32"/>
          <w:lang w:eastAsia="zh-CN"/>
        </w:rPr>
        <w:t>促进人力资源服务业发展</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八</w:t>
      </w:r>
      <w:r>
        <w:rPr>
          <w:rFonts w:hint="eastAsia" w:ascii="仿宋_GB2312" w:hAnsi="仿宋_GB2312" w:eastAsia="仿宋_GB2312" w:cs="仿宋_GB2312"/>
          <w:b/>
          <w:bCs/>
          <w:snapToGrid w:val="0"/>
          <w:kern w:val="0"/>
          <w:sz w:val="32"/>
          <w:szCs w:val="32"/>
        </w:rPr>
        <w:t>是</w:t>
      </w:r>
      <w:r>
        <w:rPr>
          <w:rFonts w:hint="eastAsia" w:ascii="仿宋_GB2312" w:hAnsi="仿宋_GB2312" w:eastAsia="仿宋_GB2312" w:cs="仿宋_GB2312"/>
          <w:snapToGrid w:val="0"/>
          <w:kern w:val="0"/>
          <w:sz w:val="32"/>
          <w:szCs w:val="32"/>
        </w:rPr>
        <w:t>深入</w:t>
      </w:r>
      <w:r>
        <w:rPr>
          <w:rFonts w:hint="eastAsia" w:ascii="仿宋_GB2312" w:hAnsi="仿宋_GB2312" w:eastAsia="仿宋_GB2312" w:cs="仿宋_GB2312"/>
          <w:snapToGrid w:val="0"/>
          <w:kern w:val="0"/>
          <w:sz w:val="32"/>
          <w:szCs w:val="32"/>
          <w:lang w:eastAsia="zh-CN"/>
        </w:rPr>
        <w:t>实施“</w:t>
      </w:r>
      <w:r>
        <w:rPr>
          <w:rFonts w:hint="eastAsia" w:ascii="仿宋_GB2312" w:hAnsi="仿宋_GB2312" w:eastAsia="仿宋_GB2312" w:cs="仿宋_GB2312"/>
          <w:snapToGrid w:val="0"/>
          <w:kern w:val="0"/>
          <w:sz w:val="32"/>
          <w:szCs w:val="32"/>
        </w:rPr>
        <w:t>温暖人社</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三年行动计划，深化</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一网通办</w:t>
      </w:r>
      <w:r>
        <w:rPr>
          <w:rFonts w:hint="eastAsia" w:ascii="仿宋_GB2312" w:hAnsi="仿宋_GB2312" w:eastAsia="仿宋_GB2312" w:cs="仿宋_GB2312"/>
          <w:snapToGrid w:val="0"/>
          <w:kern w:val="0"/>
          <w:sz w:val="32"/>
          <w:szCs w:val="32"/>
          <w:lang w:eastAsia="zh-CN"/>
        </w:rPr>
        <w:t>”“人社服务快办行动”“一件事集成改革”“社银一体化建设”，在简政放权、提速增质上狠下功夫</w:t>
      </w:r>
      <w:r>
        <w:rPr>
          <w:rFonts w:hint="eastAsia" w:ascii="仿宋_GB2312" w:hAnsi="仿宋_GB2312" w:eastAsia="仿宋_GB2312" w:cs="仿宋_GB2312"/>
          <w:snapToGrid w:val="0"/>
          <w:kern w:val="0"/>
          <w:sz w:val="32"/>
          <w:szCs w:val="32"/>
        </w:rPr>
        <w:t>，常态长效推动行风建设，推进人社治理制度创新和能力建设。</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b/>
          <w:bCs/>
          <w:snapToGrid w:val="0"/>
          <w:kern w:val="0"/>
          <w:sz w:val="32"/>
          <w:szCs w:val="32"/>
          <w:lang w:eastAsia="zh-CN"/>
        </w:rPr>
      </w:pPr>
      <w:r>
        <w:rPr>
          <w:rFonts w:hint="eastAsia"/>
          <w:b/>
          <w:bCs/>
          <w:snapToGrid w:val="0"/>
          <w:kern w:val="0"/>
          <w:sz w:val="32"/>
          <w:szCs w:val="32"/>
          <w:lang w:eastAsia="zh-CN"/>
        </w:rPr>
        <w:t>（四）部门整体支出绩效目标。</w:t>
      </w:r>
    </w:p>
    <w:p>
      <w:pPr>
        <w:adjustRightInd w:val="0"/>
        <w:snapToGrid w:val="0"/>
        <w:spacing w:line="576" w:lineRule="exact"/>
        <w:ind w:firstLine="640" w:firstLineChars="200"/>
        <w:jc w:val="both"/>
        <w:rPr>
          <w:rFonts w:eastAsia="仿宋_GB2312"/>
          <w:snapToGrid w:val="0"/>
          <w:color w:val="000000"/>
          <w:kern w:val="0"/>
          <w:sz w:val="32"/>
          <w:szCs w:val="32"/>
        </w:rPr>
      </w:pPr>
      <w:r>
        <w:rPr>
          <w:rFonts w:eastAsia="仿宋_GB2312"/>
          <w:snapToGrid w:val="0"/>
          <w:color w:val="000000"/>
          <w:kern w:val="0"/>
          <w:sz w:val="32"/>
          <w:szCs w:val="32"/>
        </w:rPr>
        <w:t>年度主要目标：</w:t>
      </w:r>
      <w:r>
        <w:rPr>
          <w:rFonts w:hint="eastAsia" w:eastAsia="仿宋_GB2312"/>
          <w:b/>
          <w:bCs/>
          <w:snapToGrid w:val="0"/>
          <w:color w:val="000000"/>
          <w:kern w:val="0"/>
          <w:sz w:val="32"/>
          <w:szCs w:val="32"/>
        </w:rPr>
        <w:t>一是</w:t>
      </w:r>
      <w:r>
        <w:rPr>
          <w:rFonts w:hint="eastAsia" w:eastAsia="仿宋_GB2312"/>
          <w:snapToGrid w:val="0"/>
          <w:color w:val="000000"/>
          <w:kern w:val="0"/>
          <w:sz w:val="32"/>
          <w:szCs w:val="32"/>
        </w:rPr>
        <w:t>引留一大批人力资源，发挥促进人力资源聚集十六条政策措施作用，全年新增外地在攀务工人员1万人，引进高层次人才、各类优秀人才不少于2500人，本地高校、职业院校毕业生留攀人数不少于2500人。</w:t>
      </w:r>
      <w:r>
        <w:rPr>
          <w:rFonts w:hint="eastAsia" w:eastAsia="仿宋_GB2312"/>
          <w:b/>
          <w:bCs/>
          <w:snapToGrid w:val="0"/>
          <w:color w:val="000000"/>
          <w:kern w:val="0"/>
          <w:sz w:val="32"/>
          <w:szCs w:val="32"/>
        </w:rPr>
        <w:t>二是</w:t>
      </w:r>
      <w:r>
        <w:rPr>
          <w:rFonts w:hint="eastAsia" w:eastAsia="仿宋_GB2312"/>
          <w:snapToGrid w:val="0"/>
          <w:color w:val="000000"/>
          <w:kern w:val="0"/>
          <w:sz w:val="32"/>
          <w:szCs w:val="32"/>
        </w:rPr>
        <w:t>用好一系列就业政策，加快市级公共实训基地建设，全年实现城镇新增就业1.95万人，城镇登记失业率不超过4.2%、调查失业率不超过4.9%，扶持返乡创业不少于1300人。</w:t>
      </w:r>
      <w:r>
        <w:rPr>
          <w:rFonts w:hint="eastAsia" w:eastAsia="仿宋_GB2312"/>
          <w:b/>
          <w:bCs/>
          <w:snapToGrid w:val="0"/>
          <w:color w:val="000000"/>
          <w:kern w:val="0"/>
          <w:sz w:val="32"/>
          <w:szCs w:val="32"/>
        </w:rPr>
        <w:t>三是</w:t>
      </w:r>
      <w:r>
        <w:rPr>
          <w:rFonts w:hint="eastAsia" w:eastAsia="仿宋_GB2312"/>
          <w:snapToGrid w:val="0"/>
          <w:color w:val="000000"/>
          <w:kern w:val="0"/>
          <w:sz w:val="32"/>
          <w:szCs w:val="32"/>
        </w:rPr>
        <w:t>开展一揽子社保计划，确保养老金按时足额发放，扩大社会保险覆盖面，深入实施工伤预防五年行动计划，强化基金风险防控。</w:t>
      </w:r>
      <w:r>
        <w:rPr>
          <w:rFonts w:hint="eastAsia" w:eastAsia="仿宋_GB2312"/>
          <w:b/>
          <w:bCs/>
          <w:snapToGrid w:val="0"/>
          <w:color w:val="000000"/>
          <w:kern w:val="0"/>
          <w:sz w:val="32"/>
          <w:szCs w:val="32"/>
        </w:rPr>
        <w:t>四是</w:t>
      </w:r>
      <w:r>
        <w:rPr>
          <w:rFonts w:hint="eastAsia" w:eastAsia="仿宋_GB2312"/>
          <w:snapToGrid w:val="0"/>
          <w:color w:val="000000"/>
          <w:kern w:val="0"/>
          <w:sz w:val="32"/>
          <w:szCs w:val="32"/>
        </w:rPr>
        <w:t>打出一整套人才人事“组合拳”，争创省级人力资源服务产业园，不断壮大人才队伍，持续激发人才活力，为经济社会发展提供更到位的支持。</w:t>
      </w:r>
      <w:r>
        <w:rPr>
          <w:rFonts w:hint="eastAsia" w:eastAsia="仿宋_GB2312"/>
          <w:b/>
          <w:bCs/>
          <w:snapToGrid w:val="0"/>
          <w:color w:val="000000"/>
          <w:kern w:val="0"/>
          <w:sz w:val="32"/>
          <w:szCs w:val="32"/>
        </w:rPr>
        <w:t>五是</w:t>
      </w:r>
      <w:r>
        <w:rPr>
          <w:rFonts w:hint="eastAsia" w:eastAsia="仿宋_GB2312"/>
          <w:snapToGrid w:val="0"/>
          <w:color w:val="000000"/>
          <w:kern w:val="0"/>
          <w:sz w:val="32"/>
          <w:szCs w:val="32"/>
        </w:rPr>
        <w:t>巩固一体化和谐劳动关系。深入开展根治欠薪行动，化解恒大城欠薪案，强化劳动人事争议仲裁，做好省级金牌调解组织建设，发布我市最低工资标准。</w:t>
      </w:r>
      <w:r>
        <w:rPr>
          <w:rFonts w:hint="eastAsia" w:eastAsia="仿宋_GB2312"/>
          <w:b/>
          <w:bCs/>
          <w:snapToGrid w:val="0"/>
          <w:color w:val="000000"/>
          <w:kern w:val="0"/>
          <w:sz w:val="32"/>
          <w:szCs w:val="32"/>
        </w:rPr>
        <w:t>六是</w:t>
      </w:r>
      <w:r>
        <w:rPr>
          <w:rFonts w:hint="eastAsia" w:eastAsia="仿宋_GB2312"/>
          <w:snapToGrid w:val="0"/>
          <w:color w:val="000000"/>
          <w:kern w:val="0"/>
          <w:sz w:val="32"/>
          <w:szCs w:val="32"/>
        </w:rPr>
        <w:t>优化一条龙人社服务，巩固两项治理、窗口腐败问题治理成效，及时消除风险。以快办行动、信息化便民行动、人社邮政合作为抓手，服务好企业和群众。组织开展好练兵比武活动，以赛以练促专业水平提升。落实领导坐班代岗、走流程、走访企业等制度。</w:t>
      </w:r>
    </w:p>
    <w:p>
      <w:pPr>
        <w:adjustRightInd w:val="0"/>
        <w:snapToGrid w:val="0"/>
        <w:spacing w:line="576" w:lineRule="exact"/>
        <w:ind w:firstLine="640" w:firstLineChars="200"/>
        <w:jc w:val="both"/>
        <w:rPr>
          <w:rFonts w:hint="eastAsia"/>
          <w:snapToGrid w:val="0"/>
          <w:kern w:val="0"/>
          <w:sz w:val="32"/>
          <w:szCs w:val="32"/>
          <w:lang w:eastAsia="zh-CN"/>
        </w:rPr>
      </w:pPr>
      <w:r>
        <w:rPr>
          <w:rFonts w:eastAsia="仿宋_GB2312"/>
          <w:snapToGrid w:val="0"/>
          <w:color w:val="000000"/>
          <w:kern w:val="0"/>
          <w:sz w:val="32"/>
          <w:szCs w:val="32"/>
        </w:rPr>
        <w:t>根据年度主要任务，我</w:t>
      </w:r>
      <w:r>
        <w:rPr>
          <w:rFonts w:hint="eastAsia" w:eastAsia="仿宋_GB2312"/>
          <w:snapToGrid w:val="0"/>
          <w:color w:val="000000"/>
          <w:kern w:val="0"/>
          <w:sz w:val="32"/>
          <w:szCs w:val="32"/>
          <w:lang w:eastAsia="zh-CN"/>
        </w:rPr>
        <w:t>局</w:t>
      </w:r>
      <w:r>
        <w:rPr>
          <w:rFonts w:eastAsia="仿宋_GB2312"/>
          <w:snapToGrid w:val="0"/>
          <w:color w:val="000000"/>
          <w:kern w:val="0"/>
          <w:sz w:val="32"/>
          <w:szCs w:val="32"/>
        </w:rPr>
        <w:t>从数量指标、质量指标、时效指标、</w:t>
      </w:r>
      <w:r>
        <w:rPr>
          <w:rFonts w:hint="eastAsia" w:eastAsia="仿宋_GB2312"/>
          <w:snapToGrid w:val="0"/>
          <w:color w:val="000000"/>
          <w:kern w:val="0"/>
          <w:sz w:val="32"/>
          <w:szCs w:val="32"/>
          <w:lang w:eastAsia="zh-CN"/>
        </w:rPr>
        <w:t>成本指标、</w:t>
      </w:r>
      <w:r>
        <w:rPr>
          <w:rFonts w:eastAsia="仿宋_GB2312"/>
          <w:snapToGrid w:val="0"/>
          <w:color w:val="000000"/>
          <w:kern w:val="0"/>
          <w:sz w:val="32"/>
          <w:szCs w:val="32"/>
        </w:rPr>
        <w:t>社会效益指标、</w:t>
      </w:r>
      <w:r>
        <w:rPr>
          <w:rFonts w:hint="eastAsia" w:eastAsia="仿宋_GB2312"/>
          <w:snapToGrid w:val="0"/>
          <w:color w:val="000000"/>
          <w:kern w:val="0"/>
          <w:sz w:val="32"/>
          <w:szCs w:val="32"/>
          <w:lang w:eastAsia="zh-CN"/>
        </w:rPr>
        <w:t>可持续影响指标、</w:t>
      </w:r>
      <w:r>
        <w:rPr>
          <w:rFonts w:eastAsia="仿宋_GB2312"/>
          <w:snapToGrid w:val="0"/>
          <w:color w:val="000000"/>
          <w:kern w:val="0"/>
          <w:sz w:val="32"/>
          <w:szCs w:val="32"/>
        </w:rPr>
        <w:t>满意度指标</w:t>
      </w:r>
      <w:r>
        <w:rPr>
          <w:rFonts w:hint="eastAsia" w:eastAsia="仿宋_GB2312"/>
          <w:snapToGrid w:val="0"/>
          <w:color w:val="000000"/>
          <w:kern w:val="0"/>
          <w:sz w:val="32"/>
          <w:szCs w:val="32"/>
          <w:lang w:eastAsia="zh-CN"/>
        </w:rPr>
        <w:t>七</w:t>
      </w:r>
      <w:r>
        <w:rPr>
          <w:rFonts w:eastAsia="仿宋_GB2312"/>
          <w:snapToGrid w:val="0"/>
          <w:color w:val="000000"/>
          <w:kern w:val="0"/>
          <w:sz w:val="32"/>
          <w:szCs w:val="32"/>
        </w:rPr>
        <w:t>个方面细化了绩效指标，涵盖了就业、社保、人才人事、劳动关系等职能职责。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72" w:name="_Toc15942_WPSOffice_Level2"/>
      <w:bookmarkStart w:id="73" w:name="_Toc11484_WPSOffice_Level2"/>
      <w:bookmarkStart w:id="74" w:name="_Toc26103_WPSOffice_Level2"/>
      <w:r>
        <w:rPr>
          <w:rFonts w:hint="eastAsia" w:ascii="黑体" w:hAnsi="黑体" w:eastAsia="黑体" w:cs="黑体"/>
          <w:i w:val="0"/>
          <w:caps w:val="0"/>
          <w:color w:val="000000" w:themeColor="text1"/>
          <w:spacing w:val="0"/>
          <w:sz w:val="32"/>
          <w:szCs w:val="32"/>
          <w14:textFill>
            <w14:solidFill>
              <w14:schemeClr w14:val="tx1"/>
            </w14:solidFill>
          </w14:textFill>
        </w:rPr>
        <w:t>二、部门资金收支情况</w:t>
      </w:r>
      <w:bookmarkEnd w:id="72"/>
      <w:bookmarkEnd w:id="73"/>
      <w:bookmarkEnd w:id="7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（一）部门总体收支情况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部门总体收入情况。</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年度收</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入</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总计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3273.84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与202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年相比，</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增加</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26.31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增长</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0.81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部门总体支出情况。</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年度</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支出合计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3173.25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与202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年相比，</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减少</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72.29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下降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2.23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default"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3.部门总体结转结余情况。</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年末结转和结余100.59万元。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二</w:t>
      </w: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）部门财政</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拨款</w:t>
      </w: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收</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支</w:t>
      </w: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1.部门财政拨款收入情况。</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年财政拨款收</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入</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总计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2964.74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与202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年相比，减少</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281.99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万元，下降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8.69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2.部门财政拨款支出情况。</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年财政拨款</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支出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总计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2964.74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与202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年相比，减少</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281.99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万元，下降</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8.69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3.部门财政拨款结转结余情况。</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无。</w:t>
      </w:r>
      <w:bookmarkStart w:id="75" w:name="_Toc3359_WPSOffice_Level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i w:val="0"/>
          <w:caps w:val="0"/>
          <w:color w:val="000000" w:themeColor="text1"/>
          <w:spacing w:val="0"/>
          <w:sz w:val="32"/>
          <w:szCs w:val="32"/>
          <w:lang w:eastAsia="zh-CN"/>
          <w14:textFill>
            <w14:solidFill>
              <w14:schemeClr w14:val="tx1"/>
            </w14:solidFill>
          </w14:textFill>
        </w:rPr>
      </w:pPr>
      <w:bookmarkStart w:id="76" w:name="_Toc31705_WPSOffice_Level2"/>
      <w:bookmarkStart w:id="77" w:name="_Toc28429_WPSOffice_Level2"/>
      <w:r>
        <w:rPr>
          <w:rFonts w:hint="eastAsia" w:ascii="黑体" w:hAnsi="黑体" w:eastAsia="黑体" w:cs="黑体"/>
          <w:i w:val="0"/>
          <w:caps w:val="0"/>
          <w:color w:val="000000" w:themeColor="text1"/>
          <w:spacing w:val="0"/>
          <w:sz w:val="32"/>
          <w:szCs w:val="32"/>
          <w14:textFill>
            <w14:solidFill>
              <w14:schemeClr w14:val="tx1"/>
            </w14:solidFill>
          </w14:textFill>
        </w:rPr>
        <w:t>三、部门整体绩效</w:t>
      </w:r>
      <w:bookmarkEnd w:id="75"/>
      <w:r>
        <w:rPr>
          <w:rFonts w:hint="eastAsia" w:ascii="黑体" w:hAnsi="黑体" w:eastAsia="黑体" w:cs="黑体"/>
          <w:i w:val="0"/>
          <w:caps w:val="0"/>
          <w:color w:val="000000" w:themeColor="text1"/>
          <w:spacing w:val="0"/>
          <w:sz w:val="32"/>
          <w:szCs w:val="32"/>
          <w:lang w:eastAsia="zh-CN"/>
          <w14:textFill>
            <w14:solidFill>
              <w14:schemeClr w14:val="tx1"/>
            </w14:solidFill>
          </w14:textFill>
        </w:rPr>
        <w:t>分析</w:t>
      </w:r>
      <w:bookmarkEnd w:id="76"/>
      <w:bookmarkEnd w:id="7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（一）部门预算项目绩效</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分析</w:t>
      </w: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w:t>
      </w:r>
    </w:p>
    <w:p>
      <w:pPr>
        <w:adjustRightInd w:val="0"/>
        <w:snapToGrid w:val="0"/>
        <w:spacing w:line="600" w:lineRule="exact"/>
        <w:ind w:left="105" w:leftChars="50" w:firstLine="643" w:firstLineChars="200"/>
        <w:jc w:val="both"/>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lang w:val="en-US" w:eastAsia="zh-CN"/>
          <w14:textFill>
            <w14:solidFill>
              <w14:schemeClr w14:val="tx1"/>
            </w14:solidFill>
          </w14:textFill>
        </w:rPr>
        <w:t>1.人员类项目绩效分析。</w:t>
      </w:r>
      <w:r>
        <w:rPr>
          <w:rFonts w:hint="eastAsia" w:ascii="仿宋_GB2312" w:hAnsi="仿宋_GB2312" w:eastAsia="仿宋_GB2312" w:cs="仿宋_GB2312"/>
          <w:kern w:val="0"/>
          <w:sz w:val="32"/>
          <w:szCs w:val="32"/>
        </w:rPr>
        <w:t>按照《市本级基本支出预算管理办法》等有关规定，采取人员经费按标准的方法，根据单位性质和执行工资制度等情况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据实编制人员支出</w:t>
      </w:r>
      <w:r>
        <w:rPr>
          <w:rFonts w:hint="eastAsia" w:ascii="仿宋_GB2312" w:hAnsi="仿宋_GB2312" w:eastAsia="仿宋_GB2312" w:cs="仿宋_GB2312"/>
          <w:kern w:val="0"/>
          <w:sz w:val="32"/>
          <w:szCs w:val="32"/>
          <w:lang w:eastAsia="zh-CN"/>
        </w:rPr>
        <w:t>并制定了绩效目标</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项目全年预算数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2180.61</w:t>
      </w:r>
      <w:r>
        <w:rPr>
          <w:rFonts w:hint="eastAsia" w:ascii="仿宋_GB2312" w:hAnsi="仿宋_GB2312" w:eastAsia="仿宋_GB2312" w:cs="仿宋_GB2312"/>
          <w:color w:val="000000" w:themeColor="text1"/>
          <w:sz w:val="32"/>
          <w:szCs w:val="32"/>
          <w14:textFill>
            <w14:solidFill>
              <w14:schemeClr w14:val="tx1"/>
            </w14:solidFill>
          </w14:textFill>
        </w:rPr>
        <w:t>万元，执行数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2180.61</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无资金结余，预算执行率</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。通过项目实施，</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保障了本部门</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名财政供养人员的工资、五险一金、生活补助、医疗费补助等</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及时、足额发放</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无违规记录。</w:t>
      </w:r>
    </w:p>
    <w:p>
      <w:pPr>
        <w:adjustRightInd w:val="0"/>
        <w:snapToGrid w:val="0"/>
        <w:spacing w:line="600" w:lineRule="exact"/>
        <w:ind w:left="105" w:leftChars="50" w:firstLine="643" w:firstLineChars="200"/>
        <w:jc w:val="both"/>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lang w:val="en-US" w:eastAsia="zh-CN"/>
          <w14:textFill>
            <w14:solidFill>
              <w14:schemeClr w14:val="tx1"/>
            </w14:solidFill>
          </w14:textFill>
        </w:rPr>
        <w:t>2.运转类</w:t>
      </w:r>
      <w:r>
        <w:rPr>
          <w:rFonts w:hint="eastAsia" w:ascii="仿宋_GB2312" w:hAnsi="仿宋_GB2312" w:eastAsia="仿宋_GB2312" w:cs="仿宋_GB2312"/>
          <w:b/>
          <w:bCs/>
          <w:color w:val="000000" w:themeColor="text1"/>
          <w:sz w:val="32"/>
          <w:szCs w:val="32"/>
          <w14:textFill>
            <w14:solidFill>
              <w14:schemeClr w14:val="tx1"/>
            </w14:solidFill>
          </w14:textFill>
        </w:rPr>
        <w:t>项目绩效</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分析</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2022年度运转类项目全部为</w:t>
      </w:r>
      <w:r>
        <w:rPr>
          <w:rFonts w:hint="eastAsia" w:ascii="仿宋_GB2312" w:hAnsi="仿宋_GB2312" w:eastAsia="仿宋_GB2312" w:cs="仿宋_GB2312"/>
          <w:kern w:val="0"/>
          <w:sz w:val="32"/>
          <w:szCs w:val="32"/>
        </w:rPr>
        <w:t>公用经费</w:t>
      </w:r>
      <w:r>
        <w:rPr>
          <w:rFonts w:hint="eastAsia" w:ascii="仿宋_GB2312" w:hAnsi="仿宋_GB2312" w:eastAsia="仿宋_GB2312" w:cs="仿宋_GB2312"/>
          <w:kern w:val="0"/>
          <w:sz w:val="32"/>
          <w:szCs w:val="32"/>
          <w:lang w:eastAsia="zh-CN"/>
        </w:rPr>
        <w:t>，按照定额标准和“</w:t>
      </w:r>
      <w:r>
        <w:rPr>
          <w:rFonts w:hint="eastAsia" w:ascii="仿宋_GB2312" w:hAnsi="仿宋_GB2312" w:eastAsia="仿宋_GB2312" w:cs="仿宋_GB2312"/>
          <w:kern w:val="0"/>
          <w:sz w:val="32"/>
          <w:szCs w:val="32"/>
        </w:rPr>
        <w:t>厉行节约、保障必需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的原则编制</w:t>
      </w:r>
      <w:r>
        <w:rPr>
          <w:rFonts w:hint="eastAsia" w:ascii="仿宋_GB2312" w:hAnsi="仿宋_GB2312" w:eastAsia="仿宋_GB2312" w:cs="仿宋_GB2312"/>
          <w:kern w:val="0"/>
          <w:sz w:val="32"/>
          <w:szCs w:val="32"/>
          <w:lang w:eastAsia="zh-CN"/>
        </w:rPr>
        <w:t>支出并制定了绩效目标。</w:t>
      </w:r>
      <w:r>
        <w:rPr>
          <w:rFonts w:hint="eastAsia" w:ascii="仿宋_GB2312" w:hAnsi="仿宋_GB2312" w:eastAsia="仿宋_GB2312" w:cs="仿宋_GB2312"/>
          <w:color w:val="000000" w:themeColor="text1"/>
          <w:sz w:val="32"/>
          <w:szCs w:val="32"/>
          <w14:textFill>
            <w14:solidFill>
              <w14:schemeClr w14:val="tx1"/>
            </w14:solidFill>
          </w14:textFill>
        </w:rPr>
        <w:t>项目全年预算数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w:t>
      </w:r>
      <w:r>
        <w:rPr>
          <w:rFonts w:hint="eastAsia" w:ascii="仿宋_GB2312" w:hAnsi="仿宋_GB2312" w:eastAsia="仿宋_GB2312" w:cs="仿宋_GB2312"/>
          <w:color w:val="000000" w:themeColor="text1"/>
          <w:sz w:val="32"/>
          <w:szCs w:val="32"/>
          <w14:textFill>
            <w14:solidFill>
              <w14:schemeClr w14:val="tx1"/>
            </w14:solidFill>
          </w14:textFill>
        </w:rPr>
        <w:t>万元，执行数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无资金结余，预算执行率</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通过项目实施，</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保障了</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部门</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7家单位（局机关及所属二级预算单位）日常公用支出</w:t>
      </w:r>
      <w:r>
        <w:rPr>
          <w:rFonts w:hint="eastAsia" w:ascii="仿宋_GB2312" w:hAnsi="仿宋_GB2312" w:eastAsia="仿宋_GB2312" w:cs="仿宋_GB2312"/>
          <w:color w:val="000000" w:themeColor="text1"/>
          <w:kern w:val="0"/>
          <w:sz w:val="32"/>
          <w:szCs w:val="32"/>
          <w14:textFill>
            <w14:solidFill>
              <w14:schemeClr w14:val="tx1"/>
            </w14:solidFill>
          </w14:textFill>
        </w:rPr>
        <w:t>和单位基本运转。</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无违规记录。</w:t>
      </w:r>
    </w:p>
    <w:p>
      <w:pPr>
        <w:autoSpaceDE w:val="0"/>
        <w:autoSpaceDN w:val="0"/>
        <w:adjustRightInd w:val="0"/>
        <w:spacing w:line="580" w:lineRule="exact"/>
        <w:ind w:firstLine="643" w:firstLineChars="200"/>
        <w:jc w:val="both"/>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特定目标类项目绩效分析。</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围绕市委市政府重点工作安排和人社事业年度发展计划，</w:t>
      </w:r>
      <w:r>
        <w:rPr>
          <w:rFonts w:hint="eastAsia" w:ascii="仿宋_GB2312" w:hAnsi="仿宋_GB2312" w:eastAsia="仿宋_GB2312" w:cs="仿宋_GB2312"/>
          <w:kern w:val="0"/>
          <w:sz w:val="32"/>
          <w:szCs w:val="32"/>
        </w:rPr>
        <w:t>完整编制项目信息，</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强化绩效目标的科学合理，</w:t>
      </w:r>
      <w:r>
        <w:rPr>
          <w:rFonts w:hint="eastAsia" w:ascii="仿宋_GB2312" w:hAnsi="仿宋_GB2312" w:eastAsia="仿宋_GB2312" w:cs="仿宋_GB2312"/>
          <w:kern w:val="0"/>
          <w:sz w:val="32"/>
          <w:szCs w:val="32"/>
        </w:rPr>
        <w:t>进一步</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细化量化，逐一落实到项目完成指标、效益指标、满意度指标等三级指标</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kern w:val="0"/>
          <w:sz w:val="32"/>
          <w:szCs w:val="32"/>
        </w:rPr>
        <w:t>履行集体决策程序后合理排序纳入项目库管理。</w:t>
      </w:r>
      <w:r>
        <w:rPr>
          <w:rFonts w:hint="eastAsia" w:ascii="仿宋_GB2312" w:hAnsi="仿宋_GB2312" w:eastAsia="仿宋_GB2312" w:cs="仿宋_GB2312"/>
          <w:color w:val="000000" w:themeColor="text1"/>
          <w:sz w:val="32"/>
          <w:szCs w:val="32"/>
          <w14:textFill>
            <w14:solidFill>
              <w14:schemeClr w14:val="tx1"/>
            </w14:solidFill>
          </w14:textFill>
        </w:rPr>
        <w:t>项目全年预算数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581.81</w:t>
      </w:r>
      <w:r>
        <w:rPr>
          <w:rFonts w:hint="eastAsia" w:ascii="仿宋_GB2312" w:hAnsi="仿宋_GB2312" w:eastAsia="仿宋_GB2312" w:cs="仿宋_GB2312"/>
          <w:color w:val="000000" w:themeColor="text1"/>
          <w:sz w:val="32"/>
          <w:szCs w:val="32"/>
          <w14:textFill>
            <w14:solidFill>
              <w14:schemeClr w14:val="tx1"/>
            </w14:solidFill>
          </w14:textFill>
        </w:rPr>
        <w:t>万元，执行数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581.81</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无资金结余，预算执行率</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通过项目实施，</w:t>
      </w:r>
      <w:r>
        <w:rPr>
          <w:rFonts w:hint="eastAsia" w:eastAsia="仿宋_GB2312"/>
          <w:kern w:val="0"/>
          <w:sz w:val="32"/>
          <w:szCs w:val="32"/>
        </w:rPr>
        <w:t>完成</w:t>
      </w:r>
      <w:r>
        <w:rPr>
          <w:rFonts w:hint="eastAsia" w:eastAsia="仿宋_GB2312"/>
          <w:kern w:val="0"/>
          <w:sz w:val="32"/>
          <w:szCs w:val="32"/>
          <w:lang w:eastAsia="zh-CN"/>
        </w:rPr>
        <w:t>了</w:t>
      </w:r>
      <w:r>
        <w:rPr>
          <w:rFonts w:hint="eastAsia" w:eastAsia="仿宋_GB2312"/>
          <w:kern w:val="0"/>
          <w:sz w:val="32"/>
          <w:szCs w:val="32"/>
        </w:rPr>
        <w:t>特定工作任务和事业发展目标发生的项目支</w:t>
      </w:r>
      <w:r>
        <w:rPr>
          <w:rFonts w:hint="eastAsia" w:eastAsia="仿宋_GB2312"/>
          <w:kern w:val="0"/>
          <w:sz w:val="32"/>
          <w:szCs w:val="32"/>
          <w:lang w:eastAsia="zh-CN"/>
        </w:rPr>
        <w:t>出，</w:t>
      </w:r>
      <w:r>
        <w:rPr>
          <w:rFonts w:hint="eastAsia" w:ascii="仿宋_GB2312" w:hAnsi="仿宋_GB2312" w:eastAsia="仿宋_GB2312" w:cs="仿宋_GB2312"/>
          <w:color w:val="000000" w:themeColor="text1"/>
          <w:sz w:val="32"/>
          <w:szCs w:val="32"/>
          <w:lang w:eastAsia="zh-CN"/>
          <w14:textFill>
            <w14:solidFill>
              <w14:schemeClr w14:val="tx1"/>
            </w14:solidFill>
          </w14:textFill>
        </w:rPr>
        <w:t>保障了</w:t>
      </w:r>
      <w:r>
        <w:rPr>
          <w:rFonts w:hint="eastAsia" w:ascii="仿宋_GB2312" w:hAnsi="仿宋_GB2312" w:eastAsia="仿宋_GB2312" w:cs="仿宋_GB2312"/>
          <w:bCs/>
          <w:color w:val="000000" w:themeColor="text1"/>
          <w:kern w:val="0"/>
          <w:sz w:val="32"/>
          <w:szCs w:val="32"/>
          <w14:textFill>
            <w14:solidFill>
              <w14:schemeClr w14:val="tx1"/>
            </w14:solidFill>
          </w14:textFill>
        </w:rPr>
        <w:t>部门各项工作任务</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bCs/>
          <w:color w:val="000000" w:themeColor="text1"/>
          <w:kern w:val="0"/>
          <w:sz w:val="32"/>
          <w:szCs w:val="32"/>
          <w14:textFill>
            <w14:solidFill>
              <w14:schemeClr w14:val="tx1"/>
            </w14:solidFill>
          </w14:textFill>
        </w:rPr>
        <w:t>顺利</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开展，业务</w:t>
      </w:r>
      <w:r>
        <w:rPr>
          <w:rFonts w:hint="eastAsia" w:ascii="仿宋_GB2312" w:hAnsi="仿宋_GB2312" w:eastAsia="仿宋_GB2312" w:cs="仿宋_GB2312"/>
          <w:bCs/>
          <w:color w:val="000000" w:themeColor="text1"/>
          <w:kern w:val="0"/>
          <w:sz w:val="32"/>
          <w:szCs w:val="32"/>
          <w14:textFill>
            <w14:solidFill>
              <w14:schemeClr w14:val="tx1"/>
            </w14:solidFill>
          </w14:textFill>
        </w:rPr>
        <w:t>运行率100%。</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无违规记录。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（二）部门整体履职绩效分析。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eastAsia="仿宋_GB2312"/>
          <w:color w:val="000000"/>
          <w:sz w:val="32"/>
          <w:szCs w:val="32"/>
          <w:lang w:val="en-US" w:eastAsia="zh-CN"/>
        </w:rPr>
        <w:t>2022</w:t>
      </w:r>
      <w:r>
        <w:rPr>
          <w:rFonts w:eastAsia="仿宋_GB2312"/>
          <w:color w:val="000000"/>
          <w:sz w:val="32"/>
          <w:szCs w:val="32"/>
        </w:rPr>
        <w:t>年，在市委</w:t>
      </w:r>
      <w:r>
        <w:rPr>
          <w:rFonts w:hint="default" w:eastAsia="仿宋_GB2312"/>
          <w:color w:val="000000"/>
          <w:sz w:val="32"/>
          <w:szCs w:val="32"/>
          <w:rPrChange w:id="0" w:author="杨诗涵" w:date="2023-03-14T15:26:00Z">
            <w:rPr>
              <w:rFonts w:hint="eastAsia" w:eastAsia="仿宋_GB2312"/>
              <w:color w:val="000000"/>
              <w:sz w:val="32"/>
              <w:szCs w:val="32"/>
            </w:rPr>
          </w:rPrChange>
        </w:rPr>
        <w:t>、</w:t>
      </w:r>
      <w:r>
        <w:rPr>
          <w:rFonts w:eastAsia="仿宋_GB2312"/>
          <w:color w:val="000000"/>
          <w:sz w:val="32"/>
          <w:szCs w:val="32"/>
        </w:rPr>
        <w:t>市政府的坚强领导下，在</w:t>
      </w:r>
      <w:r>
        <w:rPr>
          <w:rFonts w:hint="default" w:eastAsia="仿宋_GB2312"/>
          <w:color w:val="000000"/>
          <w:sz w:val="32"/>
          <w:szCs w:val="32"/>
          <w:rPrChange w:id="1" w:author="杨诗涵" w:date="2023-03-14T15:26:00Z">
            <w:rPr>
              <w:rFonts w:hint="eastAsia" w:eastAsia="仿宋_GB2312"/>
              <w:color w:val="000000"/>
              <w:sz w:val="32"/>
              <w:szCs w:val="32"/>
            </w:rPr>
          </w:rPrChange>
        </w:rPr>
        <w:t>人力资源社会保障</w:t>
      </w:r>
      <w:r>
        <w:rPr>
          <w:rFonts w:eastAsia="仿宋_GB2312"/>
          <w:color w:val="000000"/>
          <w:sz w:val="32"/>
          <w:szCs w:val="32"/>
        </w:rPr>
        <w:t>厅的帮助指导下，</w:t>
      </w:r>
      <w:r>
        <w:rPr>
          <w:rFonts w:hint="default" w:eastAsia="仿宋_GB2312"/>
          <w:color w:val="000000"/>
          <w:sz w:val="32"/>
          <w:szCs w:val="32"/>
          <w:rPrChange w:id="2" w:author="杨诗涵" w:date="2023-03-14T15:26:00Z">
            <w:rPr>
              <w:rFonts w:hint="eastAsia" w:eastAsia="仿宋_GB2312"/>
              <w:color w:val="000000"/>
              <w:sz w:val="32"/>
              <w:szCs w:val="32"/>
            </w:rPr>
          </w:rPrChange>
        </w:rPr>
        <w:t>在各个市级部门协同配合下，</w:t>
      </w:r>
      <w:r>
        <w:rPr>
          <w:rFonts w:eastAsia="仿宋_GB2312"/>
          <w:color w:val="000000"/>
          <w:sz w:val="32"/>
          <w:szCs w:val="32"/>
        </w:rPr>
        <w:t>全市人社系统</w:t>
      </w:r>
      <w:r>
        <w:rPr>
          <w:rFonts w:hint="default" w:eastAsia="仿宋_GB2312"/>
          <w:color w:val="000000"/>
          <w:sz w:val="32"/>
          <w:szCs w:val="32"/>
          <w:rPrChange w:id="3" w:author="杨诗涵" w:date="2023-03-14T15:26:00Z">
            <w:rPr>
              <w:rFonts w:hint="eastAsia" w:eastAsia="仿宋_GB2312"/>
              <w:color w:val="000000"/>
              <w:sz w:val="32"/>
              <w:szCs w:val="32"/>
            </w:rPr>
          </w:rPrChange>
        </w:rPr>
        <w:t>同心同德、毅勇前行，</w:t>
      </w:r>
      <w:r>
        <w:rPr>
          <w:rFonts w:eastAsia="仿宋_GB2312"/>
          <w:color w:val="000000"/>
          <w:sz w:val="32"/>
          <w:szCs w:val="32"/>
        </w:rPr>
        <w:t>坚定以习近平新时代中国特色社会主义思想为指导，坚决贯彻全国全省人社工作会议精神，深入实施市委总体发展战略，把迎接和学习宣传贯彻党的二十大、省第十二次党代会作为重大政治任务和工作主题主线，统筹疫情防控和人社事业发展，坚持以人民为中心，服务保障民生，全力为群众办好事、为发展做实事、为党委政府分忧解难，狠抓制度化、规范化、科学化，推进服务保障能力提升、风险防控体系建设、调查研究成果转化、项目攻坚突破等重点任务，大力保稳定、保就业、保发放，基层就业服务、工伤预防、规划财务、温暖人社等工作处于全省第一方阵，圆满完成全年各项目标任务，先后获得全省农民工工作先进集体、全国清理整顿人力资源市场秩序专项行动</w:t>
      </w:r>
      <w:r>
        <w:rPr>
          <w:rFonts w:hint="eastAsia" w:eastAsia="仿宋_GB2312"/>
          <w:color w:val="000000"/>
          <w:sz w:val="32"/>
          <w:szCs w:val="32"/>
          <w:lang w:eastAsia="zh-CN"/>
        </w:rPr>
        <w:t>突出成绩单位等多项荣誉。</w:t>
      </w:r>
      <w:r>
        <w:rPr>
          <w:rFonts w:eastAsia="仿宋_GB2312"/>
          <w:snapToGrid w:val="0"/>
          <w:color w:val="000000"/>
          <w:kern w:val="0"/>
          <w:sz w:val="32"/>
          <w:szCs w:val="32"/>
        </w:rPr>
        <w:t>年初设定</w:t>
      </w:r>
      <w:r>
        <w:rPr>
          <w:rFonts w:hint="eastAsia" w:eastAsia="仿宋_GB2312"/>
          <w:snapToGrid w:val="0"/>
          <w:color w:val="000000"/>
          <w:kern w:val="0"/>
          <w:sz w:val="32"/>
          <w:szCs w:val="32"/>
          <w:lang w:eastAsia="zh-CN"/>
        </w:rPr>
        <w:t>的</w:t>
      </w:r>
      <w:r>
        <w:rPr>
          <w:rFonts w:eastAsia="仿宋_GB2312"/>
          <w:snapToGrid w:val="0"/>
          <w:color w:val="000000"/>
          <w:kern w:val="0"/>
          <w:sz w:val="32"/>
          <w:szCs w:val="32"/>
        </w:rPr>
        <w:t>绩效</w:t>
      </w:r>
      <w:r>
        <w:rPr>
          <w:rFonts w:hint="eastAsia" w:eastAsia="仿宋_GB2312"/>
          <w:snapToGrid w:val="0"/>
          <w:color w:val="000000"/>
          <w:kern w:val="0"/>
          <w:sz w:val="32"/>
          <w:szCs w:val="32"/>
          <w:lang w:eastAsia="zh-CN"/>
        </w:rPr>
        <w:t>目标如期完成</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，有效发挥财政资金的使用绩效。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三</w:t>
      </w: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）结果应用情况。</w:t>
      </w:r>
    </w:p>
    <w:p>
      <w:pPr>
        <w:adjustRightInd w:val="0"/>
        <w:snapToGrid w:val="0"/>
        <w:spacing w:line="576" w:lineRule="exact"/>
        <w:ind w:firstLine="643" w:firstLineChars="200"/>
        <w:jc w:val="both"/>
        <w:rPr>
          <w:rFonts w:eastAsia="仿宋_GB2312"/>
          <w:bCs/>
          <w:snapToGrid w:val="0"/>
          <w:kern w:val="0"/>
          <w:sz w:val="32"/>
          <w:szCs w:val="32"/>
          <w:shd w:val="clear" w:color="auto" w:fill="FFFFFF"/>
          <w:lang w:val="zh-CN"/>
        </w:rPr>
      </w:pPr>
      <w:r>
        <w:rPr>
          <w:rFonts w:eastAsia="仿宋_GB2312"/>
          <w:b/>
          <w:bCs w:val="0"/>
          <w:snapToGrid w:val="0"/>
          <w:kern w:val="0"/>
          <w:sz w:val="32"/>
          <w:szCs w:val="32"/>
          <w:shd w:val="clear" w:color="auto" w:fill="FFFFFF"/>
          <w:lang w:val="zh-CN"/>
        </w:rPr>
        <w:t>1.内部应用</w:t>
      </w:r>
      <w:r>
        <w:rPr>
          <w:rFonts w:hint="eastAsia" w:eastAsia="仿宋_GB2312"/>
          <w:b/>
          <w:bCs w:val="0"/>
          <w:snapToGrid w:val="0"/>
          <w:kern w:val="0"/>
          <w:sz w:val="32"/>
          <w:szCs w:val="32"/>
          <w:shd w:val="clear" w:color="auto" w:fill="FFFFFF"/>
          <w:lang w:val="zh-CN"/>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将2021年预算执行及评价结果运用到2022年部门预算编制中，优化了项目支出结构。</w:t>
      </w:r>
      <w:r>
        <w:rPr>
          <w:rFonts w:eastAsia="仿宋_GB2312"/>
          <w:bCs/>
          <w:snapToGrid w:val="0"/>
          <w:kern w:val="0"/>
          <w:sz w:val="32"/>
          <w:szCs w:val="32"/>
          <w:shd w:val="clear" w:color="auto" w:fill="FFFFFF"/>
          <w:lang w:val="zh-CN"/>
        </w:rPr>
        <w:t>项目绩效与预算资金安排挂钩；项目实施不及效果、预算执行进度不符要求的，进行通报</w:t>
      </w:r>
      <w:r>
        <w:rPr>
          <w:rFonts w:hint="eastAsia" w:eastAsia="仿宋_GB2312"/>
          <w:bCs/>
          <w:snapToGrid w:val="0"/>
          <w:kern w:val="0"/>
          <w:sz w:val="32"/>
          <w:szCs w:val="32"/>
          <w:shd w:val="clear" w:color="auto" w:fill="FFFFFF"/>
          <w:lang w:val="zh-CN"/>
        </w:rPr>
        <w:t>；</w:t>
      </w:r>
      <w:r>
        <w:rPr>
          <w:rFonts w:eastAsia="仿宋_GB2312"/>
          <w:bCs/>
          <w:snapToGrid w:val="0"/>
          <w:kern w:val="0"/>
          <w:sz w:val="32"/>
          <w:szCs w:val="32"/>
          <w:shd w:val="clear" w:color="auto" w:fill="FFFFFF"/>
          <w:lang w:val="zh-CN"/>
        </w:rPr>
        <w:t>对于造成财政资金损失的，按照有关规定追究责任。</w:t>
      </w:r>
    </w:p>
    <w:p>
      <w:pPr>
        <w:adjustRightInd w:val="0"/>
        <w:snapToGrid w:val="0"/>
        <w:spacing w:line="576" w:lineRule="exact"/>
        <w:ind w:firstLine="643" w:firstLineChars="200"/>
        <w:jc w:val="both"/>
        <w:rPr>
          <w:rFonts w:eastAsia="仿宋_GB2312"/>
          <w:bCs/>
          <w:snapToGrid w:val="0"/>
          <w:kern w:val="0"/>
          <w:sz w:val="32"/>
          <w:szCs w:val="32"/>
          <w:shd w:val="clear" w:color="auto" w:fill="FFFFFF"/>
          <w:lang w:val="zh-CN"/>
        </w:rPr>
      </w:pPr>
      <w:r>
        <w:rPr>
          <w:rFonts w:eastAsia="仿宋_GB2312"/>
          <w:b/>
          <w:bCs w:val="0"/>
          <w:snapToGrid w:val="0"/>
          <w:kern w:val="0"/>
          <w:sz w:val="32"/>
          <w:szCs w:val="32"/>
          <w:shd w:val="clear" w:color="auto" w:fill="FFFFFF"/>
          <w:lang w:val="zh-CN"/>
        </w:rPr>
        <w:t>2.信息公</w:t>
      </w:r>
      <w:r>
        <w:rPr>
          <w:rFonts w:hint="eastAsia" w:eastAsia="仿宋_GB2312"/>
          <w:b/>
          <w:bCs w:val="0"/>
          <w:snapToGrid w:val="0"/>
          <w:kern w:val="0"/>
          <w:sz w:val="32"/>
          <w:szCs w:val="32"/>
          <w:shd w:val="clear" w:color="auto" w:fill="FFFFFF"/>
          <w:lang w:val="zh-CN"/>
        </w:rPr>
        <w:t>开。</w:t>
      </w:r>
      <w:r>
        <w:rPr>
          <w:rFonts w:eastAsia="仿宋_GB2312"/>
          <w:bCs/>
          <w:snapToGrid w:val="0"/>
          <w:kern w:val="0"/>
          <w:sz w:val="32"/>
          <w:szCs w:val="32"/>
          <w:shd w:val="clear" w:color="auto" w:fill="FFFFFF"/>
          <w:lang w:val="zh-CN"/>
        </w:rPr>
        <w:t>202</w:t>
      </w:r>
      <w:r>
        <w:rPr>
          <w:rFonts w:eastAsia="仿宋_GB2312"/>
          <w:bCs/>
          <w:snapToGrid w:val="0"/>
          <w:kern w:val="0"/>
          <w:sz w:val="32"/>
          <w:szCs w:val="32"/>
          <w:shd w:val="clear" w:color="auto" w:fill="FFFFFF"/>
        </w:rPr>
        <w:t>2</w:t>
      </w:r>
      <w:r>
        <w:rPr>
          <w:rFonts w:eastAsia="仿宋_GB2312"/>
          <w:bCs/>
          <w:snapToGrid w:val="0"/>
          <w:kern w:val="0"/>
          <w:sz w:val="32"/>
          <w:szCs w:val="32"/>
          <w:shd w:val="clear" w:color="auto" w:fill="FFFFFF"/>
          <w:lang w:val="zh-CN"/>
        </w:rPr>
        <w:t>年</w:t>
      </w:r>
      <w:r>
        <w:rPr>
          <w:rFonts w:hint="eastAsia" w:eastAsia="仿宋_GB2312"/>
          <w:bCs/>
          <w:snapToGrid w:val="0"/>
          <w:kern w:val="0"/>
          <w:sz w:val="32"/>
          <w:szCs w:val="32"/>
          <w:shd w:val="clear" w:color="auto" w:fill="FFFFFF"/>
          <w:lang w:val="en-US" w:eastAsia="zh-CN"/>
        </w:rPr>
        <w:t>2</w:t>
      </w:r>
      <w:r>
        <w:rPr>
          <w:rFonts w:eastAsia="仿宋_GB2312"/>
          <w:bCs/>
          <w:snapToGrid w:val="0"/>
          <w:kern w:val="0"/>
          <w:sz w:val="32"/>
          <w:szCs w:val="32"/>
          <w:shd w:val="clear" w:color="auto" w:fill="FFFFFF"/>
          <w:lang w:val="zh-CN"/>
        </w:rPr>
        <w:t>月在门户网站上公开的202</w:t>
      </w:r>
      <w:r>
        <w:rPr>
          <w:rFonts w:eastAsia="仿宋_GB2312"/>
          <w:bCs/>
          <w:snapToGrid w:val="0"/>
          <w:kern w:val="0"/>
          <w:sz w:val="32"/>
          <w:szCs w:val="32"/>
          <w:shd w:val="clear" w:color="auto" w:fill="FFFFFF"/>
        </w:rPr>
        <w:t>2</w:t>
      </w:r>
      <w:r>
        <w:rPr>
          <w:rFonts w:eastAsia="仿宋_GB2312"/>
          <w:bCs/>
          <w:snapToGrid w:val="0"/>
          <w:kern w:val="0"/>
          <w:sz w:val="32"/>
          <w:szCs w:val="32"/>
          <w:shd w:val="clear" w:color="auto" w:fill="FFFFFF"/>
          <w:lang w:val="zh-CN"/>
        </w:rPr>
        <w:t>年部门预算中同步公开</w:t>
      </w:r>
      <w:r>
        <w:rPr>
          <w:rFonts w:hint="eastAsia" w:eastAsia="仿宋_GB2312"/>
          <w:bCs/>
          <w:snapToGrid w:val="0"/>
          <w:kern w:val="0"/>
          <w:sz w:val="32"/>
          <w:szCs w:val="32"/>
          <w:shd w:val="clear" w:color="auto" w:fill="FFFFFF"/>
          <w:lang w:val="zh-CN"/>
        </w:rPr>
        <w:t>了</w:t>
      </w:r>
      <w:r>
        <w:rPr>
          <w:rFonts w:eastAsia="仿宋_GB2312"/>
          <w:bCs/>
          <w:snapToGrid w:val="0"/>
          <w:kern w:val="0"/>
          <w:sz w:val="32"/>
          <w:szCs w:val="32"/>
          <w:shd w:val="clear" w:color="auto" w:fill="FFFFFF"/>
          <w:lang w:val="zh-CN"/>
        </w:rPr>
        <w:t>绩效目标；202</w:t>
      </w:r>
      <w:r>
        <w:rPr>
          <w:rFonts w:eastAsia="仿宋_GB2312"/>
          <w:bCs/>
          <w:snapToGrid w:val="0"/>
          <w:kern w:val="0"/>
          <w:sz w:val="32"/>
          <w:szCs w:val="32"/>
          <w:shd w:val="clear" w:color="auto" w:fill="FFFFFF"/>
        </w:rPr>
        <w:t>2</w:t>
      </w:r>
      <w:r>
        <w:rPr>
          <w:rFonts w:eastAsia="仿宋_GB2312"/>
          <w:bCs/>
          <w:snapToGrid w:val="0"/>
          <w:kern w:val="0"/>
          <w:sz w:val="32"/>
          <w:szCs w:val="32"/>
          <w:shd w:val="clear" w:color="auto" w:fill="FFFFFF"/>
          <w:lang w:val="zh-CN"/>
        </w:rPr>
        <w:t>年</w:t>
      </w:r>
      <w:r>
        <w:rPr>
          <w:rFonts w:hint="eastAsia" w:eastAsia="仿宋_GB2312"/>
          <w:bCs/>
          <w:snapToGrid w:val="0"/>
          <w:kern w:val="0"/>
          <w:sz w:val="32"/>
          <w:szCs w:val="32"/>
          <w:shd w:val="clear" w:color="auto" w:fill="FFFFFF"/>
          <w:lang w:val="en-US" w:eastAsia="zh-CN"/>
        </w:rPr>
        <w:t>9</w:t>
      </w:r>
      <w:r>
        <w:rPr>
          <w:rFonts w:eastAsia="仿宋_GB2312"/>
          <w:bCs/>
          <w:snapToGrid w:val="0"/>
          <w:kern w:val="0"/>
          <w:sz w:val="32"/>
          <w:szCs w:val="32"/>
          <w:shd w:val="clear" w:color="auto" w:fill="FFFFFF"/>
          <w:lang w:val="zh-CN"/>
        </w:rPr>
        <w:t>月在</w:t>
      </w:r>
      <w:r>
        <w:rPr>
          <w:rFonts w:hint="eastAsia" w:eastAsia="仿宋_GB2312"/>
          <w:bCs/>
          <w:snapToGrid w:val="0"/>
          <w:kern w:val="0"/>
          <w:sz w:val="32"/>
          <w:szCs w:val="32"/>
          <w:shd w:val="clear" w:color="auto" w:fill="FFFFFF"/>
          <w:lang w:val="zh-CN"/>
        </w:rPr>
        <w:t>门户网站上</w:t>
      </w:r>
      <w:r>
        <w:rPr>
          <w:rFonts w:eastAsia="仿宋_GB2312"/>
          <w:bCs/>
          <w:snapToGrid w:val="0"/>
          <w:kern w:val="0"/>
          <w:sz w:val="32"/>
          <w:szCs w:val="32"/>
          <w:shd w:val="clear" w:color="auto" w:fill="FFFFFF"/>
          <w:lang w:val="zh-CN"/>
        </w:rPr>
        <w:t>公开的202</w:t>
      </w:r>
      <w:r>
        <w:rPr>
          <w:rFonts w:eastAsia="仿宋_GB2312"/>
          <w:bCs/>
          <w:snapToGrid w:val="0"/>
          <w:kern w:val="0"/>
          <w:sz w:val="32"/>
          <w:szCs w:val="32"/>
          <w:shd w:val="clear" w:color="auto" w:fill="FFFFFF"/>
        </w:rPr>
        <w:t>1</w:t>
      </w:r>
      <w:r>
        <w:rPr>
          <w:rFonts w:eastAsia="仿宋_GB2312"/>
          <w:bCs/>
          <w:snapToGrid w:val="0"/>
          <w:kern w:val="0"/>
          <w:sz w:val="32"/>
          <w:szCs w:val="32"/>
          <w:shd w:val="clear" w:color="auto" w:fill="FFFFFF"/>
          <w:lang w:val="zh-CN"/>
        </w:rPr>
        <w:t>年部门决算中同步公开202</w:t>
      </w:r>
      <w:r>
        <w:rPr>
          <w:rFonts w:eastAsia="仿宋_GB2312"/>
          <w:bCs/>
          <w:snapToGrid w:val="0"/>
          <w:kern w:val="0"/>
          <w:sz w:val="32"/>
          <w:szCs w:val="32"/>
          <w:shd w:val="clear" w:color="auto" w:fill="FFFFFF"/>
        </w:rPr>
        <w:t>1</w:t>
      </w:r>
      <w:r>
        <w:rPr>
          <w:rFonts w:eastAsia="仿宋_GB2312"/>
          <w:bCs/>
          <w:snapToGrid w:val="0"/>
          <w:kern w:val="0"/>
          <w:sz w:val="32"/>
          <w:szCs w:val="32"/>
          <w:shd w:val="clear" w:color="auto" w:fill="FFFFFF"/>
          <w:lang w:val="zh-CN"/>
        </w:rPr>
        <w:t>年的绩效评价结果。</w:t>
      </w:r>
    </w:p>
    <w:p>
      <w:pPr>
        <w:adjustRightInd w:val="0"/>
        <w:snapToGrid w:val="0"/>
        <w:spacing w:line="576" w:lineRule="exact"/>
        <w:ind w:firstLine="643" w:firstLineChars="200"/>
        <w:jc w:val="both"/>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eastAsia="仿宋_GB2312"/>
          <w:b/>
          <w:bCs w:val="0"/>
          <w:snapToGrid w:val="0"/>
          <w:kern w:val="0"/>
          <w:sz w:val="32"/>
          <w:szCs w:val="32"/>
          <w:shd w:val="clear" w:color="auto" w:fill="FFFFFF"/>
          <w:lang w:val="zh-CN"/>
        </w:rPr>
        <w:t>3.</w:t>
      </w:r>
      <w:r>
        <w:rPr>
          <w:rFonts w:hint="eastAsia" w:eastAsia="仿宋_GB2312"/>
          <w:b/>
          <w:bCs w:val="0"/>
          <w:snapToGrid w:val="0"/>
          <w:kern w:val="0"/>
          <w:sz w:val="32"/>
          <w:szCs w:val="32"/>
          <w:shd w:val="clear" w:color="auto" w:fill="FFFFFF"/>
          <w:lang w:val="zh-CN"/>
        </w:rPr>
        <w:t>问题</w:t>
      </w:r>
      <w:r>
        <w:rPr>
          <w:rFonts w:eastAsia="仿宋_GB2312"/>
          <w:b/>
          <w:bCs w:val="0"/>
          <w:snapToGrid w:val="0"/>
          <w:kern w:val="0"/>
          <w:sz w:val="32"/>
          <w:szCs w:val="32"/>
          <w:shd w:val="clear" w:color="auto" w:fill="FFFFFF"/>
          <w:lang w:val="zh-CN"/>
        </w:rPr>
        <w:t>整改</w:t>
      </w:r>
      <w:r>
        <w:rPr>
          <w:rFonts w:hint="eastAsia" w:eastAsia="仿宋_GB2312"/>
          <w:b/>
          <w:bCs w:val="0"/>
          <w:snapToGrid w:val="0"/>
          <w:kern w:val="0"/>
          <w:sz w:val="32"/>
          <w:szCs w:val="32"/>
          <w:shd w:val="clear" w:color="auto" w:fill="FFFFFF"/>
          <w:lang w:val="zh-CN"/>
        </w:rPr>
        <w:t>和应用</w:t>
      </w:r>
      <w:r>
        <w:rPr>
          <w:rFonts w:eastAsia="仿宋_GB2312"/>
          <w:b/>
          <w:bCs w:val="0"/>
          <w:snapToGrid w:val="0"/>
          <w:kern w:val="0"/>
          <w:sz w:val="32"/>
          <w:szCs w:val="32"/>
          <w:shd w:val="clear" w:color="auto" w:fill="FFFFFF"/>
          <w:lang w:val="zh-CN"/>
        </w:rPr>
        <w:t>反</w:t>
      </w:r>
      <w:r>
        <w:rPr>
          <w:rFonts w:hint="eastAsia" w:eastAsia="仿宋_GB2312"/>
          <w:b/>
          <w:bCs w:val="0"/>
          <w:snapToGrid w:val="0"/>
          <w:kern w:val="0"/>
          <w:sz w:val="32"/>
          <w:szCs w:val="32"/>
          <w:shd w:val="clear" w:color="auto" w:fill="FFFFFF"/>
          <w:lang w:val="zh-CN"/>
        </w:rPr>
        <w:t>馈。</w:t>
      </w:r>
      <w:r>
        <w:rPr>
          <w:rFonts w:eastAsia="仿宋_GB2312"/>
          <w:bCs/>
          <w:snapToGrid w:val="0"/>
          <w:kern w:val="0"/>
          <w:sz w:val="32"/>
          <w:szCs w:val="32"/>
          <w:shd w:val="clear" w:color="auto" w:fill="FFFFFF"/>
          <w:lang w:val="zh-CN"/>
        </w:rPr>
        <w:t>在项目执行过程中，根据项目工作实际和绩效监控结果，及时向财政部门提出相应项目的预算调整申请，对绩效目标进行了进一步完善，及时向财政部门报送绩效监控、绩效自评、结果应用等绩效结果报告。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四</w:t>
      </w: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）自评质量。</w:t>
      </w:r>
    </w:p>
    <w:p>
      <w:pPr>
        <w:adjustRightInd w:val="0"/>
        <w:snapToGrid w:val="0"/>
        <w:spacing w:line="576" w:lineRule="exact"/>
        <w:ind w:firstLine="640" w:firstLineChars="200"/>
        <w:jc w:val="both"/>
        <w:rPr>
          <w:rFonts w:eastAsia="仿宋_GB2312"/>
          <w:bCs/>
          <w:snapToGrid w:val="0"/>
          <w:kern w:val="0"/>
          <w:sz w:val="32"/>
          <w:szCs w:val="32"/>
          <w:shd w:val="clear" w:color="auto" w:fill="FFFFFF"/>
        </w:rPr>
      </w:pPr>
      <w:bookmarkStart w:id="78" w:name="_Toc28457_WPSOffice_Level2"/>
      <w:r>
        <w:rPr>
          <w:rFonts w:eastAsia="仿宋_GB2312"/>
          <w:bCs/>
          <w:snapToGrid w:val="0"/>
          <w:kern w:val="0"/>
          <w:sz w:val="32"/>
          <w:szCs w:val="32"/>
          <w:shd w:val="clear" w:color="auto" w:fill="FFFFFF"/>
        </w:rPr>
        <w:t>2022年部门整体支出绩效评价严格按照评价指标体系进行自评打分，自评结果客观、准确。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bookmarkStart w:id="79" w:name="_Toc16127_WPSOffice_Level2"/>
      <w:bookmarkStart w:id="80" w:name="_Toc11970_WPSOffice_Level2"/>
      <w:r>
        <w:rPr>
          <w:rFonts w:hint="eastAsia" w:ascii="黑体" w:hAnsi="黑体" w:eastAsia="黑体" w:cs="黑体"/>
          <w:i w:val="0"/>
          <w:caps w:val="0"/>
          <w:color w:val="000000" w:themeColor="text1"/>
          <w:spacing w:val="0"/>
          <w:sz w:val="32"/>
          <w:szCs w:val="32"/>
          <w14:textFill>
            <w14:solidFill>
              <w14:schemeClr w14:val="tx1"/>
            </w14:solidFill>
          </w14:textFill>
        </w:rPr>
        <w:t>四、评价结论及建议</w:t>
      </w:r>
      <w:bookmarkEnd w:id="78"/>
      <w:bookmarkEnd w:id="79"/>
      <w:bookmarkEnd w:id="8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（一）评价结论。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部门整体支出与国家政策法规、单位职能职责、市政府重点工作任务等相符，各项经费均达到对应的绩效目标，较好地保障了年度各项工作任务的顺利开展。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（二）存在问题。</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在预算编制的准确性方面有待进一步提升，人社专项经费主要用于民生项目，执行情况受政策性影响较大，绩效目标细化、量化难度大。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（三）改进建议。</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进一步加强调研，结合事业发展计划加大各业务部门的统筹规划，规范科学编制专项经费的三级绩效评价指标。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附表：部门预算项目支出绩效自评表（</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2022年度</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）见附见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附件2</w:t>
      </w:r>
    </w:p>
    <w:p>
      <w:pPr>
        <w:pStyle w:val="15"/>
        <w:spacing w:line="578" w:lineRule="exact"/>
        <w:jc w:val="center"/>
        <w:rPr>
          <w:rFonts w:hint="eastAsia" w:ascii="方正小标宋简体" w:hAnsi="方正小标宋简体" w:eastAsia="方正小标宋简体" w:cs="方正小标宋简体"/>
          <w:color w:val="auto"/>
          <w:kern w:val="2"/>
          <w:sz w:val="36"/>
          <w:szCs w:val="36"/>
          <w:lang w:val="en-US"/>
        </w:rPr>
      </w:pPr>
      <w:bookmarkStart w:id="81" w:name="_Toc15812_WPSOffice_Level2"/>
      <w:bookmarkStart w:id="82" w:name="_Toc28806_WPSOffice_Level2"/>
      <w:r>
        <w:rPr>
          <w:rFonts w:hint="eastAsia" w:ascii="方正小标宋简体" w:hAnsi="方正小标宋简体" w:eastAsia="方正小标宋简体" w:cs="方正小标宋简体"/>
          <w:color w:val="auto"/>
          <w:kern w:val="2"/>
          <w:sz w:val="36"/>
          <w:szCs w:val="36"/>
          <w:lang w:val="en-US"/>
        </w:rPr>
        <w:t>各类公招考试专项资金</w:t>
      </w:r>
      <w:bookmarkEnd w:id="81"/>
      <w:bookmarkEnd w:id="82"/>
    </w:p>
    <w:p>
      <w:pPr>
        <w:pStyle w:val="15"/>
        <w:spacing w:line="578" w:lineRule="exact"/>
        <w:jc w:val="center"/>
        <w:rPr>
          <w:rFonts w:ascii="方正小标宋简体" w:hAnsi="方正小标宋简体" w:eastAsia="方正小标宋简体" w:cs="方正小标宋简体"/>
          <w:color w:val="auto"/>
          <w:kern w:val="2"/>
          <w:sz w:val="36"/>
          <w:szCs w:val="36"/>
          <w:lang w:val="en-US"/>
        </w:rPr>
      </w:pPr>
      <w:bookmarkStart w:id="83" w:name="_Toc7956_WPSOffice_Level2"/>
      <w:bookmarkStart w:id="84" w:name="_Toc13101_WPSOffice_Level2"/>
      <w:r>
        <w:rPr>
          <w:rFonts w:hint="eastAsia" w:ascii="方正小标宋简体" w:hAnsi="方正小标宋简体" w:eastAsia="方正小标宋简体" w:cs="方正小标宋简体"/>
          <w:color w:val="auto"/>
          <w:kern w:val="2"/>
          <w:sz w:val="36"/>
          <w:szCs w:val="36"/>
          <w:lang w:val="en-US"/>
        </w:rPr>
        <w:t>2022年市级专项资金预算项目绩效自评报告</w:t>
      </w:r>
      <w:bookmarkEnd w:id="83"/>
      <w:bookmarkEnd w:id="84"/>
    </w:p>
    <w:p>
      <w:pPr>
        <w:pStyle w:val="15"/>
        <w:spacing w:line="578" w:lineRule="exact"/>
        <w:ind w:firstLine="640"/>
        <w:jc w:val="center"/>
        <w:rPr>
          <w:rFonts w:ascii="宋体" w:hAnsi="宋体"/>
          <w:color w:val="auto"/>
          <w:kern w:val="2"/>
          <w:sz w:val="32"/>
          <w:szCs w:val="32"/>
        </w:rPr>
      </w:pPr>
    </w:p>
    <w:p>
      <w:pPr>
        <w:adjustRightInd w:val="0"/>
        <w:snapToGrid w:val="0"/>
        <w:spacing w:line="578" w:lineRule="exact"/>
        <w:ind w:firstLine="720"/>
        <w:jc w:val="both"/>
        <w:rPr>
          <w:rFonts w:ascii="黑体" w:hAnsi="宋体" w:eastAsia="黑体"/>
          <w:sz w:val="32"/>
          <w:szCs w:val="32"/>
          <w:lang w:val="zh-CN"/>
        </w:rPr>
      </w:pPr>
      <w:bookmarkStart w:id="85" w:name="_Toc9725_WPSOffice_Level2"/>
      <w:bookmarkStart w:id="86" w:name="_Toc19730_WPSOffice_Level2"/>
      <w:r>
        <w:rPr>
          <w:rFonts w:hint="eastAsia" w:ascii="黑体" w:hAnsi="宋体" w:eastAsia="黑体"/>
          <w:sz w:val="32"/>
          <w:szCs w:val="32"/>
        </w:rPr>
        <w:t>一、</w:t>
      </w:r>
      <w:r>
        <w:rPr>
          <w:rFonts w:hint="eastAsia" w:ascii="黑体" w:hAnsi="宋体" w:eastAsia="黑体"/>
          <w:sz w:val="32"/>
          <w:szCs w:val="32"/>
          <w:lang w:val="zh-CN"/>
        </w:rPr>
        <w:t>项目概况</w:t>
      </w:r>
      <w:bookmarkEnd w:id="85"/>
      <w:bookmarkEnd w:id="86"/>
    </w:p>
    <w:p>
      <w:pPr>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utoSpaceDE w:val="0"/>
        <w:autoSpaceDN w:val="0"/>
        <w:adjustRightInd w:val="0"/>
        <w:spacing w:line="578" w:lineRule="exact"/>
        <w:ind w:firstLine="640" w:firstLineChars="200"/>
        <w:jc w:val="both"/>
        <w:rPr>
          <w:rFonts w:eastAsia="仿宋_GB2312"/>
          <w:kern w:val="0"/>
          <w:sz w:val="32"/>
          <w:szCs w:val="32"/>
        </w:rPr>
      </w:pPr>
      <w:r>
        <w:rPr>
          <w:rFonts w:hint="eastAsia" w:eastAsia="仿宋_GB2312"/>
          <w:kern w:val="0"/>
          <w:sz w:val="32"/>
          <w:szCs w:val="32"/>
        </w:rPr>
        <w:t>各类公招考试专项资金项目主要</w:t>
      </w:r>
      <w:r>
        <w:rPr>
          <w:rFonts w:hint="eastAsia" w:eastAsia="仿宋_GB2312"/>
          <w:kern w:val="0"/>
          <w:sz w:val="32"/>
          <w:szCs w:val="32"/>
          <w:lang w:eastAsia="zh-CN"/>
        </w:rPr>
        <w:t>用于</w:t>
      </w:r>
      <w:r>
        <w:rPr>
          <w:rFonts w:hint="eastAsia" w:eastAsia="仿宋_GB2312"/>
          <w:kern w:val="0"/>
          <w:sz w:val="32"/>
          <w:szCs w:val="32"/>
        </w:rPr>
        <w:t>组织2021年下半年各类</w:t>
      </w:r>
      <w:r>
        <w:rPr>
          <w:rFonts w:eastAsia="仿宋_GB2312"/>
          <w:kern w:val="0"/>
          <w:sz w:val="32"/>
          <w:szCs w:val="32"/>
        </w:rPr>
        <w:t>公招</w:t>
      </w:r>
      <w:r>
        <w:rPr>
          <w:rFonts w:hint="eastAsia" w:eastAsia="仿宋_GB2312"/>
          <w:kern w:val="0"/>
          <w:sz w:val="32"/>
          <w:szCs w:val="32"/>
        </w:rPr>
        <w:t>面试（面试考生387人）、2022届急需紧缺专业选调生面试（面试考生92人）、2022年上半年各类公招面试（面试考生477人）</w:t>
      </w:r>
      <w:r>
        <w:rPr>
          <w:rFonts w:hint="eastAsia" w:eastAsia="仿宋_GB2312"/>
          <w:kern w:val="0"/>
          <w:sz w:val="32"/>
          <w:szCs w:val="32"/>
          <w:lang w:eastAsia="zh-CN"/>
        </w:rPr>
        <w:t>、</w:t>
      </w:r>
      <w:r>
        <w:rPr>
          <w:rFonts w:hint="eastAsia" w:eastAsia="仿宋_GB2312"/>
          <w:kern w:val="0"/>
          <w:sz w:val="32"/>
          <w:szCs w:val="32"/>
        </w:rPr>
        <w:t>2022年聘任制公务员、遴选公务员笔试、面试、2021年事业单位笔试工作</w:t>
      </w:r>
      <w:r>
        <w:rPr>
          <w:rFonts w:eastAsia="仿宋_GB2312"/>
          <w:kern w:val="0"/>
          <w:sz w:val="32"/>
          <w:szCs w:val="32"/>
        </w:rPr>
        <w:t>。</w:t>
      </w:r>
      <w:r>
        <w:rPr>
          <w:rFonts w:hint="eastAsia" w:eastAsia="仿宋_GB2312"/>
          <w:kern w:val="0"/>
          <w:sz w:val="32"/>
          <w:szCs w:val="32"/>
        </w:rPr>
        <w:t>按照</w:t>
      </w:r>
      <w:r>
        <w:rPr>
          <w:rFonts w:eastAsia="仿宋_GB2312"/>
          <w:kern w:val="0"/>
          <w:sz w:val="32"/>
          <w:szCs w:val="32"/>
        </w:rPr>
        <w:t>考试招录工作安排，公招考试</w:t>
      </w:r>
      <w:r>
        <w:rPr>
          <w:rFonts w:hint="eastAsia" w:eastAsia="仿宋_GB2312"/>
          <w:kern w:val="0"/>
          <w:sz w:val="32"/>
          <w:szCs w:val="32"/>
        </w:rPr>
        <w:t>报名</w:t>
      </w:r>
      <w:r>
        <w:rPr>
          <w:rFonts w:eastAsia="仿宋_GB2312"/>
          <w:kern w:val="0"/>
          <w:sz w:val="32"/>
          <w:szCs w:val="32"/>
        </w:rPr>
        <w:t>、资格审核、笔试、面试、体检</w:t>
      </w:r>
      <w:r>
        <w:rPr>
          <w:rFonts w:hint="eastAsia" w:eastAsia="仿宋_GB2312"/>
          <w:kern w:val="0"/>
          <w:sz w:val="32"/>
          <w:szCs w:val="32"/>
        </w:rPr>
        <w:t>、</w:t>
      </w:r>
      <w:r>
        <w:rPr>
          <w:rFonts w:eastAsia="仿宋_GB2312"/>
          <w:kern w:val="0"/>
          <w:sz w:val="32"/>
          <w:szCs w:val="32"/>
        </w:rPr>
        <w:t>考核、录用等工作由市委组织部牵头组织，</w:t>
      </w:r>
      <w:r>
        <w:rPr>
          <w:rFonts w:hint="eastAsia" w:eastAsia="仿宋_GB2312"/>
          <w:kern w:val="0"/>
          <w:sz w:val="32"/>
          <w:szCs w:val="32"/>
        </w:rPr>
        <w:t>事业单位考试报名</w:t>
      </w:r>
      <w:r>
        <w:rPr>
          <w:rFonts w:eastAsia="仿宋_GB2312"/>
          <w:kern w:val="0"/>
          <w:sz w:val="32"/>
          <w:szCs w:val="32"/>
        </w:rPr>
        <w:t>、资格审核、笔试、面试、体检</w:t>
      </w:r>
      <w:r>
        <w:rPr>
          <w:rFonts w:hint="eastAsia" w:eastAsia="仿宋_GB2312"/>
          <w:kern w:val="0"/>
          <w:sz w:val="32"/>
          <w:szCs w:val="32"/>
        </w:rPr>
        <w:t>、</w:t>
      </w:r>
      <w:r>
        <w:rPr>
          <w:rFonts w:eastAsia="仿宋_GB2312"/>
          <w:kern w:val="0"/>
          <w:sz w:val="32"/>
          <w:szCs w:val="32"/>
        </w:rPr>
        <w:t>考核、录用等工作由</w:t>
      </w:r>
      <w:r>
        <w:rPr>
          <w:rFonts w:hint="eastAsia" w:eastAsia="仿宋_GB2312"/>
          <w:kern w:val="0"/>
          <w:sz w:val="32"/>
          <w:szCs w:val="32"/>
        </w:rPr>
        <w:t>市人力资源社会保障局牵头组织，</w:t>
      </w:r>
      <w:r>
        <w:rPr>
          <w:rFonts w:eastAsia="仿宋_GB2312"/>
          <w:kern w:val="0"/>
          <w:sz w:val="32"/>
          <w:szCs w:val="32"/>
        </w:rPr>
        <w:t>相关部门</w:t>
      </w:r>
      <w:r>
        <w:rPr>
          <w:rFonts w:hint="eastAsia" w:eastAsia="仿宋_GB2312"/>
          <w:kern w:val="0"/>
          <w:sz w:val="32"/>
          <w:szCs w:val="32"/>
        </w:rPr>
        <w:t>协同配合</w:t>
      </w:r>
      <w:r>
        <w:rPr>
          <w:rFonts w:eastAsia="仿宋_GB2312"/>
          <w:kern w:val="0"/>
          <w:sz w:val="32"/>
          <w:szCs w:val="32"/>
        </w:rPr>
        <w:t>，</w:t>
      </w:r>
      <w:r>
        <w:rPr>
          <w:rFonts w:hint="eastAsia" w:eastAsia="仿宋_GB2312"/>
          <w:kern w:val="0"/>
          <w:sz w:val="32"/>
          <w:szCs w:val="32"/>
          <w:lang w:eastAsia="zh-CN"/>
        </w:rPr>
        <w:t>市人事考试中心</w:t>
      </w:r>
      <w:r>
        <w:rPr>
          <w:rFonts w:eastAsia="仿宋_GB2312"/>
          <w:kern w:val="0"/>
          <w:sz w:val="32"/>
          <w:szCs w:val="32"/>
        </w:rPr>
        <w:t>具体负责实施</w:t>
      </w:r>
      <w:r>
        <w:rPr>
          <w:rFonts w:hint="eastAsia" w:eastAsia="仿宋_GB2312"/>
          <w:kern w:val="0"/>
          <w:sz w:val="32"/>
          <w:szCs w:val="32"/>
        </w:rPr>
        <w:t>。</w:t>
      </w:r>
    </w:p>
    <w:p>
      <w:pPr>
        <w:autoSpaceDE w:val="0"/>
        <w:autoSpaceDN w:val="0"/>
        <w:adjustRightInd w:val="0"/>
        <w:spacing w:line="578" w:lineRule="exact"/>
        <w:ind w:firstLine="640" w:firstLineChars="200"/>
        <w:jc w:val="both"/>
        <w:rPr>
          <w:rFonts w:eastAsia="仿宋_GB2312"/>
          <w:kern w:val="0"/>
          <w:sz w:val="32"/>
          <w:szCs w:val="32"/>
        </w:rPr>
      </w:pPr>
      <w:r>
        <w:rPr>
          <w:rFonts w:hint="eastAsia" w:eastAsia="仿宋_GB2312"/>
          <w:kern w:val="0"/>
          <w:sz w:val="32"/>
          <w:szCs w:val="32"/>
        </w:rPr>
        <w:t>根据</w:t>
      </w:r>
      <w:r>
        <w:rPr>
          <w:rFonts w:eastAsia="仿宋_GB2312"/>
          <w:kern w:val="0"/>
          <w:sz w:val="32"/>
          <w:szCs w:val="32"/>
        </w:rPr>
        <w:t>市政府对《</w:t>
      </w:r>
      <w:r>
        <w:rPr>
          <w:rFonts w:hint="eastAsia" w:eastAsia="仿宋_GB2312"/>
          <w:kern w:val="0"/>
          <w:sz w:val="32"/>
          <w:szCs w:val="32"/>
        </w:rPr>
        <w:t>关于建议</w:t>
      </w:r>
      <w:r>
        <w:rPr>
          <w:rFonts w:eastAsia="仿宋_GB2312"/>
          <w:kern w:val="0"/>
          <w:sz w:val="32"/>
          <w:szCs w:val="32"/>
        </w:rPr>
        <w:t>安排我市公开招考公务员事业人员面试工作经费的请示》</w:t>
      </w:r>
      <w:r>
        <w:rPr>
          <w:rFonts w:hint="eastAsia" w:eastAsia="仿宋_GB2312"/>
          <w:kern w:val="0"/>
          <w:sz w:val="32"/>
          <w:szCs w:val="32"/>
        </w:rPr>
        <w:t>（攀财政</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〕260号）</w:t>
      </w:r>
      <w:r>
        <w:rPr>
          <w:rFonts w:ascii="仿宋_GB2312" w:hAnsi="仿宋_GB2312" w:eastAsia="仿宋_GB2312" w:cs="仿宋_GB2312"/>
          <w:sz w:val="32"/>
          <w:szCs w:val="32"/>
        </w:rPr>
        <w:t>的批示，确定公招面试经费按照面试考生人数</w:t>
      </w:r>
      <w:r>
        <w:rPr>
          <w:rFonts w:hint="eastAsia" w:ascii="仿宋_GB2312" w:hAnsi="仿宋_GB2312" w:eastAsia="仿宋_GB2312" w:cs="仿宋_GB2312"/>
          <w:sz w:val="32"/>
          <w:szCs w:val="32"/>
        </w:rPr>
        <w:t>800元/人</w:t>
      </w:r>
      <w:r>
        <w:rPr>
          <w:rFonts w:ascii="仿宋_GB2312" w:hAnsi="仿宋_GB2312" w:eastAsia="仿宋_GB2312" w:cs="仿宋_GB2312"/>
          <w:sz w:val="32"/>
          <w:szCs w:val="32"/>
        </w:rPr>
        <w:t>的标准进行核拨</w:t>
      </w:r>
      <w:r>
        <w:rPr>
          <w:rFonts w:hint="eastAsia" w:ascii="仿宋_GB2312" w:hAnsi="仿宋_GB2312" w:eastAsia="仿宋_GB2312" w:cs="仿宋_GB2312"/>
          <w:sz w:val="32"/>
          <w:szCs w:val="32"/>
        </w:rPr>
        <w:t>，按照1:3比例</w:t>
      </w:r>
      <w:r>
        <w:rPr>
          <w:rFonts w:ascii="仿宋_GB2312" w:hAnsi="仿宋_GB2312" w:eastAsia="仿宋_GB2312" w:cs="仿宋_GB2312"/>
          <w:sz w:val="32"/>
          <w:szCs w:val="32"/>
        </w:rPr>
        <w:t>确定进入面试人数，</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年下</w:t>
      </w:r>
      <w:r>
        <w:rPr>
          <w:rFonts w:ascii="仿宋_GB2312" w:hAnsi="仿宋_GB2312" w:eastAsia="仿宋_GB2312" w:cs="仿宋_GB2312"/>
          <w:sz w:val="32"/>
          <w:szCs w:val="32"/>
        </w:rPr>
        <w:t>半年</w:t>
      </w:r>
      <w:r>
        <w:rPr>
          <w:rFonts w:hint="eastAsia" w:ascii="仿宋_GB2312" w:hAnsi="仿宋_GB2312" w:eastAsia="仿宋_GB2312" w:cs="仿宋_GB2312"/>
          <w:sz w:val="32"/>
          <w:szCs w:val="32"/>
        </w:rPr>
        <w:t>各类公招</w:t>
      </w:r>
      <w:r>
        <w:rPr>
          <w:rFonts w:ascii="仿宋_GB2312" w:hAnsi="仿宋_GB2312" w:eastAsia="仿宋_GB2312" w:cs="仿宋_GB2312"/>
          <w:sz w:val="32"/>
          <w:szCs w:val="32"/>
        </w:rPr>
        <w:t>面试经费</w:t>
      </w:r>
      <w:r>
        <w:rPr>
          <w:rFonts w:hint="eastAsia" w:ascii="仿宋_GB2312" w:hAnsi="仿宋_GB2312" w:eastAsia="仿宋_GB2312" w:cs="仿宋_GB2312"/>
          <w:sz w:val="32"/>
          <w:szCs w:val="32"/>
        </w:rPr>
        <w:t>（含</w:t>
      </w:r>
      <w:r>
        <w:rPr>
          <w:rFonts w:hint="eastAsia" w:eastAsia="仿宋_GB2312"/>
          <w:kern w:val="0"/>
          <w:sz w:val="32"/>
          <w:szCs w:val="32"/>
        </w:rPr>
        <w:t>2022届急需紧缺专业选调生面试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为3</w:t>
      </w:r>
      <w:r>
        <w:rPr>
          <w:rFonts w:hint="eastAsia" w:ascii="仿宋_GB2312" w:hAnsi="仿宋_GB2312" w:eastAsia="仿宋_GB2312" w:cs="仿宋_GB2312"/>
          <w:sz w:val="32"/>
          <w:szCs w:val="32"/>
        </w:rPr>
        <w:t>8.32万元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479人</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元/人</w:t>
      </w:r>
      <w:r>
        <w:rPr>
          <w:rFonts w:ascii="仿宋_GB2312" w:hAnsi="仿宋_GB2312" w:eastAsia="仿宋_GB2312" w:cs="仿宋_GB2312"/>
          <w:sz w:val="32"/>
          <w:szCs w:val="32"/>
        </w:rPr>
        <w:t>）</w:t>
      </w:r>
      <w:r>
        <w:rPr>
          <w:rFonts w:hint="eastAsia" w:eastAsia="仿宋_GB2312"/>
          <w:kern w:val="0"/>
          <w:sz w:val="32"/>
          <w:szCs w:val="32"/>
        </w:rPr>
        <w:t>，2022年上半年各类公招面经费为38.16万元（</w:t>
      </w:r>
      <w:r>
        <w:rPr>
          <w:rFonts w:hint="eastAsia" w:ascii="仿宋_GB2312" w:hAnsi="仿宋_GB2312" w:eastAsia="仿宋_GB2312" w:cs="仿宋_GB2312"/>
          <w:sz w:val="32"/>
          <w:szCs w:val="32"/>
        </w:rPr>
        <w:t>477人</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元/人</w:t>
      </w:r>
      <w:r>
        <w:rPr>
          <w:rFonts w:hint="eastAsia" w:eastAsia="仿宋_GB2312"/>
          <w:kern w:val="0"/>
          <w:sz w:val="32"/>
          <w:szCs w:val="32"/>
        </w:rPr>
        <w:t>），2022年聘任制公务员、遴选公务员笔试、面试工作按照实际项目实际产生费用拨付18.43万元、2021年事业单位笔试工作按照实际产生费用拨付20万元，全年共拨付各类公招考试专项资金114.91万元，年末指标追减0.77万元，共完成项目资金支付114.14万元。项目资金的</w:t>
      </w:r>
      <w:r>
        <w:rPr>
          <w:rFonts w:eastAsia="仿宋_GB2312"/>
          <w:kern w:val="0"/>
          <w:sz w:val="32"/>
          <w:szCs w:val="32"/>
        </w:rPr>
        <w:t>支付</w:t>
      </w:r>
      <w:r>
        <w:rPr>
          <w:rFonts w:hint="eastAsia" w:eastAsia="仿宋_GB2312"/>
          <w:kern w:val="0"/>
          <w:sz w:val="32"/>
          <w:szCs w:val="32"/>
        </w:rPr>
        <w:t>根据</w:t>
      </w:r>
      <w:r>
        <w:rPr>
          <w:rFonts w:eastAsia="仿宋_GB2312"/>
          <w:kern w:val="0"/>
          <w:sz w:val="32"/>
          <w:szCs w:val="32"/>
        </w:rPr>
        <w:t>各项公招</w:t>
      </w:r>
      <w:r>
        <w:rPr>
          <w:rFonts w:hint="eastAsia" w:eastAsia="仿宋_GB2312"/>
          <w:kern w:val="0"/>
          <w:sz w:val="32"/>
          <w:szCs w:val="32"/>
        </w:rPr>
        <w:t>考试计划</w:t>
      </w:r>
      <w:r>
        <w:rPr>
          <w:rFonts w:eastAsia="仿宋_GB2312"/>
          <w:kern w:val="0"/>
          <w:sz w:val="32"/>
          <w:szCs w:val="32"/>
        </w:rPr>
        <w:t>进行</w:t>
      </w:r>
      <w:r>
        <w:rPr>
          <w:rFonts w:hint="eastAsia" w:eastAsia="仿宋_GB2312"/>
          <w:kern w:val="0"/>
          <w:sz w:val="32"/>
          <w:szCs w:val="32"/>
        </w:rPr>
        <w:t>分配</w:t>
      </w:r>
      <w:r>
        <w:rPr>
          <w:rFonts w:eastAsia="仿宋_GB2312"/>
          <w:kern w:val="0"/>
          <w:sz w:val="32"/>
          <w:szCs w:val="32"/>
        </w:rPr>
        <w:t>和支付</w:t>
      </w:r>
      <w:r>
        <w:rPr>
          <w:rFonts w:hint="eastAsia" w:eastAsia="仿宋_GB2312"/>
          <w:kern w:val="0"/>
          <w:sz w:val="32"/>
          <w:szCs w:val="32"/>
        </w:rPr>
        <w:t>，保障各类考试</w:t>
      </w:r>
      <w:r>
        <w:rPr>
          <w:rFonts w:eastAsia="仿宋_GB2312"/>
          <w:kern w:val="0"/>
          <w:sz w:val="32"/>
          <w:szCs w:val="32"/>
        </w:rPr>
        <w:t>工作的正常开展</w:t>
      </w:r>
      <w:r>
        <w:rPr>
          <w:rFonts w:hint="eastAsia" w:eastAsia="仿宋_GB2312"/>
          <w:kern w:val="0"/>
          <w:sz w:val="32"/>
          <w:szCs w:val="32"/>
        </w:rPr>
        <w:t>。</w:t>
      </w:r>
    </w:p>
    <w:p>
      <w:pPr>
        <w:autoSpaceDE w:val="0"/>
        <w:autoSpaceDN w:val="0"/>
        <w:adjustRightInd w:val="0"/>
        <w:spacing w:line="578" w:lineRule="exact"/>
        <w:ind w:firstLine="640" w:firstLineChars="200"/>
        <w:jc w:val="both"/>
        <w:rPr>
          <w:rFonts w:ascii="仿宋_GB2312" w:hAnsi="仿宋_GB2312" w:eastAsia="仿宋_GB2312" w:cs="仿宋_GB2312"/>
          <w:sz w:val="32"/>
          <w:szCs w:val="32"/>
        </w:rPr>
      </w:pPr>
      <w:r>
        <w:rPr>
          <w:rFonts w:hint="eastAsia" w:eastAsia="仿宋_GB2312"/>
          <w:kern w:val="0"/>
          <w:sz w:val="32"/>
          <w:szCs w:val="32"/>
        </w:rPr>
        <w:t>各类公招考试专项资金项目主要用于</w:t>
      </w:r>
      <w:r>
        <w:rPr>
          <w:rFonts w:hint="eastAsia" w:ascii="仿宋_GB2312" w:hAnsi="仿宋_GB2312" w:eastAsia="仿宋_GB2312" w:cs="仿宋_GB2312"/>
          <w:sz w:val="32"/>
          <w:szCs w:val="32"/>
        </w:rPr>
        <w:t>考务工作人员</w:t>
      </w:r>
      <w:r>
        <w:rPr>
          <w:rFonts w:ascii="仿宋_GB2312" w:hAnsi="仿宋_GB2312" w:eastAsia="仿宋_GB2312" w:cs="仿宋_GB2312"/>
          <w:sz w:val="32"/>
          <w:szCs w:val="32"/>
        </w:rPr>
        <w:t>劳务费、</w:t>
      </w:r>
      <w:r>
        <w:rPr>
          <w:rFonts w:hint="eastAsia" w:ascii="仿宋_GB2312" w:hAnsi="仿宋_GB2312" w:eastAsia="仿宋_GB2312" w:cs="仿宋_GB2312"/>
          <w:sz w:val="32"/>
          <w:szCs w:val="32"/>
        </w:rPr>
        <w:t>取送卷</w:t>
      </w:r>
      <w:r>
        <w:rPr>
          <w:rFonts w:ascii="仿宋_GB2312" w:hAnsi="仿宋_GB2312" w:eastAsia="仿宋_GB2312" w:cs="仿宋_GB2312"/>
          <w:sz w:val="32"/>
          <w:szCs w:val="32"/>
        </w:rPr>
        <w:t>差旅费、</w:t>
      </w:r>
      <w:r>
        <w:rPr>
          <w:rFonts w:hint="eastAsia" w:ascii="仿宋_GB2312" w:hAnsi="仿宋_GB2312" w:eastAsia="仿宋_GB2312" w:cs="仿宋_GB2312"/>
          <w:sz w:val="32"/>
          <w:szCs w:val="32"/>
        </w:rPr>
        <w:t>考务用品 （防疫</w:t>
      </w:r>
      <w:r>
        <w:rPr>
          <w:rFonts w:ascii="仿宋_GB2312" w:hAnsi="仿宋_GB2312" w:eastAsia="仿宋_GB2312" w:cs="仿宋_GB2312"/>
          <w:sz w:val="32"/>
          <w:szCs w:val="32"/>
        </w:rPr>
        <w:t>物资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考务租车</w:t>
      </w:r>
      <w:r>
        <w:rPr>
          <w:rFonts w:hint="eastAsia" w:ascii="仿宋_GB2312" w:hAnsi="仿宋_GB2312" w:eastAsia="仿宋_GB2312" w:cs="仿宋_GB2312"/>
          <w:sz w:val="32"/>
          <w:szCs w:val="32"/>
        </w:rPr>
        <w:t>，委托命题、防疫消毒等各项</w:t>
      </w:r>
      <w:r>
        <w:rPr>
          <w:rFonts w:ascii="仿宋_GB2312" w:hAnsi="仿宋_GB2312" w:eastAsia="仿宋_GB2312" w:cs="仿宋_GB2312"/>
          <w:sz w:val="32"/>
          <w:szCs w:val="32"/>
        </w:rPr>
        <w:t>考试相关支出</w:t>
      </w:r>
      <w:r>
        <w:rPr>
          <w:rFonts w:hint="eastAsia" w:ascii="仿宋_GB2312" w:hAnsi="仿宋_GB2312" w:eastAsia="仿宋_GB2312" w:cs="仿宋_GB2312"/>
          <w:sz w:val="32"/>
          <w:szCs w:val="32"/>
        </w:rPr>
        <w:t>项目。</w:t>
      </w:r>
    </w:p>
    <w:p>
      <w:pPr>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tbl>
      <w:tblPr>
        <w:tblStyle w:val="8"/>
        <w:tblW w:w="8340" w:type="dxa"/>
        <w:jc w:val="center"/>
        <w:tblInd w:w="113" w:type="dxa"/>
        <w:tblLayout w:type="fixed"/>
        <w:tblCellMar>
          <w:top w:w="0" w:type="dxa"/>
          <w:left w:w="108" w:type="dxa"/>
          <w:bottom w:w="0" w:type="dxa"/>
          <w:right w:w="108" w:type="dxa"/>
        </w:tblCellMar>
      </w:tblPr>
      <w:tblGrid>
        <w:gridCol w:w="1453"/>
        <w:gridCol w:w="1191"/>
        <w:gridCol w:w="1722"/>
        <w:gridCol w:w="1855"/>
        <w:gridCol w:w="2119"/>
      </w:tblGrid>
      <w:tr>
        <w:tblPrEx>
          <w:tblLayout w:type="fixed"/>
          <w:tblCellMar>
            <w:top w:w="0" w:type="dxa"/>
            <w:left w:w="108" w:type="dxa"/>
            <w:bottom w:w="0" w:type="dxa"/>
            <w:right w:w="108" w:type="dxa"/>
          </w:tblCellMar>
        </w:tblPrEx>
        <w:trPr>
          <w:trHeight w:val="630" w:hRule="atLeast"/>
          <w:jc w:val="center"/>
        </w:trPr>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专项（项目）名称</w:t>
            </w:r>
          </w:p>
        </w:tc>
        <w:tc>
          <w:tcPr>
            <w:tcW w:w="688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各类公招考试专项资金</w:t>
            </w:r>
          </w:p>
        </w:tc>
      </w:tr>
      <w:tr>
        <w:tblPrEx>
          <w:tblLayout w:type="fixed"/>
          <w:tblCellMar>
            <w:top w:w="0" w:type="dxa"/>
            <w:left w:w="108" w:type="dxa"/>
            <w:bottom w:w="0" w:type="dxa"/>
            <w:right w:w="108" w:type="dxa"/>
          </w:tblCellMar>
        </w:tblPrEx>
        <w:trPr>
          <w:trHeight w:val="630" w:hRule="atLeast"/>
          <w:jc w:val="center"/>
        </w:trPr>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项目资金（万元）</w:t>
            </w:r>
          </w:p>
        </w:tc>
        <w:tc>
          <w:tcPr>
            <w:tcW w:w="688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114.14万元</w:t>
            </w:r>
          </w:p>
        </w:tc>
      </w:tr>
      <w:tr>
        <w:tblPrEx>
          <w:tblLayout w:type="fixed"/>
          <w:tblCellMar>
            <w:top w:w="0" w:type="dxa"/>
            <w:left w:w="108" w:type="dxa"/>
            <w:bottom w:w="0" w:type="dxa"/>
            <w:right w:w="108" w:type="dxa"/>
          </w:tblCellMar>
        </w:tblPrEx>
        <w:trPr>
          <w:trHeight w:val="937"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r>
              <w:rPr>
                <w:rFonts w:hint="eastAsia" w:ascii="仿宋" w:hAnsi="仿宋" w:eastAsia="仿宋"/>
                <w:color w:val="000000"/>
                <w:sz w:val="24"/>
              </w:rPr>
              <w:t>总体目标</w:t>
            </w:r>
          </w:p>
        </w:tc>
        <w:tc>
          <w:tcPr>
            <w:tcW w:w="688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按计划顺利完成2021年下半年、2022年上半年各项公招面试、2021年下半年事业单位笔试、</w:t>
            </w:r>
            <w:r>
              <w:rPr>
                <w:rFonts w:ascii="仿宋" w:hAnsi="仿宋" w:eastAsia="仿宋"/>
                <w:color w:val="000000"/>
                <w:sz w:val="24"/>
              </w:rPr>
              <w:t>202</w:t>
            </w:r>
            <w:r>
              <w:rPr>
                <w:rFonts w:hint="eastAsia" w:ascii="仿宋" w:hAnsi="仿宋" w:eastAsia="仿宋"/>
                <w:color w:val="000000"/>
                <w:sz w:val="24"/>
              </w:rPr>
              <w:t>2届</w:t>
            </w:r>
            <w:r>
              <w:rPr>
                <w:rFonts w:ascii="仿宋" w:hAnsi="仿宋" w:eastAsia="仿宋"/>
                <w:color w:val="000000"/>
                <w:sz w:val="24"/>
              </w:rPr>
              <w:t>急需紧缺专业选调生面试</w:t>
            </w:r>
            <w:r>
              <w:rPr>
                <w:rFonts w:hint="eastAsia" w:ascii="仿宋" w:hAnsi="仿宋" w:eastAsia="仿宋"/>
                <w:color w:val="000000"/>
                <w:sz w:val="24"/>
              </w:rPr>
              <w:t>等各项工作</w:t>
            </w:r>
          </w:p>
        </w:tc>
      </w:tr>
      <w:tr>
        <w:tblPrEx>
          <w:tblLayout w:type="fixed"/>
          <w:tblCellMar>
            <w:top w:w="0" w:type="dxa"/>
            <w:left w:w="108" w:type="dxa"/>
            <w:bottom w:w="0" w:type="dxa"/>
            <w:right w:w="108" w:type="dxa"/>
          </w:tblCellMar>
        </w:tblPrEx>
        <w:trPr>
          <w:trHeight w:val="441" w:hRule="atLeast"/>
          <w:jc w:val="center"/>
        </w:trPr>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绩效指标</w:t>
            </w:r>
          </w:p>
        </w:tc>
        <w:tc>
          <w:tcPr>
            <w:tcW w:w="11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一级指标</w:t>
            </w:r>
          </w:p>
        </w:tc>
        <w:tc>
          <w:tcPr>
            <w:tcW w:w="1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二级指标</w:t>
            </w:r>
          </w:p>
        </w:tc>
        <w:tc>
          <w:tcPr>
            <w:tcW w:w="1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三级指标</w:t>
            </w:r>
          </w:p>
        </w:tc>
        <w:tc>
          <w:tcPr>
            <w:tcW w:w="21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年度指标值</w:t>
            </w:r>
          </w:p>
        </w:tc>
      </w:tr>
      <w:tr>
        <w:tblPrEx>
          <w:tblLayout w:type="fixed"/>
          <w:tblCellMar>
            <w:top w:w="0" w:type="dxa"/>
            <w:left w:w="108" w:type="dxa"/>
            <w:bottom w:w="0" w:type="dxa"/>
            <w:right w:w="108" w:type="dxa"/>
          </w:tblCellMar>
        </w:tblPrEx>
        <w:trPr>
          <w:trHeight w:val="961"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项目完成指标</w:t>
            </w:r>
          </w:p>
        </w:tc>
        <w:tc>
          <w:tcPr>
            <w:tcW w:w="172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ind w:firstLine="240" w:firstLineChars="100"/>
              <w:rPr>
                <w:rFonts w:ascii="仿宋" w:hAnsi="仿宋" w:eastAsia="仿宋"/>
                <w:color w:val="000000"/>
                <w:sz w:val="24"/>
              </w:rPr>
            </w:pPr>
            <w:r>
              <w:rPr>
                <w:rFonts w:hint="eastAsia" w:ascii="仿宋" w:hAnsi="仿宋" w:eastAsia="仿宋"/>
                <w:color w:val="000000"/>
                <w:sz w:val="24"/>
              </w:rPr>
              <w:t>数量指标</w:t>
            </w: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rPr>
                <w:rFonts w:ascii="仿宋" w:hAnsi="仿宋" w:eastAsia="仿宋"/>
                <w:color w:val="000000"/>
                <w:sz w:val="24"/>
              </w:rPr>
            </w:pP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ascii="仿宋" w:hAnsi="仿宋" w:eastAsia="仿宋"/>
                <w:color w:val="000000"/>
                <w:sz w:val="24"/>
              </w:rPr>
              <w:t>202</w:t>
            </w:r>
            <w:r>
              <w:rPr>
                <w:rFonts w:hint="eastAsia" w:ascii="仿宋" w:hAnsi="仿宋" w:eastAsia="仿宋"/>
                <w:color w:val="000000"/>
                <w:sz w:val="24"/>
              </w:rPr>
              <w:t>2届</w:t>
            </w:r>
            <w:r>
              <w:rPr>
                <w:rFonts w:ascii="仿宋" w:hAnsi="仿宋" w:eastAsia="仿宋"/>
                <w:color w:val="000000"/>
                <w:sz w:val="24"/>
              </w:rPr>
              <w:t>急需紧缺专业选调生面试</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1项</w:t>
            </w:r>
          </w:p>
        </w:tc>
      </w:tr>
      <w:tr>
        <w:tblPrEx>
          <w:tblLayout w:type="fixed"/>
          <w:tblCellMar>
            <w:top w:w="0" w:type="dxa"/>
            <w:left w:w="108" w:type="dxa"/>
            <w:bottom w:w="0" w:type="dxa"/>
            <w:right w:w="108" w:type="dxa"/>
          </w:tblCellMar>
        </w:tblPrEx>
        <w:trPr>
          <w:trHeight w:val="645"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72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2021年下半年公招面试</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1项</w:t>
            </w:r>
          </w:p>
        </w:tc>
      </w:tr>
      <w:tr>
        <w:tblPrEx>
          <w:tblLayout w:type="fixed"/>
          <w:tblCellMar>
            <w:top w:w="0" w:type="dxa"/>
            <w:left w:w="108" w:type="dxa"/>
            <w:bottom w:w="0" w:type="dxa"/>
            <w:right w:w="108" w:type="dxa"/>
          </w:tblCellMar>
        </w:tblPrEx>
        <w:trPr>
          <w:trHeight w:val="645"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72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2022年上半年公招面试</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2项</w:t>
            </w:r>
          </w:p>
        </w:tc>
      </w:tr>
      <w:tr>
        <w:tblPrEx>
          <w:tblLayout w:type="fixed"/>
          <w:tblCellMar>
            <w:top w:w="0" w:type="dxa"/>
            <w:left w:w="108" w:type="dxa"/>
            <w:bottom w:w="0" w:type="dxa"/>
            <w:right w:w="108" w:type="dxa"/>
          </w:tblCellMar>
        </w:tblPrEx>
        <w:trPr>
          <w:trHeight w:val="645"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722"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2021年度事业单位笔、面试</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2项</w:t>
            </w:r>
          </w:p>
        </w:tc>
      </w:tr>
      <w:tr>
        <w:tblPrEx>
          <w:tblLayout w:type="fixed"/>
          <w:tblCellMar>
            <w:top w:w="0" w:type="dxa"/>
            <w:left w:w="108" w:type="dxa"/>
            <w:bottom w:w="0" w:type="dxa"/>
            <w:right w:w="108" w:type="dxa"/>
          </w:tblCellMar>
        </w:tblPrEx>
        <w:trPr>
          <w:trHeight w:val="1278"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72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2022年聘任制公务员、遴选公务</w:t>
            </w:r>
          </w:p>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员笔、面试</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4项</w:t>
            </w:r>
          </w:p>
        </w:tc>
      </w:tr>
      <w:tr>
        <w:tblPrEx>
          <w:tblLayout w:type="fixed"/>
          <w:tblCellMar>
            <w:top w:w="0" w:type="dxa"/>
            <w:left w:w="108" w:type="dxa"/>
            <w:bottom w:w="0" w:type="dxa"/>
            <w:right w:w="108" w:type="dxa"/>
          </w:tblCellMar>
        </w:tblPrEx>
        <w:trPr>
          <w:trHeight w:val="429"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质量指标</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考试安全</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确保考试安全</w:t>
            </w:r>
          </w:p>
        </w:tc>
      </w:tr>
      <w:tr>
        <w:tblPrEx>
          <w:tblLayout w:type="fixed"/>
          <w:tblCellMar>
            <w:top w:w="0" w:type="dxa"/>
            <w:left w:w="108" w:type="dxa"/>
            <w:bottom w:w="0" w:type="dxa"/>
            <w:right w:w="108" w:type="dxa"/>
          </w:tblCellMar>
        </w:tblPrEx>
        <w:trPr>
          <w:trHeight w:val="630"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时效指标</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完成时限</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根据考试计划按时完成</w:t>
            </w:r>
          </w:p>
        </w:tc>
      </w:tr>
      <w:tr>
        <w:tblPrEx>
          <w:tblLayout w:type="fixed"/>
          <w:tblCellMar>
            <w:top w:w="0" w:type="dxa"/>
            <w:left w:w="108" w:type="dxa"/>
            <w:bottom w:w="0" w:type="dxa"/>
            <w:right w:w="108" w:type="dxa"/>
          </w:tblCellMar>
        </w:tblPrEx>
        <w:trPr>
          <w:trHeight w:val="645"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72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成本指标</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各类公招考试专项资金</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114.14万元</w:t>
            </w:r>
          </w:p>
        </w:tc>
      </w:tr>
      <w:tr>
        <w:tblPrEx>
          <w:tblLayout w:type="fixed"/>
          <w:tblCellMar>
            <w:top w:w="0" w:type="dxa"/>
            <w:left w:w="108" w:type="dxa"/>
            <w:bottom w:w="0" w:type="dxa"/>
            <w:right w:w="108" w:type="dxa"/>
          </w:tblCellMar>
        </w:tblPrEx>
        <w:trPr>
          <w:trHeight w:val="563"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72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ascii="仿宋" w:hAnsi="仿宋" w:eastAsia="仿宋"/>
                <w:color w:val="000000"/>
                <w:sz w:val="24"/>
              </w:rPr>
              <w:t>经济效益指标</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非税收入</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olor w:val="000000"/>
                <w:sz w:val="24"/>
              </w:rPr>
            </w:pPr>
            <w:r>
              <w:rPr>
                <w:rFonts w:hint="eastAsia" w:ascii="仿宋" w:hAnsi="仿宋" w:eastAsia="仿宋"/>
                <w:color w:val="000000"/>
                <w:sz w:val="24"/>
              </w:rPr>
              <w:t>26.15万元</w:t>
            </w:r>
          </w:p>
        </w:tc>
      </w:tr>
      <w:tr>
        <w:tblPrEx>
          <w:tblLayout w:type="fixed"/>
          <w:tblCellMar>
            <w:top w:w="0" w:type="dxa"/>
            <w:left w:w="108" w:type="dxa"/>
            <w:bottom w:w="0" w:type="dxa"/>
            <w:right w:w="108" w:type="dxa"/>
          </w:tblCellMar>
        </w:tblPrEx>
        <w:trPr>
          <w:trHeight w:val="1555"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项目效益指标</w:t>
            </w:r>
          </w:p>
        </w:tc>
        <w:tc>
          <w:tcPr>
            <w:tcW w:w="1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社会效益指标</w:t>
            </w:r>
          </w:p>
          <w:p>
            <w:pPr>
              <w:widowControl/>
              <w:jc w:val="center"/>
              <w:rPr>
                <w:rFonts w:ascii="仿宋" w:hAnsi="仿宋" w:eastAsia="仿宋"/>
                <w:color w:val="000000"/>
                <w:sz w:val="24"/>
              </w:rPr>
            </w:pP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人才结构</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改善机关事业单位人才队伍结构，提升各单位人员履职能力，为经济发展提供人才支撑</w:t>
            </w:r>
          </w:p>
        </w:tc>
      </w:tr>
      <w:tr>
        <w:tblPrEx>
          <w:tblLayout w:type="fixed"/>
          <w:tblCellMar>
            <w:top w:w="0" w:type="dxa"/>
            <w:left w:w="108" w:type="dxa"/>
            <w:bottom w:w="0" w:type="dxa"/>
            <w:right w:w="108" w:type="dxa"/>
          </w:tblCellMar>
        </w:tblPrEx>
        <w:trPr>
          <w:trHeight w:val="697"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722"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可持续影响指标</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人才评价</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客观评价人才，发挥人才价值</w:t>
            </w:r>
          </w:p>
        </w:tc>
      </w:tr>
      <w:tr>
        <w:tblPrEx>
          <w:tblLayout w:type="fixed"/>
          <w:tblCellMar>
            <w:top w:w="0" w:type="dxa"/>
            <w:left w:w="108" w:type="dxa"/>
            <w:bottom w:w="0" w:type="dxa"/>
            <w:right w:w="108" w:type="dxa"/>
          </w:tblCellMar>
        </w:tblPrEx>
        <w:trPr>
          <w:trHeight w:val="1246"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722"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人才选拔</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选拔优秀人才，更好推动各项工作，保证党和国家的事业发展可持续</w:t>
            </w:r>
          </w:p>
        </w:tc>
      </w:tr>
      <w:tr>
        <w:tblPrEx>
          <w:tblLayout w:type="fixed"/>
          <w:tblCellMar>
            <w:top w:w="0" w:type="dxa"/>
            <w:left w:w="108" w:type="dxa"/>
            <w:bottom w:w="0" w:type="dxa"/>
            <w:right w:w="108" w:type="dxa"/>
          </w:tblCellMar>
        </w:tblPrEx>
        <w:trPr>
          <w:trHeight w:val="474"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满意度指标</w:t>
            </w:r>
          </w:p>
        </w:tc>
        <w:tc>
          <w:tcPr>
            <w:tcW w:w="17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满意度指标</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用人单位满意度</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≥90%</w:t>
            </w:r>
          </w:p>
        </w:tc>
      </w:tr>
      <w:tr>
        <w:tblPrEx>
          <w:tblLayout w:type="fixed"/>
          <w:tblCellMar>
            <w:top w:w="0" w:type="dxa"/>
            <w:left w:w="108" w:type="dxa"/>
            <w:bottom w:w="0" w:type="dxa"/>
            <w:right w:w="108" w:type="dxa"/>
          </w:tblCellMar>
        </w:tblPrEx>
        <w:trPr>
          <w:trHeight w:val="445" w:hRule="atLeast"/>
          <w:jc w:val="center"/>
        </w:trPr>
        <w:tc>
          <w:tcPr>
            <w:tcW w:w="1453"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19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72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4"/>
              </w:rPr>
            </w:pP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考生满意度</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≥90%</w:t>
            </w:r>
          </w:p>
        </w:tc>
      </w:tr>
    </w:tbl>
    <w:p>
      <w:pPr>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widowControl/>
        <w:adjustRightInd w:val="0"/>
        <w:snapToGrid w:val="0"/>
        <w:spacing w:line="578" w:lineRule="exact"/>
        <w:ind w:firstLine="640" w:firstLineChars="200"/>
        <w:contextualSpacing/>
        <w:jc w:val="both"/>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各类公招考试专项资金项目由确定项目计划、申请项目预算、组织实施项目、完成项目资金支付、开展项目绩效自评等几个流程进行。项目主要采取自评方式，结合评价内容，按照上级下达的项目支出绩效评价指标体系，针对申报内容、实施情况、资金支付、项目效益等方面做出自我评价，并及时发现项目实施过程中遇到的问题，做到立行立改，做好项目自评工作。</w:t>
      </w:r>
    </w:p>
    <w:p>
      <w:pPr>
        <w:adjustRightInd w:val="0"/>
        <w:snapToGrid w:val="0"/>
        <w:spacing w:line="578" w:lineRule="exact"/>
        <w:ind w:firstLine="720"/>
        <w:jc w:val="both"/>
        <w:rPr>
          <w:rFonts w:ascii="黑体" w:hAnsi="宋体" w:eastAsia="黑体"/>
          <w:sz w:val="32"/>
          <w:szCs w:val="32"/>
        </w:rPr>
      </w:pPr>
      <w:bookmarkStart w:id="87" w:name="_Toc11466_WPSOffice_Level2"/>
      <w:bookmarkStart w:id="88" w:name="_Toc1446_WPSOffice_Level2"/>
      <w:r>
        <w:rPr>
          <w:rFonts w:hint="eastAsia" w:ascii="黑体" w:hAnsi="宋体" w:eastAsia="黑体"/>
          <w:sz w:val="32"/>
          <w:szCs w:val="32"/>
        </w:rPr>
        <w:t>二、项目资金申报及使用情况</w:t>
      </w:r>
      <w:bookmarkEnd w:id="87"/>
      <w:bookmarkEnd w:id="88"/>
    </w:p>
    <w:p>
      <w:pPr>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578" w:lineRule="exact"/>
        <w:ind w:firstLine="720"/>
        <w:jc w:val="both"/>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各类公招考试专项资金项目申报金额114.91万元，预算批复114.91万元（攀财资行[2022]82号文批复18.43万元、攀财资社[2022]78号文批复38.16万元、攀财资社[2022]39号文批复38.32万元、攀财资社[2022]143号文批复20.00万元），年末指标追减0.77万元，共完成项目资金支付114.14万元。</w:t>
      </w:r>
    </w:p>
    <w:p>
      <w:pPr>
        <w:adjustRightInd w:val="0"/>
        <w:snapToGrid w:val="0"/>
        <w:spacing w:line="578" w:lineRule="exact"/>
        <w:ind w:firstLine="720"/>
        <w:jc w:val="both"/>
        <w:rPr>
          <w:rFonts w:ascii="仿宋_GB2312" w:hAnsi="宋体"/>
          <w:sz w:val="32"/>
          <w:szCs w:val="32"/>
          <w:lang w:val="zh-CN"/>
        </w:rPr>
      </w:pPr>
      <w:r>
        <w:rPr>
          <w:rFonts w:hint="eastAsia" w:ascii="楷体_GB2312" w:hAnsi="宋体" w:eastAsia="楷体_GB2312"/>
          <w:b/>
          <w:sz w:val="32"/>
          <w:szCs w:val="32"/>
          <w:lang w:val="zh-CN"/>
        </w:rPr>
        <w:t>（二）资金计划、到位及使用情况。</w:t>
      </w:r>
    </w:p>
    <w:p>
      <w:pPr>
        <w:pStyle w:val="2"/>
        <w:spacing w:before="93" w:line="578" w:lineRule="exact"/>
        <w:ind w:firstLine="640" w:firstLineChars="200"/>
        <w:jc w:val="both"/>
        <w:rPr>
          <w:rFonts w:hAnsi="仿宋_GB2312" w:cs="仿宋_GB2312"/>
          <w:sz w:val="32"/>
          <w:szCs w:val="32"/>
          <w:shd w:val="clear" w:color="auto" w:fill="FFFFFF"/>
          <w:lang w:val="zh-CN"/>
        </w:rPr>
      </w:pPr>
      <w:r>
        <w:rPr>
          <w:rFonts w:hint="eastAsia" w:hAnsi="仿宋_GB2312" w:cs="仿宋_GB2312"/>
          <w:sz w:val="32"/>
          <w:szCs w:val="32"/>
          <w:shd w:val="clear" w:color="auto" w:fill="FFFFFF"/>
          <w:lang w:val="zh-CN"/>
        </w:rPr>
        <w:t>1．资金计划及到位。各类公招考试专项资金项目申报计划金额114.91万元，于年中分四批次（攀财资行[2022]82号文批复18.43万元、攀财资社[2022]78号文批复38.16万元、攀财资社[2022]39号文批复38.32万元、攀财资社[2022]143号文批复20.00万元）下达预算指标。</w:t>
      </w:r>
    </w:p>
    <w:p>
      <w:pPr>
        <w:pStyle w:val="2"/>
        <w:spacing w:before="93" w:line="578" w:lineRule="exact"/>
        <w:ind w:firstLine="640" w:firstLineChars="200"/>
        <w:jc w:val="both"/>
        <w:rPr>
          <w:rFonts w:hAnsi="仿宋_GB2312" w:cs="仿宋_GB2312"/>
          <w:sz w:val="32"/>
          <w:szCs w:val="32"/>
          <w:shd w:val="clear" w:color="auto" w:fill="FFFFFF"/>
          <w:lang w:val="zh-CN"/>
        </w:rPr>
      </w:pPr>
      <w:r>
        <w:rPr>
          <w:rFonts w:hint="eastAsia" w:hAnsi="仿宋_GB2312" w:cs="仿宋_GB2312"/>
          <w:sz w:val="32"/>
          <w:szCs w:val="32"/>
          <w:shd w:val="clear" w:color="auto" w:fill="FFFFFF"/>
          <w:lang w:val="zh-CN"/>
        </w:rPr>
        <w:t>2．资金使用。各类公招考试专项资金项目年末追减指标0.77万元，实际支出114.14万元，该项目资金的使用严格按照预算收支管理制度进行审核和支付，支付依据合规合法，支付进度按照各考试项目的计划执行，保证了各项资金使用的安全、规范和有效。</w:t>
      </w:r>
    </w:p>
    <w:p>
      <w:pPr>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578" w:lineRule="exact"/>
        <w:ind w:firstLine="720"/>
        <w:jc w:val="both"/>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各类公招考试专项资金项目按考试计划进度完成支付。拨付各项支出时严格按照财务管理制度进行审核，及时进行支付，规范开展会计核算和账务处理，保证项目实施绩效良好。</w:t>
      </w:r>
    </w:p>
    <w:p>
      <w:pPr>
        <w:adjustRightInd w:val="0"/>
        <w:snapToGrid w:val="0"/>
        <w:spacing w:line="578" w:lineRule="exact"/>
        <w:ind w:firstLine="720"/>
        <w:jc w:val="both"/>
        <w:rPr>
          <w:rFonts w:ascii="黑体" w:hAnsi="宋体" w:eastAsia="黑体"/>
          <w:sz w:val="32"/>
          <w:szCs w:val="32"/>
        </w:rPr>
      </w:pPr>
      <w:bookmarkStart w:id="89" w:name="_Toc27304_WPSOffice_Level2"/>
      <w:bookmarkStart w:id="90" w:name="_Toc19609_WPSOffice_Level2"/>
      <w:r>
        <w:rPr>
          <w:rFonts w:hint="eastAsia" w:ascii="黑体" w:hAnsi="宋体" w:eastAsia="黑体"/>
          <w:sz w:val="32"/>
          <w:szCs w:val="32"/>
        </w:rPr>
        <w:t>三、项目实施及管理情况</w:t>
      </w:r>
      <w:bookmarkEnd w:id="89"/>
      <w:bookmarkEnd w:id="90"/>
    </w:p>
    <w:p>
      <w:pPr>
        <w:adjustRightInd w:val="0"/>
        <w:snapToGrid w:val="0"/>
        <w:spacing w:line="578" w:lineRule="exact"/>
        <w:ind w:firstLine="720"/>
        <w:jc w:val="both"/>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市人事考试中心主要负责组织、管理和实施专业技术人员职称考试、国家公务员和机关工作人员录用考试、事业单位专业技术人员和管理人员招聘考试、选拔考试，以及其他受委托举行的资质认证考试和各类人员的测评、测试。根据人力资源和社会保障部、四川省人力资源和社会保障厅发布的考试计划，按计划组织各项考试；按考试计划和相关要求组织市委组织部、市人力资源社会保障局、市教育体育局等部门牵头开展的各项公招考试。</w:t>
      </w:r>
    </w:p>
    <w:p>
      <w:pPr>
        <w:adjustRightInd w:val="0"/>
        <w:snapToGrid w:val="0"/>
        <w:spacing w:line="578" w:lineRule="exact"/>
        <w:ind w:firstLine="720"/>
        <w:jc w:val="both"/>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各项考试的组织和实施按具体考试的考务要求和考试纪律严格执行，保证各项考试顺利实施，不出差错。</w:t>
      </w:r>
    </w:p>
    <w:p>
      <w:pPr>
        <w:adjustRightInd w:val="0"/>
        <w:snapToGrid w:val="0"/>
        <w:spacing w:line="578" w:lineRule="exact"/>
        <w:ind w:firstLine="720"/>
        <w:jc w:val="both"/>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各项考试在实施和组织的过程中牵头组织部门安排巡视人员及市纪检委选派的监督人员对考试进行全程监督，考试工作人员严肃考风考纪，履职尽责，保证考试公平公正。</w:t>
      </w:r>
    </w:p>
    <w:p>
      <w:pPr>
        <w:adjustRightInd w:val="0"/>
        <w:snapToGrid w:val="0"/>
        <w:spacing w:line="578" w:lineRule="exact"/>
        <w:ind w:firstLine="720"/>
        <w:jc w:val="both"/>
        <w:rPr>
          <w:rFonts w:ascii="仿宋_GB2312" w:hAnsi="宋体"/>
          <w:sz w:val="32"/>
          <w:szCs w:val="32"/>
          <w:lang w:val="zh-CN"/>
        </w:rPr>
      </w:pPr>
      <w:bookmarkStart w:id="91" w:name="_Toc6836_WPSOffice_Level2"/>
      <w:bookmarkStart w:id="92" w:name="_Toc19485_WPSOffice_Level2"/>
      <w:r>
        <w:rPr>
          <w:rFonts w:hint="eastAsia" w:ascii="黑体" w:hAnsi="宋体" w:eastAsia="黑体"/>
          <w:sz w:val="32"/>
          <w:szCs w:val="32"/>
        </w:rPr>
        <w:t>四、项目绩效情况</w:t>
      </w:r>
      <w:bookmarkEnd w:id="91"/>
      <w:bookmarkEnd w:id="92"/>
    </w:p>
    <w:p>
      <w:pPr>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78" w:lineRule="exact"/>
        <w:ind w:firstLine="72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各类公招考试专项资金项目按照预期目标顺利完成2021年下半年及2022年上半年各项公务员公招面试、体检、2021年度事业单位笔试、面试、体检、2022届急需紧缺专业选调生面试等10余项考试工作。未发生一起考试安全事故和考生投诉信访事件，按时按要求完成各项考试。</w:t>
      </w:r>
    </w:p>
    <w:p>
      <w:pPr>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4"/>
        <w:spacing w:before="93" w:line="578" w:lineRule="exact"/>
        <w:ind w:firstLine="640" w:firstLineChars="200"/>
        <w:jc w:val="both"/>
        <w:rPr>
          <w:rFonts w:ascii="仿宋_GB2312" w:hAnsi="仿宋_GB2312" w:eastAsia="仿宋_GB2312" w:cs="仿宋_GB2312"/>
          <w:sz w:val="32"/>
          <w:szCs w:val="32"/>
        </w:rPr>
      </w:pPr>
      <w:r>
        <w:rPr>
          <w:rFonts w:eastAsia="仿宋_GB2312"/>
          <w:sz w:val="32"/>
          <w:szCs w:val="32"/>
        </w:rPr>
        <w:t>各项考试</w:t>
      </w:r>
      <w:r>
        <w:rPr>
          <w:rFonts w:hint="eastAsia" w:eastAsia="仿宋_GB2312"/>
          <w:sz w:val="32"/>
          <w:szCs w:val="32"/>
        </w:rPr>
        <w:t>项目</w:t>
      </w:r>
      <w:r>
        <w:rPr>
          <w:rFonts w:eastAsia="仿宋_GB2312"/>
          <w:sz w:val="32"/>
          <w:szCs w:val="32"/>
        </w:rPr>
        <w:t>的顺利完成</w:t>
      </w:r>
      <w:r>
        <w:rPr>
          <w:rFonts w:hint="eastAsia" w:eastAsia="仿宋_GB2312"/>
          <w:sz w:val="32"/>
          <w:szCs w:val="32"/>
        </w:rPr>
        <w:t>实现</w:t>
      </w:r>
      <w:r>
        <w:rPr>
          <w:rFonts w:eastAsia="仿宋_GB2312"/>
          <w:sz w:val="32"/>
          <w:szCs w:val="32"/>
        </w:rPr>
        <w:t>了</w:t>
      </w:r>
      <w:r>
        <w:rPr>
          <w:rFonts w:hint="eastAsia" w:eastAsia="仿宋_GB2312"/>
          <w:sz w:val="32"/>
          <w:szCs w:val="32"/>
        </w:rPr>
        <w:t>“安全考试、公平考试、科学考试、规范考试”的总体目标；改善了机关事业单位人才队伍结构，提升各单位人员履职能力，为</w:t>
      </w:r>
      <w:r>
        <w:rPr>
          <w:rFonts w:eastAsia="仿宋_GB2312"/>
          <w:sz w:val="32"/>
          <w:szCs w:val="32"/>
        </w:rPr>
        <w:t>经济发展</w:t>
      </w:r>
      <w:r>
        <w:rPr>
          <w:rFonts w:hint="eastAsia" w:eastAsia="仿宋_GB2312"/>
          <w:sz w:val="32"/>
          <w:szCs w:val="32"/>
        </w:rPr>
        <w:t>提供人才支撑；</w:t>
      </w:r>
      <w:r>
        <w:rPr>
          <w:rFonts w:eastAsia="仿宋_GB2312"/>
          <w:sz w:val="32"/>
          <w:szCs w:val="32"/>
        </w:rPr>
        <w:t>客观公正地持续性为党和国</w:t>
      </w:r>
      <w:r>
        <w:rPr>
          <w:rFonts w:hint="eastAsia" w:eastAsia="仿宋_GB2312"/>
          <w:sz w:val="32"/>
          <w:szCs w:val="32"/>
        </w:rPr>
        <w:t>家</w:t>
      </w:r>
      <w:r>
        <w:rPr>
          <w:rFonts w:eastAsia="仿宋_GB2312"/>
          <w:sz w:val="32"/>
          <w:szCs w:val="32"/>
        </w:rPr>
        <w:t>选拔和评价人才</w:t>
      </w:r>
      <w:r>
        <w:rPr>
          <w:rFonts w:hint="eastAsia" w:eastAsia="仿宋_GB2312"/>
          <w:sz w:val="32"/>
          <w:szCs w:val="32"/>
        </w:rPr>
        <w:t>。没有发生</w:t>
      </w:r>
      <w:r>
        <w:rPr>
          <w:rFonts w:eastAsia="仿宋_GB2312"/>
          <w:sz w:val="32"/>
          <w:szCs w:val="32"/>
        </w:rPr>
        <w:t>考试安全事故和考生</w:t>
      </w:r>
      <w:r>
        <w:rPr>
          <w:rFonts w:hint="eastAsia" w:eastAsia="仿宋_GB2312"/>
          <w:sz w:val="32"/>
          <w:szCs w:val="32"/>
        </w:rPr>
        <w:t>投诉、</w:t>
      </w:r>
      <w:r>
        <w:rPr>
          <w:rFonts w:eastAsia="仿宋_GB2312"/>
          <w:sz w:val="32"/>
          <w:szCs w:val="32"/>
        </w:rPr>
        <w:t>信访事件，</w:t>
      </w:r>
      <w:r>
        <w:rPr>
          <w:rFonts w:hint="eastAsia" w:eastAsia="仿宋_GB2312"/>
          <w:sz w:val="32"/>
          <w:szCs w:val="32"/>
        </w:rPr>
        <w:t>各项工作成效显著</w:t>
      </w:r>
      <w:r>
        <w:rPr>
          <w:rFonts w:eastAsia="仿宋_GB2312"/>
          <w:sz w:val="32"/>
          <w:szCs w:val="32"/>
        </w:rPr>
        <w:t>。</w:t>
      </w:r>
      <w:r>
        <w:rPr>
          <w:rFonts w:hint="eastAsia" w:eastAsia="仿宋_GB2312"/>
          <w:sz w:val="32"/>
          <w:szCs w:val="32"/>
        </w:rPr>
        <w:t>用人单位</w:t>
      </w:r>
      <w:r>
        <w:rPr>
          <w:rFonts w:eastAsia="仿宋_GB2312"/>
          <w:sz w:val="32"/>
          <w:szCs w:val="32"/>
        </w:rPr>
        <w:t>及考生满意度均达到</w:t>
      </w:r>
      <w:r>
        <w:rPr>
          <w:rFonts w:hint="eastAsia" w:eastAsia="仿宋_GB2312"/>
          <w:sz w:val="32"/>
          <w:szCs w:val="32"/>
        </w:rPr>
        <w:t>90</w:t>
      </w:r>
      <w:r>
        <w:rPr>
          <w:rFonts w:eastAsia="仿宋_GB2312"/>
          <w:sz w:val="32"/>
          <w:szCs w:val="32"/>
        </w:rPr>
        <w:t>%以上。</w:t>
      </w:r>
    </w:p>
    <w:p>
      <w:pPr>
        <w:adjustRightInd w:val="0"/>
        <w:snapToGrid w:val="0"/>
        <w:spacing w:line="578" w:lineRule="exact"/>
        <w:ind w:firstLine="720"/>
        <w:jc w:val="both"/>
        <w:rPr>
          <w:rFonts w:ascii="黑体" w:hAnsi="宋体" w:eastAsia="黑体"/>
          <w:sz w:val="32"/>
          <w:szCs w:val="32"/>
        </w:rPr>
      </w:pPr>
      <w:bookmarkStart w:id="93" w:name="_Toc24831_WPSOffice_Level2"/>
      <w:bookmarkStart w:id="94" w:name="_Toc10361_WPSOffice_Level2"/>
      <w:r>
        <w:rPr>
          <w:rFonts w:hint="eastAsia" w:ascii="黑体" w:hAnsi="宋体" w:eastAsia="黑体"/>
          <w:sz w:val="32"/>
          <w:szCs w:val="32"/>
        </w:rPr>
        <w:t>五、评价结论及建议</w:t>
      </w:r>
      <w:bookmarkEnd w:id="93"/>
      <w:bookmarkEnd w:id="94"/>
    </w:p>
    <w:p>
      <w:pPr>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widowControl/>
        <w:adjustRightInd w:val="0"/>
        <w:snapToGrid w:val="0"/>
        <w:spacing w:line="578" w:lineRule="exact"/>
        <w:ind w:firstLine="640" w:firstLineChars="200"/>
        <w:contextualSpacing/>
        <w:jc w:val="both"/>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各类公招考试专项资金项目按计划顺利完成2021年下半年、2022年上半年各项公招面试、2021年下半年事业单位笔试、2022届急需紧缺专业选调生面试等各项工作，按计划高效完成各个项目的费用支付，项目实施过程中未发生考试安全事故，完成了年度各项产出、效益、满意度等指标。</w:t>
      </w:r>
    </w:p>
    <w:p>
      <w:pPr>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578" w:lineRule="exact"/>
        <w:ind w:firstLine="720"/>
        <w:jc w:val="both"/>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在实施项目绩效过程中，有些绩效考核指标与单位具体的项目情况不相关，无法进行绩效评价。</w:t>
      </w:r>
    </w:p>
    <w:p>
      <w:pPr>
        <w:tabs>
          <w:tab w:val="center" w:pos="4513"/>
        </w:tabs>
        <w:adjustRightInd w:val="0"/>
        <w:snapToGrid w:val="0"/>
        <w:spacing w:line="578" w:lineRule="exact"/>
        <w:ind w:firstLine="720"/>
        <w:jc w:val="both"/>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78" w:lineRule="exact"/>
        <w:ind w:firstLine="640" w:firstLineChars="200"/>
        <w:jc w:val="both"/>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r>
        <w:rPr>
          <w:rFonts w:hint="eastAsia" w:ascii="仿宋_GB2312" w:hAnsi="仿宋_GB2312" w:eastAsia="仿宋_GB2312" w:cs="仿宋_GB2312"/>
          <w:kern w:val="0"/>
          <w:sz w:val="32"/>
          <w:szCs w:val="32"/>
          <w:shd w:val="clear" w:color="auto" w:fill="FFFFFF"/>
          <w:lang w:val="zh-CN"/>
        </w:rPr>
        <w:t>建议在实施项目绩效管理时，一是相关部门可加强对部门预算绩效的培训，保证预算绩效申报的准确性；二是项目绩效指标可根据单位实际的项目考核相关指标，不相关指标不考核。</w:t>
      </w:r>
      <w:r>
        <w:rPr>
          <w:rFonts w:hint="eastAsia" w:ascii="微软雅黑" w:hAnsi="微软雅黑" w:eastAsia="微软雅黑" w:cs="微软雅黑"/>
          <w:i w:val="0"/>
          <w:caps w:val="0"/>
          <w:color w:val="000000" w:themeColor="text1"/>
          <w:spacing w:val="0"/>
          <w:sz w:val="27"/>
          <w:szCs w:val="27"/>
          <w14:textFill>
            <w14:solidFill>
              <w14:schemeClr w14:val="tx1"/>
            </w14:solidFill>
          </w14:textFill>
        </w:rPr>
        <w:t> </w:t>
      </w:r>
    </w:p>
    <w:p>
      <w:pPr>
        <w:pStyle w:val="2"/>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pStyle w:val="2"/>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pStyle w:val="2"/>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Pr>
        <w:pStyle w:val="2"/>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000000" w:themeColor="text1"/>
          <w:sz w:val="44"/>
          <w:szCs w:val="44"/>
          <w14:textFill>
            <w14:solidFill>
              <w14:schemeClr w14:val="tx1"/>
            </w14:solidFill>
          </w14:textFill>
        </w:rPr>
      </w:pPr>
      <w:bookmarkStart w:id="95" w:name="_Toc4375_WPSOffice_Level1"/>
      <w:bookmarkStart w:id="96" w:name="_Toc12069_WPSOffice_Level1"/>
      <w:r>
        <w:rPr>
          <w:rFonts w:hint="eastAsia" w:ascii="黑体" w:hAnsi="黑体" w:eastAsia="黑体" w:cs="黑体"/>
          <w:i w:val="0"/>
          <w:caps w:val="0"/>
          <w:color w:val="000000" w:themeColor="text1"/>
          <w:spacing w:val="0"/>
          <w:sz w:val="44"/>
          <w:szCs w:val="44"/>
          <w14:textFill>
            <w14:solidFill>
              <w14:schemeClr w14:val="tx1"/>
            </w14:solidFill>
          </w14:textFill>
        </w:rPr>
        <w:t>第五部分 附表</w:t>
      </w:r>
      <w:bookmarkEnd w:id="95"/>
      <w:bookmarkEnd w:id="9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10"/>
          <w:szCs w:val="10"/>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97" w:name="_Toc25784_WPSOffice_Level2"/>
      <w:bookmarkStart w:id="98" w:name="_Toc21718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一、收入支出决算总表</w:t>
      </w:r>
      <w:bookmarkEnd w:id="97"/>
      <w:bookmarkEnd w:id="9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99" w:name="_Toc15036_WPSOffice_Level2"/>
      <w:bookmarkStart w:id="100" w:name="_Toc21740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二、收入决算表</w:t>
      </w:r>
      <w:bookmarkEnd w:id="99"/>
      <w:bookmarkEnd w:id="10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01" w:name="_Toc14665_WPSOffice_Level2"/>
      <w:bookmarkStart w:id="102" w:name="_Toc29332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三、支出决算表</w:t>
      </w:r>
      <w:bookmarkEnd w:id="101"/>
      <w:bookmarkEnd w:id="10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03" w:name="_Toc4484_WPSOffice_Level2"/>
      <w:bookmarkStart w:id="104" w:name="_Toc30607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四、财政拨款收入支出决算总表</w:t>
      </w:r>
      <w:bookmarkEnd w:id="103"/>
      <w:bookmarkEnd w:id="10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05" w:name="_Toc19482_WPSOffice_Level2"/>
      <w:bookmarkStart w:id="106" w:name="_Toc26553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五、财政拨款支出决算明细表</w:t>
      </w:r>
      <w:bookmarkEnd w:id="105"/>
      <w:bookmarkEnd w:id="10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07" w:name="_Toc21940_WPSOffice_Level2"/>
      <w:bookmarkStart w:id="108" w:name="_Toc3864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六、一般公共预算财政拨款支出决算表</w:t>
      </w:r>
      <w:bookmarkEnd w:id="107"/>
      <w:bookmarkEnd w:id="10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09" w:name="_Toc17221_WPSOffice_Level2"/>
      <w:bookmarkStart w:id="110" w:name="_Toc4564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七、一般公共预算财政拨款支出决算明细表</w:t>
      </w:r>
      <w:bookmarkEnd w:id="109"/>
      <w:bookmarkEnd w:id="11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11" w:name="_Toc30757_WPSOffice_Level2"/>
      <w:bookmarkStart w:id="112" w:name="_Toc15816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八、一般公共预算财政拨款基本支出决算表</w:t>
      </w:r>
      <w:bookmarkEnd w:id="111"/>
      <w:bookmarkEnd w:id="11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13" w:name="_Toc19134_WPSOffice_Level2"/>
      <w:bookmarkStart w:id="114" w:name="_Toc355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九、一般公共预算财政拨款项目支出决算表</w:t>
      </w:r>
      <w:bookmarkEnd w:id="113"/>
      <w:bookmarkEnd w:id="11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15" w:name="_Toc371_WPSOffice_Level2"/>
      <w:bookmarkStart w:id="116" w:name="_Toc29787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十、</w:t>
      </w:r>
      <w:bookmarkEnd w:id="115"/>
      <w:bookmarkStart w:id="117" w:name="_Toc2886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政府性基金预算财政拨款收入支出决算表</w:t>
      </w:r>
      <w:bookmarkEnd w:id="117"/>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（财决公开1</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表无数据）</w:t>
      </w:r>
      <w:bookmarkEnd w:id="11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18" w:name="_Toc6621_WPSOffice_Level2"/>
      <w:bookmarkStart w:id="119" w:name="_Toc25989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十</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、国有资本经营预算财政拨款收入支出决算表（财决公开1</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表无数据）</w:t>
      </w:r>
      <w:bookmarkEnd w:id="118"/>
      <w:bookmarkEnd w:id="11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bookmarkStart w:id="120" w:name="_Toc11872_WPSOffice_Level2"/>
      <w:bookmarkStart w:id="121" w:name="_Toc27012_WPSOffice_Level2"/>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十</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二</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、国有资本经营预算财政拨款支出决算表（财决公开1</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表无数据）</w:t>
      </w:r>
      <w:bookmarkEnd w:id="120"/>
      <w:bookmarkEnd w:id="12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bookmarkStart w:id="122" w:name="_Toc30214_WPSOffice_Level2"/>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十三、</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财政拨款“三公”经费支出决算表</w:t>
      </w:r>
      <w:bookmarkEnd w:id="122"/>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DF05F6"/>
    <w:multiLevelType w:val="singleLevel"/>
    <w:tmpl w:val="BEDF05F6"/>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诗涵">
    <w15:presenceInfo w15:providerId="None" w15:userId="杨诗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77DE1"/>
    <w:rsid w:val="04E20F1A"/>
    <w:rsid w:val="0BA17513"/>
    <w:rsid w:val="0D9A5543"/>
    <w:rsid w:val="0DD147E7"/>
    <w:rsid w:val="0E4A274A"/>
    <w:rsid w:val="13BE14C6"/>
    <w:rsid w:val="14E74F51"/>
    <w:rsid w:val="19C709CA"/>
    <w:rsid w:val="201334EB"/>
    <w:rsid w:val="241D0E6E"/>
    <w:rsid w:val="33944112"/>
    <w:rsid w:val="37E61940"/>
    <w:rsid w:val="380027BE"/>
    <w:rsid w:val="41AC37BF"/>
    <w:rsid w:val="43B0755D"/>
    <w:rsid w:val="45EA3D35"/>
    <w:rsid w:val="4F013E38"/>
    <w:rsid w:val="56EA57AE"/>
    <w:rsid w:val="600A7B78"/>
    <w:rsid w:val="61577DE1"/>
    <w:rsid w:val="61A0266B"/>
    <w:rsid w:val="62FF1EBF"/>
    <w:rsid w:val="63BE481F"/>
    <w:rsid w:val="65E41C0C"/>
    <w:rsid w:val="66435A38"/>
    <w:rsid w:val="71193BBF"/>
    <w:rsid w:val="7140507A"/>
    <w:rsid w:val="753107C9"/>
    <w:rsid w:val="754D5255"/>
    <w:rsid w:val="77962B46"/>
    <w:rsid w:val="7B1D7F90"/>
    <w:rsid w:val="7B8E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6"/>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30"/>
    </w:rPr>
  </w:style>
  <w:style w:type="paragraph" w:styleId="4">
    <w:name w:val="Plain Text"/>
    <w:basedOn w:val="1"/>
    <w:qFormat/>
    <w:uiPriority w:val="0"/>
    <w:rPr>
      <w:rFonts w:ascii="宋体" w:hAnsi="Courier New" w:eastAsia="宋体"/>
      <w:sz w:val="21"/>
      <w:szCs w:val="24"/>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qFormat/>
    <w:uiPriority w:val="99"/>
    <w:rPr>
      <w:rFonts w:cs="Times New Roman"/>
      <w:b/>
    </w:rPr>
  </w:style>
  <w:style w:type="character" w:styleId="11">
    <w:name w:val="Emphasis"/>
    <w:basedOn w:val="9"/>
    <w:qFormat/>
    <w:uiPriority w:val="0"/>
    <w:rPr>
      <w:i/>
    </w:rPr>
  </w:style>
  <w:style w:type="paragraph" w:customStyle="1" w:styleId="12">
    <w:name w:val="NormalIndent"/>
    <w:basedOn w:val="1"/>
    <w:qFormat/>
    <w:uiPriority w:val="0"/>
    <w:pPr>
      <w:ind w:firstLine="420" w:firstLineChars="200"/>
    </w:p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 w:type="paragraph" w:customStyle="1" w:styleId="15">
    <w:name w:val="四号正文"/>
    <w:basedOn w:val="1"/>
    <w:qFormat/>
    <w:uiPriority w:val="0"/>
    <w:pPr>
      <w:spacing w:line="360" w:lineRule="auto"/>
    </w:pPr>
    <w:rPr>
      <w:rFonts w:ascii="??" w:hAnsi="??" w:eastAsia="宋体"/>
      <w:color w:val="000000"/>
      <w:kern w:val="0"/>
      <w:sz w:val="28"/>
      <w:szCs w:val="21"/>
      <w:lang w:val="zh-CN"/>
    </w:rPr>
  </w:style>
  <w:style w:type="character" w:customStyle="1" w:styleId="16">
    <w:name w:val="标题 1 Char"/>
    <w:basedOn w:val="9"/>
    <w:link w:val="3"/>
    <w:qFormat/>
    <w:uiPriority w:val="9"/>
    <w:rPr>
      <w:rFonts w:hint="eastAsia" w:ascii="宋体" w:hAnsi="宋体" w:eastAsia="宋体" w:cs="宋体"/>
      <w:b/>
      <w:kern w:val="44"/>
      <w:sz w:val="48"/>
      <w:szCs w:val="4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glossaryDocument" Target="glossary/document.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2021年度</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c:f>
              <c:strCache>
                <c:ptCount val="1"/>
                <c:pt idx="0">
                  <c:v>收、支总计</c:v>
                </c:pt>
              </c:strCache>
            </c:strRef>
          </c:cat>
          <c:val>
            <c:numRef>
              <c:f>Sheet1!$B$2</c:f>
              <c:numCache>
                <c:formatCode>General</c:formatCode>
                <c:ptCount val="1"/>
                <c:pt idx="0">
                  <c:v>3247.53</c:v>
                </c:pt>
              </c:numCache>
            </c:numRef>
          </c:val>
        </c:ser>
        <c:ser>
          <c:idx val="1"/>
          <c:order val="1"/>
          <c:tx>
            <c:strRef>
              <c:f>Sheet1!$C$1</c:f>
              <c:strCache>
                <c:ptCount val="1"/>
                <c:pt idx="0">
                  <c:v>2022年度</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c:f>
              <c:strCache>
                <c:ptCount val="1"/>
                <c:pt idx="0">
                  <c:v>收、支总计</c:v>
                </c:pt>
              </c:strCache>
            </c:strRef>
          </c:cat>
          <c:val>
            <c:numRef>
              <c:f>Sheet1!$C$2</c:f>
              <c:numCache>
                <c:formatCode>General</c:formatCode>
                <c:ptCount val="1"/>
                <c:pt idx="0">
                  <c:v>3273.84</c:v>
                </c:pt>
              </c:numCache>
            </c:numRef>
          </c:val>
        </c:ser>
        <c:dLbls>
          <c:showLegendKey val="0"/>
          <c:showVal val="1"/>
          <c:showCatName val="0"/>
          <c:showSerName val="0"/>
          <c:showPercent val="0"/>
          <c:showBubbleSize val="0"/>
        </c:dLbls>
        <c:gapWidth val="100"/>
        <c:overlap val="-24"/>
        <c:axId val="829413650"/>
        <c:axId val="677600724"/>
      </c:barChart>
      <c:catAx>
        <c:axId val="82941365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677600724"/>
        <c:crosses val="autoZero"/>
        <c:auto val="1"/>
        <c:lblAlgn val="ctr"/>
        <c:lblOffset val="100"/>
        <c:noMultiLvlLbl val="0"/>
      </c:catAx>
      <c:valAx>
        <c:axId val="6776007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829413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2666.57</c:v>
                </c:pt>
                <c:pt idx="1">
                  <c:v>309.09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2382.93</c:v>
                </c:pt>
                <c:pt idx="1">
                  <c:v>790.31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5575"/>
          <c:y val="0.127"/>
          <c:w val="0.8938"/>
          <c:h val="0.7169"/>
        </c:manualLayout>
      </c:layout>
      <c:barChart>
        <c:barDir val="col"/>
        <c:grouping val="clustered"/>
        <c:varyColors val="0"/>
        <c:ser>
          <c:idx val="0"/>
          <c:order val="0"/>
          <c:tx>
            <c:strRef>
              <c:f>Sheet1!$B$1</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3246.73</c:v>
                </c:pt>
              </c:numCache>
            </c:numRef>
          </c:val>
        </c:ser>
        <c:ser>
          <c:idx val="1"/>
          <c:order val="1"/>
          <c:tx>
            <c:strRef>
              <c:f>Sheet1!$C$1</c:f>
              <c:strCache>
                <c:ptCount val="1"/>
                <c:pt idx="0">
                  <c:v>2022年度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2964.74</c:v>
                </c:pt>
              </c:numCache>
            </c:numRef>
          </c:val>
        </c:ser>
        <c:dLbls>
          <c:showLegendKey val="0"/>
          <c:showVal val="1"/>
          <c:showCatName val="0"/>
          <c:showSerName val="0"/>
          <c:showPercent val="0"/>
          <c:showBubbleSize val="0"/>
        </c:dLbls>
        <c:gapWidth val="219"/>
        <c:overlap val="-27"/>
        <c:axId val="323646574"/>
        <c:axId val="554844271"/>
      </c:barChart>
      <c:catAx>
        <c:axId val="3236465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844271"/>
        <c:crosses val="autoZero"/>
        <c:auto val="1"/>
        <c:lblAlgn val="ctr"/>
        <c:lblOffset val="100"/>
        <c:noMultiLvlLbl val="0"/>
      </c:catAx>
      <c:valAx>
        <c:axId val="5548442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6465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3225.74</c:v>
                </c:pt>
              </c:numCache>
            </c:numRef>
          </c:val>
        </c:ser>
        <c:ser>
          <c:idx val="1"/>
          <c:order val="1"/>
          <c:tx>
            <c:strRef>
              <c:f>Sheet1!$C$1</c:f>
              <c:strCache>
                <c:ptCount val="1"/>
                <c:pt idx="0">
                  <c:v>2022年度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2964.74</c:v>
                </c:pt>
              </c:numCache>
            </c:numRef>
          </c:val>
        </c:ser>
        <c:dLbls>
          <c:showLegendKey val="0"/>
          <c:showVal val="1"/>
          <c:showCatName val="0"/>
          <c:showSerName val="0"/>
          <c:showPercent val="0"/>
          <c:showBubbleSize val="0"/>
        </c:dLbls>
        <c:gapWidth val="219"/>
        <c:overlap val="-27"/>
        <c:axId val="296609092"/>
        <c:axId val="276952207"/>
      </c:barChart>
      <c:catAx>
        <c:axId val="2966090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952207"/>
        <c:crosses val="autoZero"/>
        <c:auto val="1"/>
        <c:lblAlgn val="ctr"/>
        <c:lblOffset val="100"/>
        <c:noMultiLvlLbl val="0"/>
      </c:catAx>
      <c:valAx>
        <c:axId val="276952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66090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p>
      </c:txPr>
    </c:title>
    <c:autoTitleDeleted val="0"/>
    <c:plotArea>
      <c:layout/>
      <c:ofPieChart>
        <c:ofPieType val="pie"/>
        <c:varyColors val="1"/>
        <c:ser>
          <c:idx val="0"/>
          <c:order val="0"/>
          <c:tx>
            <c:strRef>
              <c:f>Sheet1!$B$1</c:f>
              <c:strCache>
                <c:ptCount val="1"/>
                <c:pt idx="0">
                  <c:v>一般公共预算财政拨款支出</c:v>
                </c:pt>
              </c:strCache>
            </c:strRef>
          </c:tx>
          <c:spPr/>
          <c:explosion val="0"/>
          <c:dPt>
            <c:idx val="0"/>
            <c:bubble3D val="0"/>
            <c:spPr>
              <a:solidFill>
                <a:schemeClr val="accent6"/>
              </a:solidFill>
              <a:ln>
                <a:noFill/>
              </a:ln>
              <a:effectLst>
                <a:outerShdw blurRad="317500" algn="ctr" rotWithShape="0">
                  <a:prstClr val="black">
                    <a:alpha val="25000"/>
                  </a:prstClr>
                </a:outerShdw>
              </a:effectLst>
            </c:spPr>
          </c:dPt>
          <c:dPt>
            <c:idx val="1"/>
            <c:bubble3D val="0"/>
            <c:spPr>
              <a:solidFill>
                <a:schemeClr val="accent5"/>
              </a:solidFill>
              <a:ln>
                <a:noFill/>
              </a:ln>
              <a:effectLst>
                <a:outerShdw blurRad="317500" algn="ctr" rotWithShape="0">
                  <a:prstClr val="black">
                    <a:alpha val="25000"/>
                  </a:prstClr>
                </a:outerShdw>
              </a:effectLst>
            </c:spPr>
          </c:dPt>
          <c:dPt>
            <c:idx val="2"/>
            <c:bubble3D val="0"/>
            <c:spPr>
              <a:solidFill>
                <a:schemeClr val="accent4"/>
              </a:solidFill>
              <a:ln>
                <a:noFill/>
              </a:ln>
              <a:effectLst>
                <a:outerShdw blurRad="317500" algn="ctr" rotWithShape="0">
                  <a:prstClr val="black">
                    <a:alpha val="25000"/>
                  </a:prstClr>
                </a:outerShdw>
              </a:effectLst>
            </c:spPr>
          </c:dPt>
          <c:dPt>
            <c:idx val="3"/>
            <c:bubble3D val="0"/>
            <c:spPr>
              <a:solidFill>
                <a:schemeClr val="accent6">
                  <a:lumMod val="60000"/>
                </a:schemeClr>
              </a:solidFill>
              <a:ln>
                <a:noFill/>
              </a:ln>
              <a:effectLst>
                <a:outerShdw blurRad="317500" algn="ctr" rotWithShape="0">
                  <a:prstClr val="black">
                    <a:alpha val="25000"/>
                  </a:prstClr>
                </a:outerShdw>
              </a:effectLst>
            </c:spPr>
          </c:dPt>
          <c:dLbls>
            <c:dLbl>
              <c:idx val="3"/>
              <c:delete val="1"/>
            </c:dLbl>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2794.68</c:v>
                </c:pt>
                <c:pt idx="1">
                  <c:v>0.18</c:v>
                </c:pt>
                <c:pt idx="2">
                  <c:v>169.88</c:v>
                </c:pt>
              </c:numCache>
            </c:numRef>
          </c:val>
        </c:ser>
        <c:dLbls>
          <c:showLegendKey val="0"/>
          <c:showVal val="0"/>
          <c:showCatName val="1"/>
          <c:showSerName val="0"/>
          <c:showPercent val="1"/>
          <c:showBubbleSize val="0"/>
          <c:showLeaderLines val="1"/>
        </c:dLbls>
        <c:gapWidth val="100"/>
        <c:secondPieSize val="75"/>
        <c:serLines>
          <c:spPr>
            <a:ln w="9525" cap="flat" cmpd="sng" algn="ctr">
              <a:solidFill>
                <a:schemeClr val="dk1">
                  <a:lumMod val="35000"/>
                  <a:lumOff val="65000"/>
                </a:schemeClr>
              </a:solidFill>
              <a:round/>
            </a:ln>
            <a:effectLst/>
          </c:spPr>
        </c:serLines>
      </c:ofPie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spPr/>
          <c:explosion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5.64</c:v>
                </c:pt>
                <c:pt idx="2">
                  <c:v>3.05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ddee3ea-398c-4438-ab3f-3e563697ebad}"/>
        <w:style w:val=""/>
        <w:category>
          <w:name w:val="常规"/>
          <w:gallery w:val="placeholder"/>
        </w:category>
        <w:types>
          <w:type w:val="bbPlcHdr"/>
        </w:types>
        <w:behaviors>
          <w:behavior w:val="content"/>
        </w:behaviors>
        <w:description w:val=""/>
        <w:guid w:val="{3ddee3ea-398c-4438-ab3f-3e563697ebad}"/>
      </w:docPartPr>
      <w:docPartBody>
        <w:p>
          <w:r>
            <w:rPr>
              <w:color w:val="808080"/>
            </w:rPr>
            <w:t>单击此处输入文字。</w:t>
          </w:r>
        </w:p>
      </w:docPartBody>
    </w:docPart>
    <w:docPart>
      <w:docPartPr>
        <w:name w:val="{9b42a332-593c-4083-8517-ae5d9714fbbf}"/>
        <w:style w:val=""/>
        <w:category>
          <w:name w:val="常规"/>
          <w:gallery w:val="placeholder"/>
        </w:category>
        <w:types>
          <w:type w:val="bbPlcHdr"/>
        </w:types>
        <w:behaviors>
          <w:behavior w:val="content"/>
        </w:behaviors>
        <w:description w:val=""/>
        <w:guid w:val="{9b42a332-593c-4083-8517-ae5d9714fbbf}"/>
      </w:docPartPr>
      <w:docPartBody>
        <w:p>
          <w:r>
            <w:rPr>
              <w:color w:val="808080"/>
            </w:rPr>
            <w:t>单击此处输入文字。</w:t>
          </w:r>
        </w:p>
      </w:docPartBody>
    </w:docPart>
    <w:docPart>
      <w:docPartPr>
        <w:name w:val="{7344e18b-ae1b-4205-92a2-268eaad69128}"/>
        <w:style w:val=""/>
        <w:category>
          <w:name w:val="常规"/>
          <w:gallery w:val="placeholder"/>
        </w:category>
        <w:types>
          <w:type w:val="bbPlcHdr"/>
        </w:types>
        <w:behaviors>
          <w:behavior w:val="content"/>
        </w:behaviors>
        <w:description w:val=""/>
        <w:guid w:val="{7344e18b-ae1b-4205-92a2-268eaad69128}"/>
      </w:docPartPr>
      <w:docPartBody>
        <w:p>
          <w:r>
            <w:rPr>
              <w:color w:val="808080"/>
            </w:rPr>
            <w:t>单击此处输入文字。</w:t>
          </w:r>
        </w:p>
      </w:docPartBody>
    </w:docPart>
    <w:docPart>
      <w:docPartPr>
        <w:name w:val="{27727047-dd38-4588-9603-cfdbfd08ee46}"/>
        <w:style w:val=""/>
        <w:category>
          <w:name w:val="常规"/>
          <w:gallery w:val="placeholder"/>
        </w:category>
        <w:types>
          <w:type w:val="bbPlcHdr"/>
        </w:types>
        <w:behaviors>
          <w:behavior w:val="content"/>
        </w:behaviors>
        <w:description w:val=""/>
        <w:guid w:val="{27727047-dd38-4588-9603-cfdbfd08ee46}"/>
      </w:docPartPr>
      <w:docPartBody>
        <w:p>
          <w:r>
            <w:rPr>
              <w:color w:val="808080"/>
            </w:rPr>
            <w:t>单击此处输入文字。</w:t>
          </w:r>
        </w:p>
      </w:docPartBody>
    </w:docPart>
    <w:docPart>
      <w:docPartPr>
        <w:name w:val="{d52e73be-9c14-407d-afc2-388e55b4869c}"/>
        <w:style w:val=""/>
        <w:category>
          <w:name w:val="常规"/>
          <w:gallery w:val="placeholder"/>
        </w:category>
        <w:types>
          <w:type w:val="bbPlcHdr"/>
        </w:types>
        <w:behaviors>
          <w:behavior w:val="content"/>
        </w:behaviors>
        <w:description w:val=""/>
        <w:guid w:val="{d52e73be-9c14-407d-afc2-388e55b4869c}"/>
      </w:docPartPr>
      <w:docPartBody>
        <w:p>
          <w:r>
            <w:rPr>
              <w:color w:val="808080"/>
            </w:rPr>
            <w:t>单击此处输入文字。</w:t>
          </w:r>
        </w:p>
      </w:docPartBody>
    </w:docPart>
    <w:docPart>
      <w:docPartPr>
        <w:name w:val="{fa8a02b1-d18e-4a56-9de3-7accfc66f970}"/>
        <w:style w:val=""/>
        <w:category>
          <w:name w:val="常规"/>
          <w:gallery w:val="placeholder"/>
        </w:category>
        <w:types>
          <w:type w:val="bbPlcHdr"/>
        </w:types>
        <w:behaviors>
          <w:behavior w:val="content"/>
        </w:behaviors>
        <w:description w:val=""/>
        <w:guid w:val="{fa8a02b1-d18e-4a56-9de3-7accfc66f970}"/>
      </w:docPartPr>
      <w:docPartBody>
        <w:p>
          <w:r>
            <w:rPr>
              <w:color w:val="808080"/>
            </w:rPr>
            <w:t>单击此处输入文字。</w:t>
          </w:r>
        </w:p>
      </w:docPartBody>
    </w:docPart>
    <w:docPart>
      <w:docPartPr>
        <w:name w:val="{1a64dcb4-cd15-44e3-925e-3313b508833b}"/>
        <w:style w:val=""/>
        <w:category>
          <w:name w:val="常规"/>
          <w:gallery w:val="placeholder"/>
        </w:category>
        <w:types>
          <w:type w:val="bbPlcHdr"/>
        </w:types>
        <w:behaviors>
          <w:behavior w:val="content"/>
        </w:behaviors>
        <w:description w:val=""/>
        <w:guid w:val="{1a64dcb4-cd15-44e3-925e-3313b508833b}"/>
      </w:docPartPr>
      <w:docPartBody>
        <w:p>
          <w:r>
            <w:rPr>
              <w:color w:val="808080"/>
            </w:rPr>
            <w:t>单击此处输入文字。</w:t>
          </w:r>
        </w:p>
      </w:docPartBody>
    </w:docPart>
    <w:docPart>
      <w:docPartPr>
        <w:name w:val="{7b1d6695-f9e0-4e88-a511-fed69331718d}"/>
        <w:style w:val=""/>
        <w:category>
          <w:name w:val="常规"/>
          <w:gallery w:val="placeholder"/>
        </w:category>
        <w:types>
          <w:type w:val="bbPlcHdr"/>
        </w:types>
        <w:behaviors>
          <w:behavior w:val="content"/>
        </w:behaviors>
        <w:description w:val=""/>
        <w:guid w:val="{7b1d6695-f9e0-4e88-a511-fed69331718d}"/>
      </w:docPartPr>
      <w:docPartBody>
        <w:p>
          <w:r>
            <w:rPr>
              <w:color w:val="808080"/>
            </w:rPr>
            <w:t>单击此处输入文字。</w:t>
          </w:r>
        </w:p>
      </w:docPartBody>
    </w:docPart>
    <w:docPart>
      <w:docPartPr>
        <w:name w:val="{9c2319f4-03de-485f-927c-1dddfad590b0}"/>
        <w:style w:val=""/>
        <w:category>
          <w:name w:val="常规"/>
          <w:gallery w:val="placeholder"/>
        </w:category>
        <w:types>
          <w:type w:val="bbPlcHdr"/>
        </w:types>
        <w:behaviors>
          <w:behavior w:val="content"/>
        </w:behaviors>
        <w:description w:val=""/>
        <w:guid w:val="{9c2319f4-03de-485f-927c-1dddfad590b0}"/>
      </w:docPartPr>
      <w:docPartBody>
        <w:p>
          <w:r>
            <w:rPr>
              <w:color w:val="808080"/>
            </w:rPr>
            <w:t>单击此处输入文字。</w:t>
          </w:r>
        </w:p>
      </w:docPartBody>
    </w:docPart>
    <w:docPart>
      <w:docPartPr>
        <w:name w:val="{bf63c859-cfa8-4a65-986b-807cb31b1d1b}"/>
        <w:style w:val=""/>
        <w:category>
          <w:name w:val="常规"/>
          <w:gallery w:val="placeholder"/>
        </w:category>
        <w:types>
          <w:type w:val="bbPlcHdr"/>
        </w:types>
        <w:behaviors>
          <w:behavior w:val="content"/>
        </w:behaviors>
        <w:description w:val=""/>
        <w:guid w:val="{bf63c859-cfa8-4a65-986b-807cb31b1d1b}"/>
      </w:docPartPr>
      <w:docPartBody>
        <w:p>
          <w:r>
            <w:rPr>
              <w:color w:val="808080"/>
            </w:rPr>
            <w:t>单击此处输入文字。</w:t>
          </w:r>
        </w:p>
      </w:docPartBody>
    </w:docPart>
    <w:docPart>
      <w:docPartPr>
        <w:name w:val="{cd1ffeb0-acc2-48c5-b8d5-2d389e8ae93e}"/>
        <w:style w:val=""/>
        <w:category>
          <w:name w:val="常规"/>
          <w:gallery w:val="placeholder"/>
        </w:category>
        <w:types>
          <w:type w:val="bbPlcHdr"/>
        </w:types>
        <w:behaviors>
          <w:behavior w:val="content"/>
        </w:behaviors>
        <w:description w:val=""/>
        <w:guid w:val="{cd1ffeb0-acc2-48c5-b8d5-2d389e8ae93e}"/>
      </w:docPartPr>
      <w:docPartBody>
        <w:p>
          <w:r>
            <w:rPr>
              <w:color w:val="808080"/>
            </w:rPr>
            <w:t>单击此处输入文字。</w:t>
          </w:r>
        </w:p>
      </w:docPartBody>
    </w:docPart>
    <w:docPart>
      <w:docPartPr>
        <w:name w:val="{c1adeb25-9001-4fdf-92eb-01537428a528}"/>
        <w:style w:val=""/>
        <w:category>
          <w:name w:val="常规"/>
          <w:gallery w:val="placeholder"/>
        </w:category>
        <w:types>
          <w:type w:val="bbPlcHdr"/>
        </w:types>
        <w:behaviors>
          <w:behavior w:val="content"/>
        </w:behaviors>
        <w:description w:val=""/>
        <w:guid w:val="{c1adeb25-9001-4fdf-92eb-01537428a528}"/>
      </w:docPartPr>
      <w:docPartBody>
        <w:p>
          <w:r>
            <w:rPr>
              <w:color w:val="808080"/>
            </w:rPr>
            <w:t>单击此处输入文字。</w:t>
          </w:r>
        </w:p>
      </w:docPartBody>
    </w:docPart>
    <w:docPart>
      <w:docPartPr>
        <w:name w:val="{54dd6c52-a5a0-4088-b167-bacd222c4758}"/>
        <w:style w:val=""/>
        <w:category>
          <w:name w:val="常规"/>
          <w:gallery w:val="placeholder"/>
        </w:category>
        <w:types>
          <w:type w:val="bbPlcHdr"/>
        </w:types>
        <w:behaviors>
          <w:behavior w:val="content"/>
        </w:behaviors>
        <w:description w:val=""/>
        <w:guid w:val="{54dd6c52-a5a0-4088-b167-bacd222c4758}"/>
      </w:docPartPr>
      <w:docPartBody>
        <w:p>
          <w:r>
            <w:rPr>
              <w:color w:val="808080"/>
            </w:rPr>
            <w:t>单击此处输入文字。</w:t>
          </w:r>
        </w:p>
      </w:docPartBody>
    </w:docPart>
    <w:docPart>
      <w:docPartPr>
        <w:name w:val="{9952ea23-7830-4523-99a5-bf4e74785a3b}"/>
        <w:style w:val=""/>
        <w:category>
          <w:name w:val="常规"/>
          <w:gallery w:val="placeholder"/>
        </w:category>
        <w:types>
          <w:type w:val="bbPlcHdr"/>
        </w:types>
        <w:behaviors>
          <w:behavior w:val="content"/>
        </w:behaviors>
        <w:description w:val=""/>
        <w:guid w:val="{9952ea23-7830-4523-99a5-bf4e74785a3b}"/>
      </w:docPartPr>
      <w:docPartBody>
        <w:p>
          <w:r>
            <w:rPr>
              <w:color w:val="808080"/>
            </w:rPr>
            <w:t>单击此处输入文字。</w:t>
          </w:r>
        </w:p>
      </w:docPartBody>
    </w:docPart>
    <w:docPart>
      <w:docPartPr>
        <w:name w:val="{c251b27a-7deb-47cb-b5d6-e3f8e8b7a83d}"/>
        <w:style w:val=""/>
        <w:category>
          <w:name w:val="常规"/>
          <w:gallery w:val="placeholder"/>
        </w:category>
        <w:types>
          <w:type w:val="bbPlcHdr"/>
        </w:types>
        <w:behaviors>
          <w:behavior w:val="content"/>
        </w:behaviors>
        <w:description w:val=""/>
        <w:guid w:val="{c251b27a-7deb-47cb-b5d6-e3f8e8b7a83d}"/>
      </w:docPartPr>
      <w:docPartBody>
        <w:p>
          <w:r>
            <w:rPr>
              <w:color w:val="808080"/>
            </w:rPr>
            <w:t>单击此处输入文字。</w:t>
          </w:r>
        </w:p>
      </w:docPartBody>
    </w:docPart>
    <w:docPart>
      <w:docPartPr>
        <w:name w:val="{acfab68d-4011-46ae-8ed5-aa6deaf2b886}"/>
        <w:style w:val=""/>
        <w:category>
          <w:name w:val="常规"/>
          <w:gallery w:val="placeholder"/>
        </w:category>
        <w:types>
          <w:type w:val="bbPlcHdr"/>
        </w:types>
        <w:behaviors>
          <w:behavior w:val="content"/>
        </w:behaviors>
        <w:description w:val=""/>
        <w:guid w:val="{acfab68d-4011-46ae-8ed5-aa6deaf2b886}"/>
      </w:docPartPr>
      <w:docPartBody>
        <w:p>
          <w:r>
            <w:rPr>
              <w:color w:val="808080"/>
            </w:rPr>
            <w:t>单击此处输入文字。</w:t>
          </w:r>
        </w:p>
      </w:docPartBody>
    </w:docPart>
    <w:docPart>
      <w:docPartPr>
        <w:name w:val="{944d1609-ad93-43c1-8ddd-4e108ac617b1}"/>
        <w:style w:val=""/>
        <w:category>
          <w:name w:val="常规"/>
          <w:gallery w:val="placeholder"/>
        </w:category>
        <w:types>
          <w:type w:val="bbPlcHdr"/>
        </w:types>
        <w:behaviors>
          <w:behavior w:val="content"/>
        </w:behaviors>
        <w:description w:val=""/>
        <w:guid w:val="{944d1609-ad93-43c1-8ddd-4e108ac617b1}"/>
      </w:docPartPr>
      <w:docPartBody>
        <w:p>
          <w:r>
            <w:rPr>
              <w:color w:val="808080"/>
            </w:rPr>
            <w:t>单击此处输入文字。</w:t>
          </w:r>
        </w:p>
      </w:docPartBody>
    </w:docPart>
    <w:docPart>
      <w:docPartPr>
        <w:name w:val="{7323d970-0231-41c2-8571-efd122553232}"/>
        <w:style w:val=""/>
        <w:category>
          <w:name w:val="常规"/>
          <w:gallery w:val="placeholder"/>
        </w:category>
        <w:types>
          <w:type w:val="bbPlcHdr"/>
        </w:types>
        <w:behaviors>
          <w:behavior w:val="content"/>
        </w:behaviors>
        <w:description w:val=""/>
        <w:guid w:val="{7323d970-0231-41c2-8571-efd122553232}"/>
      </w:docPartPr>
      <w:docPartBody>
        <w:p>
          <w:r>
            <w:rPr>
              <w:color w:val="808080"/>
            </w:rPr>
            <w:t>单击此处输入文字。</w:t>
          </w:r>
        </w:p>
      </w:docPartBody>
    </w:docPart>
    <w:docPart>
      <w:docPartPr>
        <w:name w:val="{c8a8f5a8-e93e-4d84-91d2-614bd72aa94a}"/>
        <w:style w:val=""/>
        <w:category>
          <w:name w:val="常规"/>
          <w:gallery w:val="placeholder"/>
        </w:category>
        <w:types>
          <w:type w:val="bbPlcHdr"/>
        </w:types>
        <w:behaviors>
          <w:behavior w:val="content"/>
        </w:behaviors>
        <w:description w:val=""/>
        <w:guid w:val="{c8a8f5a8-e93e-4d84-91d2-614bd72aa94a}"/>
      </w:docPartPr>
      <w:docPartBody>
        <w:p>
          <w:r>
            <w:rPr>
              <w:color w:val="808080"/>
            </w:rPr>
            <w:t>单击此处输入文字。</w:t>
          </w:r>
        </w:p>
      </w:docPartBody>
    </w:docPart>
    <w:docPart>
      <w:docPartPr>
        <w:name w:val="{586e8bd3-4a90-485e-a8a6-5f653f5d3327}"/>
        <w:style w:val=""/>
        <w:category>
          <w:name w:val="常规"/>
          <w:gallery w:val="placeholder"/>
        </w:category>
        <w:types>
          <w:type w:val="bbPlcHdr"/>
        </w:types>
        <w:behaviors>
          <w:behavior w:val="content"/>
        </w:behaviors>
        <w:description w:val=""/>
        <w:guid w:val="{586e8bd3-4a90-485e-a8a6-5f653f5d3327}"/>
      </w:docPartPr>
      <w:docPartBody>
        <w:p>
          <w:r>
            <w:rPr>
              <w:color w:val="808080"/>
            </w:rPr>
            <w:t>单击此处输入文字。</w:t>
          </w:r>
        </w:p>
      </w:docPartBody>
    </w:docPart>
    <w:docPart>
      <w:docPartPr>
        <w:name w:val="{e7aea217-206b-40b6-82b7-f9e7d4af70a1}"/>
        <w:style w:val=""/>
        <w:category>
          <w:name w:val="常规"/>
          <w:gallery w:val="placeholder"/>
        </w:category>
        <w:types>
          <w:type w:val="bbPlcHdr"/>
        </w:types>
        <w:behaviors>
          <w:behavior w:val="content"/>
        </w:behaviors>
        <w:description w:val=""/>
        <w:guid w:val="{e7aea217-206b-40b6-82b7-f9e7d4af70a1}"/>
      </w:docPartPr>
      <w:docPartBody>
        <w:p>
          <w:r>
            <w:rPr>
              <w:color w:val="808080"/>
            </w:rPr>
            <w:t>单击此处输入文字。</w:t>
          </w:r>
        </w:p>
      </w:docPartBody>
    </w:docPart>
    <w:docPart>
      <w:docPartPr>
        <w:name w:val="{019d5033-21ec-4c30-bf46-75b1eb33a599}"/>
        <w:style w:val=""/>
        <w:category>
          <w:name w:val="常规"/>
          <w:gallery w:val="placeholder"/>
        </w:category>
        <w:types>
          <w:type w:val="bbPlcHdr"/>
        </w:types>
        <w:behaviors>
          <w:behavior w:val="content"/>
        </w:behaviors>
        <w:description w:val=""/>
        <w:guid w:val="{019d5033-21ec-4c30-bf46-75b1eb33a599}"/>
      </w:docPartPr>
      <w:docPartBody>
        <w:p>
          <w:r>
            <w:rPr>
              <w:color w:val="808080"/>
            </w:rPr>
            <w:t>单击此处输入文字。</w:t>
          </w:r>
        </w:p>
      </w:docPartBody>
    </w:docPart>
    <w:docPart>
      <w:docPartPr>
        <w:name w:val="{67492fe7-889d-4cb4-9f66-6f19c22e8a39}"/>
        <w:style w:val=""/>
        <w:category>
          <w:name w:val="常规"/>
          <w:gallery w:val="placeholder"/>
        </w:category>
        <w:types>
          <w:type w:val="bbPlcHdr"/>
        </w:types>
        <w:behaviors>
          <w:behavior w:val="content"/>
        </w:behaviors>
        <w:description w:val=""/>
        <w:guid w:val="{67492fe7-889d-4cb4-9f66-6f19c22e8a39}"/>
      </w:docPartPr>
      <w:docPartBody>
        <w:p>
          <w:r>
            <w:rPr>
              <w:color w:val="808080"/>
            </w:rPr>
            <w:t>单击此处输入文字。</w:t>
          </w:r>
        </w:p>
      </w:docPartBody>
    </w:docPart>
    <w:docPart>
      <w:docPartPr>
        <w:name w:val="{53bdb8cc-8ccc-4fe9-a45b-df6ab1678df7}"/>
        <w:style w:val=""/>
        <w:category>
          <w:name w:val="常规"/>
          <w:gallery w:val="placeholder"/>
        </w:category>
        <w:types>
          <w:type w:val="bbPlcHdr"/>
        </w:types>
        <w:behaviors>
          <w:behavior w:val="content"/>
        </w:behaviors>
        <w:description w:val=""/>
        <w:guid w:val="{53bdb8cc-8ccc-4fe9-a45b-df6ab1678df7}"/>
      </w:docPartPr>
      <w:docPartBody>
        <w:p>
          <w:r>
            <w:rPr>
              <w:color w:val="808080"/>
            </w:rPr>
            <w:t>单击此处输入文字。</w:t>
          </w:r>
        </w:p>
      </w:docPartBody>
    </w:docPart>
    <w:docPart>
      <w:docPartPr>
        <w:name w:val="{c7755a47-bb1e-44cc-9a89-4372494c0cb5}"/>
        <w:style w:val=""/>
        <w:category>
          <w:name w:val="常规"/>
          <w:gallery w:val="placeholder"/>
        </w:category>
        <w:types>
          <w:type w:val="bbPlcHdr"/>
        </w:types>
        <w:behaviors>
          <w:behavior w:val="content"/>
        </w:behaviors>
        <w:description w:val=""/>
        <w:guid w:val="{c7755a47-bb1e-44cc-9a89-4372494c0cb5}"/>
      </w:docPartPr>
      <w:docPartBody>
        <w:p>
          <w:r>
            <w:rPr>
              <w:color w:val="808080"/>
            </w:rPr>
            <w:t>单击此处输入文字。</w:t>
          </w:r>
        </w:p>
      </w:docPartBody>
    </w:docPart>
    <w:docPart>
      <w:docPartPr>
        <w:name w:val="{aa38051d-d219-42a2-8c91-715dc91b9c25}"/>
        <w:style w:val=""/>
        <w:category>
          <w:name w:val="常规"/>
          <w:gallery w:val="placeholder"/>
        </w:category>
        <w:types>
          <w:type w:val="bbPlcHdr"/>
        </w:types>
        <w:behaviors>
          <w:behavior w:val="content"/>
        </w:behaviors>
        <w:description w:val=""/>
        <w:guid w:val="{aa38051d-d219-42a2-8c91-715dc91b9c25}"/>
      </w:docPartPr>
      <w:docPartBody>
        <w:p>
          <w:r>
            <w:rPr>
              <w:color w:val="808080"/>
            </w:rPr>
            <w:t>单击此处输入文字。</w:t>
          </w:r>
        </w:p>
      </w:docPartBody>
    </w:docPart>
    <w:docPart>
      <w:docPartPr>
        <w:name w:val="{a7e5dc5e-47e8-442c-b2d4-31658755d031}"/>
        <w:style w:val=""/>
        <w:category>
          <w:name w:val="常规"/>
          <w:gallery w:val="placeholder"/>
        </w:category>
        <w:types>
          <w:type w:val="bbPlcHdr"/>
        </w:types>
        <w:behaviors>
          <w:behavior w:val="content"/>
        </w:behaviors>
        <w:description w:val=""/>
        <w:guid w:val="{a7e5dc5e-47e8-442c-b2d4-31658755d031}"/>
      </w:docPartPr>
      <w:docPartBody>
        <w:p>
          <w:r>
            <w:rPr>
              <w:color w:val="808080"/>
            </w:rPr>
            <w:t>单击此处输入文字。</w:t>
          </w:r>
        </w:p>
      </w:docPartBody>
    </w:docPart>
    <w:docPart>
      <w:docPartPr>
        <w:name w:val="{14135ff0-e8dd-405a-a6c5-0559f387c1d2}"/>
        <w:style w:val=""/>
        <w:category>
          <w:name w:val="常规"/>
          <w:gallery w:val="placeholder"/>
        </w:category>
        <w:types>
          <w:type w:val="bbPlcHdr"/>
        </w:types>
        <w:behaviors>
          <w:behavior w:val="content"/>
        </w:behaviors>
        <w:description w:val=""/>
        <w:guid w:val="{14135ff0-e8dd-405a-a6c5-0559f387c1d2}"/>
      </w:docPartPr>
      <w:docPartBody>
        <w:p>
          <w:r>
            <w:rPr>
              <w:color w:val="808080"/>
            </w:rPr>
            <w:t>单击此处输入文字。</w:t>
          </w:r>
        </w:p>
      </w:docPartBody>
    </w:docPart>
    <w:docPart>
      <w:docPartPr>
        <w:name w:val="{8755a17c-f0b3-4ba5-a4ca-0510d5377d01}"/>
        <w:style w:val=""/>
        <w:category>
          <w:name w:val="常规"/>
          <w:gallery w:val="placeholder"/>
        </w:category>
        <w:types>
          <w:type w:val="bbPlcHdr"/>
        </w:types>
        <w:behaviors>
          <w:behavior w:val="content"/>
        </w:behaviors>
        <w:description w:val=""/>
        <w:guid w:val="{8755a17c-f0b3-4ba5-a4ca-0510d5377d01}"/>
      </w:docPartPr>
      <w:docPartBody>
        <w:p>
          <w:r>
            <w:rPr>
              <w:color w:val="808080"/>
            </w:rPr>
            <w:t>单击此处输入文字。</w:t>
          </w:r>
        </w:p>
      </w:docPartBody>
    </w:docPart>
    <w:docPart>
      <w:docPartPr>
        <w:name w:val="{4d93603f-74d1-4e00-a138-b6fc505329b7}"/>
        <w:style w:val=""/>
        <w:category>
          <w:name w:val="常规"/>
          <w:gallery w:val="placeholder"/>
        </w:category>
        <w:types>
          <w:type w:val="bbPlcHdr"/>
        </w:types>
        <w:behaviors>
          <w:behavior w:val="content"/>
        </w:behaviors>
        <w:description w:val=""/>
        <w:guid w:val="{4d93603f-74d1-4e00-a138-b6fc505329b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27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2023-08-04T01:43:00Z</dcterms:created>
  <dc:creator>程红</dc:creator>
  <cp:lastModifiedBy>程红</cp:lastModifiedBy>
  <cp:lastPrinted>2023-09-14T09:12:34Z</cp:lastPrinted>
  <dcterms:modified xsi:type="dcterms:W3CDTF">2023-09-14T10:10:44Z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