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193"/>
      <w:bookmarkStart w:id="2" w:name="_Toc15377425"/>
      <w:bookmarkStart w:id="3" w:name="_Toc15396597"/>
      <w:bookmarkStart w:id="4" w:name="_Toc15378441"/>
      <w:bookmarkStart w:id="5" w:name="_Toc15396475"/>
      <w:r>
        <w:rPr>
          <w:rFonts w:eastAsia="黑体"/>
          <w:color w:val="000000"/>
          <w:sz w:val="72"/>
          <w:szCs w:val="72"/>
        </w:rPr>
        <w:t>2019</w:t>
      </w:r>
      <w:r>
        <w:rPr>
          <w:rFonts w:hint="eastAsia"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rPr>
      </w:pPr>
      <w:bookmarkStart w:id="6" w:name="_Toc15377426"/>
      <w:bookmarkStart w:id="7" w:name="_Toc15377194"/>
      <w:bookmarkStart w:id="8" w:name="_Toc15396476"/>
      <w:bookmarkStart w:id="9" w:name="_Toc15396598"/>
      <w:bookmarkStart w:id="10" w:name="_Toc15378442"/>
      <w:r>
        <w:rPr>
          <w:rFonts w:hint="eastAsia" w:eastAsia="方正小标宋简体"/>
          <w:color w:val="000000"/>
          <w:sz w:val="72"/>
          <w:szCs w:val="72"/>
        </w:rPr>
        <w:t>四川省</w:t>
      </w:r>
      <w:bookmarkEnd w:id="0"/>
      <w:bookmarkStart w:id="11" w:name="_Toc15306268"/>
      <w:r>
        <w:rPr>
          <w:rFonts w:hint="eastAsia" w:eastAsia="方正小标宋简体"/>
          <w:color w:val="000000"/>
          <w:sz w:val="72"/>
          <w:szCs w:val="72"/>
        </w:rPr>
        <w:t>攀枝花市社会保险事务中心部门决算</w:t>
      </w:r>
      <w:bookmarkEnd w:id="6"/>
      <w:bookmarkEnd w:id="7"/>
      <w:bookmarkEnd w:id="8"/>
      <w:bookmarkEnd w:id="9"/>
      <w:bookmarkEnd w:id="10"/>
      <w:bookmarkEnd w:id="11"/>
    </w:p>
    <w:p>
      <w:pPr>
        <w:widowControl/>
        <w:jc w:val="center"/>
        <w:rPr>
          <w:rFonts w:eastAsia="黑体"/>
          <w:color w:val="000000"/>
          <w:sz w:val="48"/>
          <w:szCs w:val="48"/>
        </w:rPr>
      </w:pPr>
      <w:r>
        <w:rPr>
          <w:rFonts w:eastAsia="方正小标宋简体"/>
          <w:color w:val="000000"/>
          <w:sz w:val="36"/>
          <w:szCs w:val="36"/>
        </w:rPr>
        <w:br w:type="page"/>
      </w:r>
      <w:r>
        <w:rPr>
          <w:rFonts w:hint="eastAsia" w:eastAsia="黑体"/>
          <w:color w:val="000000"/>
          <w:sz w:val="48"/>
          <w:szCs w:val="48"/>
        </w:rPr>
        <w:t>目录</w:t>
      </w:r>
    </w:p>
    <w:p>
      <w:pPr>
        <w:widowControl/>
        <w:jc w:val="center"/>
        <w:rPr>
          <w:rFonts w:eastAsia="黑体"/>
          <w:sz w:val="28"/>
          <w:szCs w:val="28"/>
        </w:rPr>
      </w:pPr>
    </w:p>
    <w:p>
      <w:pPr>
        <w:pStyle w:val="8"/>
        <w:rPr>
          <w:rFonts w:ascii="Times New Roman" w:hAnsi="Times New Roman"/>
        </w:rPr>
      </w:pPr>
      <w:r>
        <w:rPr>
          <w:rFonts w:hint="eastAsia" w:ascii="Times New Roman" w:hAnsi="Times New Roman"/>
        </w:rPr>
        <w:t>公开时间：</w:t>
      </w:r>
      <w:r>
        <w:rPr>
          <w:rFonts w:ascii="Times New Roman" w:hAnsi="Times New Roman"/>
        </w:rPr>
        <w:t>2020</w:t>
      </w:r>
      <w:r>
        <w:rPr>
          <w:rFonts w:hint="eastAsia" w:ascii="Times New Roman" w:hAnsi="Times New Roman"/>
        </w:rPr>
        <w:t>年</w:t>
      </w:r>
      <w:r>
        <w:rPr>
          <w:rFonts w:ascii="Times New Roman" w:hAnsi="Times New Roman"/>
        </w:rPr>
        <w:t>9</w:t>
      </w:r>
      <w:r>
        <w:rPr>
          <w:rFonts w:hint="eastAsia" w:ascii="Times New Roman" w:hAnsi="Times New Roman"/>
        </w:rPr>
        <w:t>月</w:t>
      </w:r>
      <w:r>
        <w:rPr>
          <w:rFonts w:ascii="Times New Roman" w:hAnsi="Times New Roman"/>
        </w:rPr>
        <w:t xml:space="preserve"> 21 </w:t>
      </w:r>
      <w:r>
        <w:rPr>
          <w:rFonts w:hint="eastAsia" w:ascii="Times New Roman" w:hAnsi="Times New Roman"/>
        </w:rPr>
        <w:t>日</w:t>
      </w:r>
    </w:p>
    <w:p/>
    <w:p>
      <w:pPr>
        <w:pStyle w:val="8"/>
        <w:adjustRightInd w:val="0"/>
        <w:snapToGrid w:val="0"/>
        <w:spacing w:before="0" w:line="440" w:lineRule="exact"/>
        <w:jc w:val="left"/>
        <w:rPr>
          <w:rFonts w:hint="eastAsia" w:ascii="Times New Roman" w:hAnsi="Times New Roman" w:eastAsia="宋体"/>
          <w:sz w:val="24"/>
          <w:szCs w:val="24"/>
          <w:lang w:eastAsia="zh-CN"/>
        </w:rPr>
      </w:pPr>
      <w:r>
        <w:rPr>
          <w:rFonts w:hint="eastAsia" w:ascii="Times New Roman" w:hAnsi="Times New Roman"/>
          <w:sz w:val="24"/>
        </w:rPr>
        <w:t>第一部分部门概况</w:t>
      </w:r>
      <w:r>
        <w:rPr>
          <w:rFonts w:hint="eastAsia" w:ascii="宋体" w:hAnsi="宋体" w:eastAsia="宋体" w:cs="宋体"/>
          <w:sz w:val="24"/>
        </w:rPr>
        <w:t>…………………………………………………………………</w:t>
      </w:r>
      <w:r>
        <w:rPr>
          <w:rFonts w:hint="eastAsia" w:ascii="宋体" w:hAnsi="宋体" w:eastAsia="宋体" w:cs="宋体"/>
          <w:sz w:val="24"/>
          <w:lang w:val="en-US" w:eastAsia="zh-CN"/>
        </w:rPr>
        <w:t>4</w:t>
      </w:r>
    </w:p>
    <w:p>
      <w:pPr>
        <w:pStyle w:val="9"/>
        <w:adjustRightInd w:val="0"/>
        <w:snapToGrid w:val="0"/>
        <w:spacing w:line="440" w:lineRule="exact"/>
        <w:jc w:val="left"/>
        <w:rPr>
          <w:rFonts w:hint="eastAsia" w:eastAsia="宋体"/>
          <w:sz w:val="24"/>
          <w:lang w:val="en-US" w:eastAsia="zh-CN"/>
        </w:rPr>
      </w:pPr>
      <w:r>
        <w:rPr>
          <w:rFonts w:hint="eastAsia"/>
          <w:sz w:val="24"/>
        </w:rPr>
        <w:t>一、基本职能及主要工作</w:t>
      </w:r>
      <w:r>
        <w:rPr>
          <w:rFonts w:hint="eastAsia" w:ascii="宋体" w:hAnsi="宋体" w:cs="宋体"/>
          <w:sz w:val="24"/>
        </w:rPr>
        <w:t>………………………………………………………</w:t>
      </w:r>
      <w:r>
        <w:rPr>
          <w:rFonts w:hint="eastAsia" w:ascii="宋体" w:hAnsi="宋体" w:cs="宋体"/>
          <w:sz w:val="24"/>
          <w:lang w:val="en-US" w:eastAsia="zh-CN"/>
        </w:rPr>
        <w:t>4</w:t>
      </w:r>
    </w:p>
    <w:p>
      <w:pPr>
        <w:pStyle w:val="9"/>
        <w:adjustRightInd w:val="0"/>
        <w:snapToGrid w:val="0"/>
        <w:spacing w:line="440" w:lineRule="exact"/>
        <w:jc w:val="left"/>
        <w:rPr>
          <w:rFonts w:hint="default" w:eastAsia="宋体"/>
          <w:sz w:val="24"/>
          <w:lang w:val="en-US" w:eastAsia="zh-CN"/>
        </w:rPr>
      </w:pPr>
      <w:r>
        <w:rPr>
          <w:rFonts w:hint="eastAsia"/>
          <w:sz w:val="24"/>
        </w:rPr>
        <w:t>二、机构设置</w:t>
      </w:r>
      <w:r>
        <w:rPr>
          <w:rFonts w:hint="eastAsia" w:ascii="宋体" w:hAnsi="宋体" w:cs="宋体"/>
          <w:sz w:val="24"/>
        </w:rPr>
        <w:t>……………………………………………………………………</w:t>
      </w:r>
      <w:r>
        <w:rPr>
          <w:rFonts w:hint="eastAsia" w:ascii="宋体" w:hAnsi="宋体" w:cs="宋体"/>
          <w:sz w:val="24"/>
          <w:lang w:val="en-US" w:eastAsia="zh-CN"/>
        </w:rPr>
        <w:t>10</w:t>
      </w:r>
    </w:p>
    <w:p>
      <w:pPr>
        <w:pStyle w:val="8"/>
        <w:adjustRightInd w:val="0"/>
        <w:snapToGrid w:val="0"/>
        <w:spacing w:before="0" w:line="440" w:lineRule="exact"/>
        <w:jc w:val="left"/>
        <w:rPr>
          <w:rFonts w:ascii="Times New Roman" w:hAnsi="Times New Roman"/>
          <w:sz w:val="24"/>
          <w:szCs w:val="24"/>
        </w:rPr>
      </w:pPr>
      <w:r>
        <w:rPr>
          <w:rFonts w:hint="eastAsia" w:ascii="Times New Roman" w:hAnsi="Times New Roman"/>
          <w:sz w:val="24"/>
        </w:rPr>
        <w:t>第二部分度部门决算情况说明</w:t>
      </w:r>
      <w:r>
        <w:rPr>
          <w:rFonts w:hint="eastAsia" w:ascii="宋体" w:hAnsi="宋体" w:eastAsia="宋体" w:cs="宋体"/>
          <w:sz w:val="24"/>
        </w:rPr>
        <w:t>……………………………………………………11</w:t>
      </w:r>
    </w:p>
    <w:p>
      <w:pPr>
        <w:pStyle w:val="9"/>
        <w:adjustRightInd w:val="0"/>
        <w:snapToGrid w:val="0"/>
        <w:spacing w:line="440" w:lineRule="exact"/>
        <w:jc w:val="left"/>
        <w:rPr>
          <w:rFonts w:eastAsia="仿宋"/>
          <w:sz w:val="24"/>
        </w:rPr>
      </w:pPr>
      <w:r>
        <w:rPr>
          <w:rFonts w:hint="eastAsia"/>
          <w:sz w:val="24"/>
        </w:rPr>
        <w:t>一、收入支出决算总体情况说明</w:t>
      </w:r>
      <w:r>
        <w:rPr>
          <w:rFonts w:hint="eastAsia" w:ascii="宋体" w:hAnsi="宋体" w:cs="宋体"/>
          <w:sz w:val="24"/>
        </w:rPr>
        <w:t>………………………………………………11</w:t>
      </w:r>
    </w:p>
    <w:p>
      <w:pPr>
        <w:pStyle w:val="9"/>
        <w:adjustRightInd w:val="0"/>
        <w:snapToGrid w:val="0"/>
        <w:spacing w:line="440" w:lineRule="exact"/>
        <w:jc w:val="left"/>
        <w:rPr>
          <w:rFonts w:eastAsia="仿宋"/>
          <w:sz w:val="24"/>
        </w:rPr>
      </w:pPr>
      <w:r>
        <w:rPr>
          <w:rFonts w:hint="eastAsia"/>
          <w:sz w:val="24"/>
        </w:rPr>
        <w:t>二、收入决算情况说明</w:t>
      </w:r>
      <w:r>
        <w:rPr>
          <w:rFonts w:hint="eastAsia" w:ascii="宋体" w:hAnsi="宋体" w:cs="宋体"/>
          <w:sz w:val="24"/>
        </w:rPr>
        <w:t>…………………………………………………………11</w:t>
      </w:r>
    </w:p>
    <w:p>
      <w:pPr>
        <w:pStyle w:val="9"/>
        <w:adjustRightInd w:val="0"/>
        <w:snapToGrid w:val="0"/>
        <w:spacing w:line="440" w:lineRule="exact"/>
        <w:jc w:val="left"/>
        <w:rPr>
          <w:rFonts w:eastAsia="仿宋"/>
          <w:sz w:val="24"/>
        </w:rPr>
      </w:pPr>
      <w:r>
        <w:rPr>
          <w:rFonts w:hint="eastAsia"/>
          <w:sz w:val="24"/>
        </w:rPr>
        <w:t>三、支出决算情况说明</w:t>
      </w:r>
      <w:r>
        <w:rPr>
          <w:rFonts w:hint="eastAsia" w:ascii="宋体" w:hAnsi="宋体" w:cs="宋体"/>
          <w:sz w:val="24"/>
        </w:rPr>
        <w:t>…………………………………………………………12</w:t>
      </w:r>
    </w:p>
    <w:p>
      <w:pPr>
        <w:pStyle w:val="9"/>
        <w:adjustRightInd w:val="0"/>
        <w:snapToGrid w:val="0"/>
        <w:spacing w:line="440" w:lineRule="exact"/>
        <w:jc w:val="left"/>
        <w:rPr>
          <w:rFonts w:eastAsia="仿宋"/>
          <w:sz w:val="24"/>
        </w:rPr>
      </w:pPr>
      <w:r>
        <w:rPr>
          <w:rFonts w:hint="eastAsia"/>
          <w:sz w:val="24"/>
        </w:rPr>
        <w:t>四、财政拨款收入支出决算总体情况说明</w:t>
      </w:r>
      <w:r>
        <w:rPr>
          <w:rFonts w:hint="eastAsia" w:ascii="宋体" w:hAnsi="宋体" w:cs="宋体"/>
          <w:sz w:val="24"/>
        </w:rPr>
        <w:t>……………………………………13</w:t>
      </w:r>
      <w:r>
        <w:rPr>
          <w:rFonts w:hint="eastAsia"/>
          <w:sz w:val="24"/>
        </w:rPr>
        <w:t>五、一般公共预算财政拨款支出决算情况说明</w:t>
      </w:r>
      <w:r>
        <w:rPr>
          <w:rFonts w:hint="eastAsia" w:ascii="宋体" w:hAnsi="宋体" w:cs="宋体"/>
          <w:sz w:val="24"/>
        </w:rPr>
        <w:t>………………………………13</w:t>
      </w:r>
    </w:p>
    <w:p>
      <w:pPr>
        <w:pStyle w:val="9"/>
        <w:adjustRightInd w:val="0"/>
        <w:snapToGrid w:val="0"/>
        <w:spacing w:line="440" w:lineRule="exact"/>
        <w:jc w:val="left"/>
        <w:rPr>
          <w:rFonts w:eastAsia="仿宋"/>
          <w:sz w:val="24"/>
        </w:rPr>
      </w:pPr>
      <w:r>
        <w:rPr>
          <w:rFonts w:hint="eastAsia"/>
          <w:sz w:val="24"/>
        </w:rPr>
        <w:t>六、一般公共预算财政拨款基本支出决算情况说明</w:t>
      </w:r>
      <w:r>
        <w:rPr>
          <w:rFonts w:hint="eastAsia" w:ascii="宋体" w:hAnsi="宋体" w:cs="宋体"/>
          <w:sz w:val="24"/>
        </w:rPr>
        <w:t>…………………………16</w:t>
      </w:r>
    </w:p>
    <w:p>
      <w:pPr>
        <w:pStyle w:val="9"/>
        <w:adjustRightInd w:val="0"/>
        <w:snapToGrid w:val="0"/>
        <w:spacing w:line="440" w:lineRule="exact"/>
        <w:jc w:val="left"/>
        <w:rPr>
          <w:rFonts w:eastAsia="仿宋"/>
          <w:sz w:val="24"/>
        </w:rPr>
      </w:pPr>
      <w:r>
        <w:rPr>
          <w:rFonts w:hint="eastAsia"/>
          <w:sz w:val="24"/>
        </w:rPr>
        <w:t>七、</w:t>
      </w:r>
      <w:r>
        <w:rPr>
          <w:sz w:val="24"/>
        </w:rPr>
        <w:t>“</w:t>
      </w:r>
      <w:r>
        <w:rPr>
          <w:rFonts w:hint="eastAsia"/>
          <w:sz w:val="24"/>
        </w:rPr>
        <w:t>三公”经费财政拨款支出决算情况说明</w:t>
      </w:r>
      <w:r>
        <w:rPr>
          <w:rFonts w:hint="eastAsia" w:ascii="宋体" w:hAnsi="宋体" w:cs="宋体"/>
          <w:sz w:val="24"/>
        </w:rPr>
        <w:t>………………………………16</w:t>
      </w:r>
    </w:p>
    <w:p>
      <w:pPr>
        <w:pStyle w:val="9"/>
        <w:adjustRightInd w:val="0"/>
        <w:snapToGrid w:val="0"/>
        <w:spacing w:line="440" w:lineRule="exact"/>
        <w:jc w:val="left"/>
        <w:rPr>
          <w:rFonts w:eastAsia="仿宋"/>
          <w:sz w:val="24"/>
        </w:rPr>
      </w:pPr>
      <w:r>
        <w:rPr>
          <w:rFonts w:hint="eastAsia"/>
          <w:sz w:val="24"/>
        </w:rPr>
        <w:t>八、政府性基金预算支出决算情况说明</w:t>
      </w:r>
      <w:r>
        <w:rPr>
          <w:rFonts w:hint="eastAsia" w:ascii="宋体" w:hAnsi="宋体" w:cs="宋体"/>
          <w:sz w:val="24"/>
        </w:rPr>
        <w:t>………………………………………18</w:t>
      </w:r>
    </w:p>
    <w:p>
      <w:pPr>
        <w:pStyle w:val="9"/>
        <w:adjustRightInd w:val="0"/>
        <w:snapToGrid w:val="0"/>
        <w:spacing w:line="440" w:lineRule="exact"/>
        <w:ind w:leftChars="0"/>
        <w:jc w:val="left"/>
        <w:rPr>
          <w:rFonts w:eastAsia="仿宋"/>
          <w:sz w:val="24"/>
        </w:rPr>
      </w:pPr>
      <w:r>
        <w:rPr>
          <w:rFonts w:hint="eastAsia" w:eastAsia="仿宋"/>
          <w:sz w:val="24"/>
        </w:rPr>
        <w:t>九、</w:t>
      </w:r>
      <w:r>
        <w:rPr>
          <w:rFonts w:hint="eastAsia"/>
          <w:sz w:val="24"/>
        </w:rPr>
        <w:t>国有资本经营预算支出决算情况说明</w:t>
      </w:r>
      <w:r>
        <w:rPr>
          <w:rFonts w:hint="eastAsia" w:ascii="宋体" w:hAnsi="宋体" w:cs="宋体"/>
          <w:sz w:val="24"/>
        </w:rPr>
        <w:t>…………………………………18</w:t>
      </w:r>
    </w:p>
    <w:p>
      <w:pPr>
        <w:adjustRightInd w:val="0"/>
        <w:snapToGrid w:val="0"/>
        <w:spacing w:line="440" w:lineRule="exact"/>
        <w:ind w:firstLine="480" w:firstLineChars="200"/>
        <w:jc w:val="left"/>
        <w:rPr>
          <w:rFonts w:eastAsia="仿宋"/>
          <w:sz w:val="24"/>
        </w:rPr>
      </w:pPr>
      <w:r>
        <w:rPr>
          <w:rStyle w:val="13"/>
          <w:rFonts w:hint="eastAsia" w:eastAsia="仿宋"/>
          <w:color w:val="000000" w:themeColor="text1"/>
          <w:sz w:val="24"/>
          <w:u w:val="none"/>
        </w:rPr>
        <w:t>十、</w:t>
      </w:r>
      <w:r>
        <w:rPr>
          <w:rFonts w:hint="eastAsia"/>
          <w:sz w:val="24"/>
        </w:rPr>
        <w:t>其他重要事项的情况说明</w:t>
      </w:r>
      <w:r>
        <w:rPr>
          <w:rFonts w:hint="eastAsia" w:ascii="宋体" w:hAnsi="宋体" w:cs="宋体"/>
          <w:sz w:val="24"/>
        </w:rPr>
        <w:t>…………………………………………………18</w:t>
      </w:r>
    </w:p>
    <w:p>
      <w:pPr>
        <w:pStyle w:val="8"/>
        <w:adjustRightInd w:val="0"/>
        <w:snapToGrid w:val="0"/>
        <w:spacing w:before="0" w:line="440" w:lineRule="exact"/>
        <w:jc w:val="left"/>
        <w:rPr>
          <w:rFonts w:hint="default" w:ascii="Times New Roman" w:hAnsi="Times New Roman" w:eastAsia="宋体"/>
          <w:sz w:val="24"/>
          <w:szCs w:val="24"/>
          <w:lang w:val="en-US" w:eastAsia="zh-CN"/>
        </w:rPr>
      </w:pPr>
      <w:r>
        <w:rPr>
          <w:rFonts w:hint="eastAsia" w:ascii="Times New Roman" w:hAnsi="Times New Roman"/>
          <w:sz w:val="24"/>
        </w:rPr>
        <w:t>第三部分名词解释</w:t>
      </w:r>
      <w:r>
        <w:rPr>
          <w:rFonts w:hint="eastAsia" w:ascii="宋体" w:hAnsi="宋体" w:eastAsia="宋体" w:cs="宋体"/>
          <w:sz w:val="24"/>
        </w:rPr>
        <w:t>…………………………………………………………………</w:t>
      </w:r>
      <w:r>
        <w:rPr>
          <w:rFonts w:hint="eastAsia" w:ascii="宋体" w:hAnsi="宋体" w:eastAsia="宋体" w:cs="宋体"/>
          <w:sz w:val="24"/>
          <w:lang w:val="en-US" w:eastAsia="zh-CN"/>
        </w:rPr>
        <w:t>30</w:t>
      </w:r>
    </w:p>
    <w:p>
      <w:pPr>
        <w:pStyle w:val="8"/>
        <w:adjustRightInd w:val="0"/>
        <w:snapToGrid w:val="0"/>
        <w:spacing w:before="0" w:line="440" w:lineRule="exact"/>
        <w:jc w:val="left"/>
        <w:rPr>
          <w:rFonts w:hint="default" w:ascii="Times New Roman" w:hAnsi="Times New Roman" w:eastAsia="宋体"/>
          <w:sz w:val="24"/>
          <w:szCs w:val="24"/>
          <w:lang w:val="en-US" w:eastAsia="zh-CN"/>
        </w:rPr>
      </w:pPr>
      <w:r>
        <w:rPr>
          <w:rFonts w:hint="eastAsia" w:ascii="Times New Roman" w:hAnsi="Times New Roman"/>
          <w:sz w:val="24"/>
        </w:rPr>
        <w:t>第四部分附件</w:t>
      </w:r>
      <w:r>
        <w:rPr>
          <w:rFonts w:hint="eastAsia" w:ascii="宋体" w:hAnsi="宋体" w:eastAsia="宋体" w:cs="宋体"/>
          <w:sz w:val="24"/>
        </w:rPr>
        <w:t>………………………………………………………………………</w:t>
      </w:r>
      <w:r>
        <w:rPr>
          <w:rFonts w:hint="eastAsia" w:ascii="宋体" w:hAnsi="宋体" w:eastAsia="宋体" w:cs="宋体"/>
          <w:sz w:val="24"/>
          <w:lang w:val="en-US" w:eastAsia="zh-CN"/>
        </w:rPr>
        <w:t>33</w:t>
      </w:r>
    </w:p>
    <w:p>
      <w:pPr>
        <w:pStyle w:val="9"/>
        <w:adjustRightInd w:val="0"/>
        <w:snapToGrid w:val="0"/>
        <w:spacing w:line="440" w:lineRule="exact"/>
        <w:jc w:val="left"/>
        <w:rPr>
          <w:rFonts w:hint="default" w:eastAsia="宋体"/>
          <w:sz w:val="24"/>
          <w:lang w:val="en-US" w:eastAsia="zh-CN"/>
        </w:rPr>
      </w:pPr>
      <w:r>
        <w:rPr>
          <w:rFonts w:hint="eastAsia"/>
          <w:sz w:val="24"/>
        </w:rPr>
        <w:t>附件</w:t>
      </w:r>
      <w:r>
        <w:rPr>
          <w:sz w:val="24"/>
        </w:rPr>
        <w:t>1</w:t>
      </w:r>
      <w:r>
        <w:rPr>
          <w:rFonts w:hint="eastAsia" w:ascii="宋体" w:hAnsi="宋体" w:cs="宋体"/>
          <w:sz w:val="24"/>
        </w:rPr>
        <w:t>……………………………………………………………………………</w:t>
      </w:r>
      <w:r>
        <w:rPr>
          <w:rFonts w:hint="eastAsia" w:ascii="宋体" w:hAnsi="宋体" w:cs="宋体"/>
          <w:sz w:val="24"/>
          <w:lang w:val="en-US" w:eastAsia="zh-CN"/>
        </w:rPr>
        <w:t>33</w:t>
      </w:r>
    </w:p>
    <w:p>
      <w:pPr>
        <w:pStyle w:val="9"/>
        <w:adjustRightInd w:val="0"/>
        <w:snapToGrid w:val="0"/>
        <w:spacing w:line="440" w:lineRule="exact"/>
        <w:jc w:val="left"/>
        <w:rPr>
          <w:rFonts w:hint="default" w:eastAsia="宋体"/>
          <w:sz w:val="24"/>
          <w:lang w:val="en-US" w:eastAsia="zh-CN"/>
        </w:rPr>
      </w:pPr>
      <w:r>
        <w:rPr>
          <w:rFonts w:hint="eastAsia"/>
          <w:sz w:val="24"/>
        </w:rPr>
        <w:t>附件</w:t>
      </w:r>
      <w:r>
        <w:rPr>
          <w:sz w:val="24"/>
        </w:rPr>
        <w:t>2</w:t>
      </w:r>
      <w:r>
        <w:rPr>
          <w:rFonts w:hint="eastAsia" w:ascii="宋体" w:hAnsi="宋体" w:cs="宋体"/>
          <w:sz w:val="24"/>
        </w:rPr>
        <w:t>……………………………………………………………………………</w:t>
      </w:r>
      <w:r>
        <w:rPr>
          <w:rFonts w:hint="eastAsia" w:ascii="宋体" w:hAnsi="宋体" w:cs="宋体"/>
          <w:sz w:val="24"/>
          <w:lang w:val="en-US" w:eastAsia="zh-CN"/>
        </w:rPr>
        <w:t>36</w:t>
      </w:r>
    </w:p>
    <w:p>
      <w:pPr>
        <w:pStyle w:val="8"/>
        <w:adjustRightInd w:val="0"/>
        <w:snapToGrid w:val="0"/>
        <w:spacing w:before="0" w:line="440" w:lineRule="exact"/>
        <w:jc w:val="left"/>
        <w:rPr>
          <w:rFonts w:hint="eastAsia" w:ascii="Times New Roman" w:hAnsi="Times New Roman" w:eastAsia="宋体"/>
          <w:sz w:val="24"/>
          <w:szCs w:val="24"/>
          <w:lang w:eastAsia="zh-CN"/>
        </w:rPr>
      </w:pPr>
      <w:r>
        <w:rPr>
          <w:rFonts w:hint="eastAsia" w:ascii="Times New Roman" w:hAnsi="Times New Roman"/>
          <w:sz w:val="24"/>
        </w:rPr>
        <w:t>第五部分附表</w:t>
      </w:r>
      <w:r>
        <w:rPr>
          <w:rFonts w:hint="eastAsia" w:ascii="宋体" w:hAnsi="宋体" w:eastAsia="宋体" w:cs="宋体"/>
          <w:sz w:val="24"/>
        </w:rPr>
        <w:t>………………………………………………………………………4</w:t>
      </w:r>
      <w:r>
        <w:rPr>
          <w:rFonts w:hint="eastAsia" w:ascii="宋体" w:hAnsi="宋体" w:eastAsia="宋体" w:cs="宋体"/>
          <w:sz w:val="24"/>
          <w:lang w:val="en-US" w:eastAsia="zh-CN"/>
        </w:rPr>
        <w:t>5</w:t>
      </w:r>
    </w:p>
    <w:p>
      <w:pPr>
        <w:pStyle w:val="9"/>
        <w:adjustRightInd w:val="0"/>
        <w:snapToGrid w:val="0"/>
        <w:spacing w:line="440" w:lineRule="exact"/>
        <w:jc w:val="left"/>
        <w:rPr>
          <w:rFonts w:eastAsia="仿宋"/>
          <w:sz w:val="24"/>
        </w:rPr>
      </w:pPr>
      <w:r>
        <w:rPr>
          <w:rFonts w:hint="eastAsia" w:eastAsia="仿宋"/>
          <w:sz w:val="24"/>
        </w:rPr>
        <w:t>一、</w:t>
      </w:r>
      <w:r>
        <w:rPr>
          <w:rFonts w:hint="eastAsia"/>
          <w:sz w:val="24"/>
        </w:rPr>
        <w:t>收入支出决算总表</w:t>
      </w:r>
    </w:p>
    <w:p>
      <w:pPr>
        <w:pStyle w:val="9"/>
        <w:adjustRightInd w:val="0"/>
        <w:snapToGrid w:val="0"/>
        <w:spacing w:line="440" w:lineRule="exact"/>
        <w:jc w:val="left"/>
        <w:rPr>
          <w:rFonts w:eastAsia="仿宋"/>
          <w:sz w:val="24"/>
        </w:rPr>
      </w:pPr>
      <w:r>
        <w:rPr>
          <w:rFonts w:hint="eastAsia" w:eastAsia="仿宋"/>
          <w:sz w:val="24"/>
        </w:rPr>
        <w:t>二、</w:t>
      </w:r>
      <w:r>
        <w:rPr>
          <w:rFonts w:hint="eastAsia"/>
          <w:sz w:val="24"/>
        </w:rPr>
        <w:t>收入</w:t>
      </w:r>
      <w:r>
        <w:rPr>
          <w:rFonts w:hint="eastAsia" w:eastAsia="仿宋"/>
          <w:sz w:val="24"/>
        </w:rPr>
        <w:t>决算</w:t>
      </w:r>
      <w:r>
        <w:rPr>
          <w:rFonts w:hint="eastAsia"/>
          <w:sz w:val="24"/>
        </w:rPr>
        <w:t>表</w:t>
      </w:r>
    </w:p>
    <w:p>
      <w:pPr>
        <w:pStyle w:val="9"/>
        <w:adjustRightInd w:val="0"/>
        <w:snapToGrid w:val="0"/>
        <w:spacing w:line="440" w:lineRule="exact"/>
        <w:jc w:val="left"/>
        <w:rPr>
          <w:rFonts w:eastAsia="仿宋"/>
          <w:sz w:val="24"/>
        </w:rPr>
      </w:pPr>
      <w:r>
        <w:rPr>
          <w:rFonts w:hint="eastAsia" w:eastAsia="仿宋"/>
          <w:sz w:val="24"/>
        </w:rPr>
        <w:t>三、</w:t>
      </w:r>
      <w:r>
        <w:rPr>
          <w:rFonts w:hint="eastAsia"/>
          <w:sz w:val="24"/>
        </w:rPr>
        <w:t>支出</w:t>
      </w:r>
      <w:r>
        <w:rPr>
          <w:rFonts w:hint="eastAsia" w:eastAsia="仿宋"/>
          <w:sz w:val="24"/>
        </w:rPr>
        <w:t>决算</w:t>
      </w:r>
      <w:r>
        <w:rPr>
          <w:rFonts w:hint="eastAsia"/>
          <w:sz w:val="24"/>
        </w:rPr>
        <w:t>表</w:t>
      </w:r>
    </w:p>
    <w:p>
      <w:pPr>
        <w:pStyle w:val="9"/>
        <w:adjustRightInd w:val="0"/>
        <w:snapToGrid w:val="0"/>
        <w:spacing w:line="440" w:lineRule="exact"/>
        <w:jc w:val="left"/>
        <w:rPr>
          <w:rFonts w:eastAsia="仿宋"/>
          <w:sz w:val="24"/>
        </w:rPr>
      </w:pPr>
      <w:r>
        <w:rPr>
          <w:rFonts w:hint="eastAsia" w:eastAsia="仿宋"/>
          <w:sz w:val="24"/>
        </w:rPr>
        <w:t>四、</w:t>
      </w:r>
      <w:r>
        <w:rPr>
          <w:rFonts w:hint="eastAsia"/>
          <w:sz w:val="24"/>
        </w:rPr>
        <w:t>财政拨款收入支出决算总表</w:t>
      </w:r>
    </w:p>
    <w:p>
      <w:pPr>
        <w:pStyle w:val="9"/>
        <w:adjustRightInd w:val="0"/>
        <w:snapToGrid w:val="0"/>
        <w:spacing w:line="440" w:lineRule="exact"/>
        <w:jc w:val="left"/>
        <w:rPr>
          <w:rFonts w:eastAsia="仿宋"/>
          <w:sz w:val="24"/>
        </w:rPr>
      </w:pPr>
      <w:r>
        <w:rPr>
          <w:rFonts w:hint="eastAsia" w:eastAsia="仿宋"/>
          <w:sz w:val="24"/>
        </w:rPr>
        <w:t>五、财政拨款支出决算明细表</w:t>
      </w:r>
    </w:p>
    <w:p>
      <w:pPr>
        <w:pStyle w:val="9"/>
        <w:adjustRightInd w:val="0"/>
        <w:snapToGrid w:val="0"/>
        <w:spacing w:line="440" w:lineRule="exact"/>
        <w:jc w:val="left"/>
        <w:rPr>
          <w:rFonts w:eastAsia="仿宋"/>
          <w:sz w:val="24"/>
        </w:rPr>
      </w:pPr>
      <w:r>
        <w:rPr>
          <w:rFonts w:hint="eastAsia" w:eastAsia="仿宋"/>
          <w:sz w:val="24"/>
        </w:rPr>
        <w:t>六、</w:t>
      </w:r>
      <w:r>
        <w:rPr>
          <w:rFonts w:hint="eastAsia"/>
          <w:sz w:val="24"/>
        </w:rPr>
        <w:t>一般公共预算财政拨款支出决算表</w:t>
      </w:r>
    </w:p>
    <w:p>
      <w:pPr>
        <w:pStyle w:val="9"/>
        <w:adjustRightInd w:val="0"/>
        <w:snapToGrid w:val="0"/>
        <w:spacing w:line="440" w:lineRule="exact"/>
        <w:jc w:val="left"/>
        <w:rPr>
          <w:rFonts w:eastAsia="仿宋"/>
          <w:sz w:val="24"/>
        </w:rPr>
      </w:pPr>
      <w:r>
        <w:rPr>
          <w:rFonts w:hint="eastAsia" w:eastAsia="仿宋"/>
          <w:sz w:val="24"/>
        </w:rPr>
        <w:t>七、</w:t>
      </w:r>
      <w:r>
        <w:rPr>
          <w:rFonts w:hint="eastAsia"/>
          <w:sz w:val="24"/>
        </w:rPr>
        <w:t>一般公共预算财政拨款支出决算明细表</w:t>
      </w:r>
    </w:p>
    <w:p>
      <w:pPr>
        <w:pStyle w:val="9"/>
        <w:adjustRightInd w:val="0"/>
        <w:snapToGrid w:val="0"/>
        <w:spacing w:line="440" w:lineRule="exact"/>
        <w:jc w:val="left"/>
        <w:rPr>
          <w:rFonts w:eastAsia="仿宋"/>
          <w:sz w:val="24"/>
        </w:rPr>
      </w:pPr>
      <w:r>
        <w:rPr>
          <w:rFonts w:hint="eastAsia" w:eastAsia="仿宋"/>
          <w:sz w:val="24"/>
        </w:rPr>
        <w:t>八、</w:t>
      </w:r>
      <w:r>
        <w:rPr>
          <w:rFonts w:hint="eastAsia"/>
          <w:sz w:val="24"/>
        </w:rPr>
        <w:t>一般公共预算财政拨款基本支出决算表</w:t>
      </w:r>
    </w:p>
    <w:p>
      <w:pPr>
        <w:pStyle w:val="9"/>
        <w:adjustRightInd w:val="0"/>
        <w:snapToGrid w:val="0"/>
        <w:spacing w:line="440" w:lineRule="exact"/>
        <w:jc w:val="left"/>
        <w:rPr>
          <w:rFonts w:eastAsia="仿宋"/>
          <w:sz w:val="24"/>
        </w:rPr>
      </w:pPr>
      <w:r>
        <w:rPr>
          <w:rFonts w:hint="eastAsia" w:eastAsia="仿宋"/>
          <w:sz w:val="24"/>
        </w:rPr>
        <w:t>九、</w:t>
      </w:r>
      <w:r>
        <w:rPr>
          <w:rFonts w:hint="eastAsia"/>
          <w:sz w:val="24"/>
        </w:rPr>
        <w:t>一般公共预算财政拨款项目支出决算表</w:t>
      </w:r>
    </w:p>
    <w:p>
      <w:pPr>
        <w:pStyle w:val="9"/>
        <w:adjustRightInd w:val="0"/>
        <w:snapToGrid w:val="0"/>
        <w:spacing w:line="440" w:lineRule="exact"/>
        <w:jc w:val="left"/>
        <w:rPr>
          <w:rFonts w:eastAsia="仿宋"/>
          <w:sz w:val="24"/>
        </w:rPr>
      </w:pPr>
      <w:r>
        <w:rPr>
          <w:rFonts w:hint="eastAsia" w:eastAsia="仿宋"/>
          <w:sz w:val="24"/>
        </w:rPr>
        <w:t>十、</w:t>
      </w:r>
      <w:r>
        <w:rPr>
          <w:rFonts w:hint="eastAsia"/>
          <w:sz w:val="24"/>
        </w:rPr>
        <w:t>一般公共预算财政拨款“三公”经费支出决算表</w:t>
      </w:r>
    </w:p>
    <w:p>
      <w:pPr>
        <w:pStyle w:val="9"/>
        <w:adjustRightInd w:val="0"/>
        <w:snapToGrid w:val="0"/>
        <w:spacing w:line="440" w:lineRule="exact"/>
        <w:jc w:val="left"/>
        <w:rPr>
          <w:rFonts w:eastAsia="仿宋"/>
          <w:sz w:val="24"/>
        </w:rPr>
      </w:pPr>
      <w:r>
        <w:rPr>
          <w:rFonts w:hint="eastAsia" w:eastAsia="仿宋"/>
          <w:sz w:val="24"/>
        </w:rPr>
        <w:t>十一、</w:t>
      </w:r>
      <w:r>
        <w:rPr>
          <w:rFonts w:hint="eastAsia"/>
          <w:sz w:val="24"/>
        </w:rPr>
        <w:t>政府性基金预算财政拨款收入支出决算表</w:t>
      </w:r>
    </w:p>
    <w:p>
      <w:pPr>
        <w:pStyle w:val="9"/>
        <w:adjustRightInd w:val="0"/>
        <w:snapToGrid w:val="0"/>
        <w:spacing w:line="440" w:lineRule="exact"/>
        <w:jc w:val="left"/>
        <w:rPr>
          <w:rFonts w:eastAsia="仿宋"/>
          <w:sz w:val="24"/>
        </w:rPr>
      </w:pPr>
      <w:r>
        <w:rPr>
          <w:rFonts w:hint="eastAsia" w:eastAsia="仿宋"/>
          <w:sz w:val="24"/>
        </w:rPr>
        <w:t>十二、</w:t>
      </w:r>
      <w:r>
        <w:rPr>
          <w:rFonts w:hint="eastAsia"/>
          <w:sz w:val="24"/>
        </w:rPr>
        <w:t>政府性基金预算财政拨款“三公”经费支出决算表</w:t>
      </w:r>
    </w:p>
    <w:p>
      <w:pPr>
        <w:pStyle w:val="9"/>
        <w:adjustRightInd w:val="0"/>
        <w:snapToGrid w:val="0"/>
        <w:spacing w:line="440" w:lineRule="exact"/>
        <w:jc w:val="left"/>
        <w:rPr>
          <w:rFonts w:eastAsia="仿宋"/>
          <w:sz w:val="24"/>
        </w:rPr>
      </w:pPr>
      <w:r>
        <w:rPr>
          <w:rFonts w:hint="eastAsia"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eastAsia="仿宋"/>
          <w:color w:val="FF0000"/>
          <w:sz w:val="24"/>
        </w:rPr>
      </w:pPr>
      <w:r>
        <w:rPr>
          <w:rFonts w:eastAsia="仿宋"/>
          <w:color w:val="FF0000"/>
          <w:sz w:val="24"/>
        </w:rPr>
        <w:t>(注：</w:t>
      </w:r>
      <w:r>
        <w:rPr>
          <w:rFonts w:hint="eastAsia" w:eastAsia="仿宋"/>
          <w:color w:val="FF0000"/>
          <w:sz w:val="24"/>
        </w:rPr>
        <w:t>请部门根据实际注明页码</w:t>
      </w:r>
      <w:r>
        <w:rPr>
          <w:rFonts w:eastAsia="仿宋"/>
          <w:color w:val="FF0000"/>
          <w:sz w:val="24"/>
        </w:rPr>
        <w:t>)</w:t>
      </w:r>
    </w:p>
    <w:p>
      <w:pPr>
        <w:widowControl/>
        <w:spacing w:line="440" w:lineRule="exact"/>
        <w:jc w:val="left"/>
        <w:rPr>
          <w:rFonts w:eastAsia="仿宋"/>
          <w:bCs/>
          <w:kern w:val="44"/>
          <w:sz w:val="24"/>
        </w:rPr>
      </w:pPr>
      <w:bookmarkStart w:id="12" w:name="_Toc15396599"/>
      <w:bookmarkStart w:id="13" w:name="_Toc15377196"/>
      <w:r>
        <w:rPr>
          <w:rFonts w:eastAsia="仿宋"/>
          <w:b/>
          <w:sz w:val="24"/>
        </w:rPr>
        <w:br w:type="page"/>
      </w:r>
    </w:p>
    <w:p>
      <w:pPr>
        <w:pStyle w:val="2"/>
        <w:numPr>
          <w:ilvl w:val="0"/>
          <w:numId w:val="1"/>
        </w:numPr>
        <w:jc w:val="center"/>
        <w:rPr>
          <w:rStyle w:val="14"/>
          <w:rFonts w:eastAsia="黑体"/>
          <w:b w:val="0"/>
          <w:bCs w:val="0"/>
        </w:rPr>
      </w:pPr>
      <w:r>
        <w:rPr>
          <w:rStyle w:val="14"/>
          <w:rFonts w:hint="eastAsia" w:eastAsia="黑体"/>
          <w:b w:val="0"/>
          <w:bCs w:val="0"/>
        </w:rPr>
        <w:t>部门概况</w:t>
      </w:r>
      <w:bookmarkEnd w:id="12"/>
      <w:bookmarkEnd w:id="13"/>
    </w:p>
    <w:p/>
    <w:p>
      <w:pPr>
        <w:pStyle w:val="3"/>
        <w:rPr>
          <w:rStyle w:val="15"/>
          <w:rFonts w:ascii="Times New Roman" w:hAnsi="Times New Roman" w:eastAsia="仿宋" w:cs="Times New Roman"/>
          <w:b w:val="0"/>
          <w:bCs w:val="0"/>
        </w:rPr>
      </w:pPr>
      <w:bookmarkStart w:id="14" w:name="_Toc15377197"/>
      <w:bookmarkStart w:id="15" w:name="_Toc15396600"/>
      <w:r>
        <w:rPr>
          <w:rFonts w:hint="eastAsia" w:ascii="Times New Roman" w:hAnsi="Times New Roman" w:eastAsia="黑体" w:cs="Times New Roman"/>
          <w:b w:val="0"/>
          <w:color w:val="000000"/>
        </w:rPr>
        <w:t>一、基</w:t>
      </w:r>
      <w:r>
        <w:rPr>
          <w:rStyle w:val="15"/>
          <w:rFonts w:hint="eastAsia" w:ascii="Times New Roman" w:hAnsi="Times New Roman" w:eastAsia="黑体" w:cs="Times New Roman"/>
          <w:b w:val="0"/>
          <w:bCs w:val="0"/>
        </w:rPr>
        <w:t>本职能及主要工作</w:t>
      </w:r>
      <w:bookmarkEnd w:id="14"/>
      <w:bookmarkEnd w:id="15"/>
    </w:p>
    <w:p>
      <w:pPr>
        <w:spacing w:line="580" w:lineRule="exact"/>
        <w:ind w:firstLine="640" w:firstLineChars="200"/>
        <w:rPr>
          <w:rFonts w:ascii="仿宋" w:hAnsi="仿宋" w:eastAsia="仿宋" w:cs="仿宋_GB2312"/>
          <w:sz w:val="32"/>
          <w:szCs w:val="32"/>
        </w:rPr>
      </w:pPr>
      <w:bookmarkStart w:id="16" w:name="_Toc15377198"/>
      <w:bookmarkStart w:id="17" w:name="_Toc15378445"/>
      <w:r>
        <w:rPr>
          <w:rFonts w:hint="eastAsia" w:eastAsia="仿宋"/>
          <w:bCs/>
          <w:color w:val="000000"/>
          <w:sz w:val="32"/>
          <w:szCs w:val="32"/>
        </w:rPr>
        <w:t>（一）主要职能。</w:t>
      </w:r>
      <w:bookmarkEnd w:id="16"/>
      <w:bookmarkEnd w:id="17"/>
      <w:bookmarkStart w:id="18" w:name="_Toc15377199"/>
      <w:bookmarkStart w:id="19" w:name="_Toc15378446"/>
      <w:r>
        <w:rPr>
          <w:rFonts w:hint="eastAsia" w:eastAsia="仿宋"/>
          <w:bCs/>
          <w:color w:val="000000"/>
          <w:sz w:val="32"/>
          <w:szCs w:val="32"/>
        </w:rPr>
        <w:t>市社会保险事务中心</w:t>
      </w:r>
      <w:r>
        <w:rPr>
          <w:rFonts w:hint="eastAsia" w:ascii="仿宋_GB2312" w:hAnsi="仿宋" w:eastAsia="仿宋_GB2312"/>
          <w:sz w:val="32"/>
          <w:szCs w:val="32"/>
        </w:rPr>
        <w:t>为根据原省人事厅《关于批准攀枝花市机关事务管理局等39个市属事业单位参照公务员法管理的函》（川人函〔2009〕68号）批准的参照公务员法管理事业单位，攀编发〔2019〕79号文由原“攀枝花市社会保险事业管理局”更名为“</w:t>
      </w:r>
      <w:r>
        <w:rPr>
          <w:rFonts w:hint="eastAsia" w:ascii="仿宋" w:hAnsi="仿宋" w:eastAsia="仿宋"/>
          <w:sz w:val="32"/>
          <w:szCs w:val="32"/>
        </w:rPr>
        <w:t>攀枝花市社会保险事务中心</w:t>
      </w:r>
      <w:r>
        <w:rPr>
          <w:rFonts w:hint="eastAsia" w:ascii="仿宋_GB2312" w:hAnsi="仿宋" w:eastAsia="仿宋_GB2312"/>
          <w:sz w:val="32"/>
          <w:szCs w:val="32"/>
        </w:rPr>
        <w:t>”。</w:t>
      </w:r>
      <w:r>
        <w:rPr>
          <w:rFonts w:hint="eastAsia" w:ascii="仿宋_GB2312" w:hAnsi="宋体" w:eastAsia="仿宋_GB2312"/>
          <w:sz w:val="32"/>
          <w:szCs w:val="32"/>
        </w:rPr>
        <w:t>按照市编委批复和市人社局安排，承担的主要职能是城镇企业职工、灵活就业人员、机关事业单位职工以及城乡居民基本养老保险、城镇各类用人单位工伤保险参保登记、申报及缴纳养老保险及工伤保险费、个人权益记录、核定并按时支付各类人员养老保险及工伤保险待遇；负责各项养老保险、失业保险、工伤保险相关的稽核、基金管理等工作；承担城镇各类用人单位职工失业保险费的征收及待遇支付工作；负责组织实施全市征地农转非人员社会保障工作。</w:t>
      </w:r>
    </w:p>
    <w:p>
      <w:pPr>
        <w:pStyle w:val="4"/>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rPr>
        <w:t>（二）</w:t>
      </w:r>
      <w:r>
        <w:rPr>
          <w:rFonts w:ascii="Times New Roman" w:eastAsia="仿宋"/>
          <w:bCs/>
          <w:color w:val="000000"/>
          <w:sz w:val="32"/>
          <w:szCs w:val="32"/>
        </w:rPr>
        <w:t>2019</w:t>
      </w:r>
      <w:r>
        <w:rPr>
          <w:rFonts w:hint="eastAsia" w:ascii="Times New Roman" w:eastAsia="仿宋"/>
          <w:bCs/>
          <w:color w:val="000000"/>
          <w:sz w:val="32"/>
          <w:szCs w:val="32"/>
        </w:rPr>
        <w:t>年重点工作完成情况。</w:t>
      </w:r>
      <w:bookmarkEnd w:id="18"/>
      <w:bookmarkEnd w:id="19"/>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sz w:val="32"/>
          <w:szCs w:val="32"/>
        </w:rPr>
        <w:t>截至12月底，全市城镇职工基本养老保险参保人数564332人（其中，企业办法</w:t>
      </w:r>
      <w:r>
        <w:rPr>
          <w:rFonts w:hint="eastAsia" w:ascii="仿宋_GB2312" w:hAnsi="宋体" w:eastAsia="仿宋_GB2312" w:cs="宋体"/>
          <w:sz w:val="32"/>
          <w:szCs w:val="32"/>
        </w:rPr>
        <w:t>在职参保人员312000人，机关事业单位在职参保人数34800人）；城镇职工基本医疗保险参保人数415171人；失业保险参保人数166500人；工伤保险参保人数163700人；生育保险参保人数180000人；城乡居民养老保险参保人数261554人；</w:t>
      </w:r>
      <w:r>
        <w:rPr>
          <w:rFonts w:hint="eastAsia" w:ascii="仿宋_GB2312" w:hAnsi="宋体" w:eastAsia="仿宋_GB2312"/>
          <w:sz w:val="32"/>
          <w:szCs w:val="32"/>
        </w:rPr>
        <w:t>机关事业单位养老保险参保人数55650人。</w:t>
      </w:r>
    </w:p>
    <w:p>
      <w:pPr>
        <w:spacing w:line="360" w:lineRule="auto"/>
        <w:ind w:firstLine="640" w:firstLineChars="200"/>
        <w:rPr>
          <w:rFonts w:ascii="仿宋_GB2312" w:hAnsi="仿宋" w:eastAsia="仿宋_GB2312" w:cs="仿宋"/>
          <w:color w:val="FF0000"/>
          <w:sz w:val="32"/>
          <w:szCs w:val="32"/>
        </w:rPr>
      </w:pPr>
      <w:r>
        <w:rPr>
          <w:rFonts w:hint="eastAsia" w:ascii="仿宋_GB2312" w:hAnsi="宋体" w:eastAsia="仿宋_GB2312" w:cs="宋体"/>
          <w:sz w:val="32"/>
          <w:szCs w:val="32"/>
        </w:rPr>
        <w:t>全年累计</w:t>
      </w:r>
      <w:r>
        <w:rPr>
          <w:rFonts w:hint="eastAsia" w:ascii="仿宋_GB2312" w:hAnsi="宋体" w:eastAsia="仿宋_GB2312" w:cs="宋体"/>
          <w:bCs/>
          <w:sz w:val="32"/>
          <w:szCs w:val="32"/>
        </w:rPr>
        <w:t>征收城镇企业职工基本养老保险费</w:t>
      </w:r>
      <w:r>
        <w:rPr>
          <w:rFonts w:hint="eastAsia" w:ascii="仿宋_GB2312" w:hAnsi="宋体" w:eastAsia="仿宋_GB2312"/>
          <w:sz w:val="32"/>
          <w:szCs w:val="32"/>
        </w:rPr>
        <w:t>294919</w:t>
      </w:r>
      <w:r>
        <w:rPr>
          <w:rFonts w:hint="eastAsia" w:ascii="仿宋_GB2312" w:hAnsi="宋体" w:eastAsia="仿宋_GB2312" w:cs="宋体"/>
          <w:bCs/>
          <w:sz w:val="32"/>
          <w:szCs w:val="32"/>
        </w:rPr>
        <w:t>万元</w:t>
      </w:r>
      <w:r>
        <w:rPr>
          <w:rFonts w:hint="eastAsia" w:ascii="仿宋_GB2312" w:hAnsi="宋体" w:eastAsia="仿宋_GB2312" w:cs="宋体"/>
          <w:sz w:val="32"/>
          <w:szCs w:val="32"/>
        </w:rPr>
        <w:t>；清理回收</w:t>
      </w:r>
      <w:r>
        <w:rPr>
          <w:rFonts w:hint="eastAsia" w:ascii="仿宋_GB2312" w:hAnsi="宋体" w:eastAsia="仿宋_GB2312" w:cs="宋体"/>
          <w:bCs/>
          <w:sz w:val="32"/>
          <w:szCs w:val="32"/>
        </w:rPr>
        <w:t>城镇企业职工基本养老保险历史</w:t>
      </w:r>
      <w:r>
        <w:rPr>
          <w:rFonts w:hint="eastAsia" w:ascii="仿宋_GB2312" w:hAnsi="宋体" w:eastAsia="仿宋_GB2312" w:cs="宋体"/>
          <w:sz w:val="32"/>
          <w:szCs w:val="32"/>
        </w:rPr>
        <w:t>欠费6000万元；城镇职工基本医疗保险费</w:t>
      </w:r>
      <w:r>
        <w:rPr>
          <w:rFonts w:hint="eastAsia" w:ascii="仿宋_GB2312" w:hAnsi="宋体" w:eastAsia="仿宋_GB2312"/>
          <w:sz w:val="32"/>
          <w:szCs w:val="32"/>
        </w:rPr>
        <w:t>175734</w:t>
      </w:r>
      <w:r>
        <w:rPr>
          <w:rFonts w:hint="eastAsia" w:ascii="仿宋_GB2312" w:hAnsi="宋体" w:eastAsia="仿宋_GB2312" w:cs="宋体"/>
          <w:bCs/>
          <w:sz w:val="32"/>
          <w:szCs w:val="32"/>
        </w:rPr>
        <w:t>万</w:t>
      </w:r>
      <w:r>
        <w:rPr>
          <w:rFonts w:hint="eastAsia" w:ascii="仿宋_GB2312" w:hAnsi="宋体" w:eastAsia="仿宋_GB2312" w:cs="宋体"/>
          <w:sz w:val="32"/>
          <w:szCs w:val="32"/>
        </w:rPr>
        <w:t>元；失业保险费</w:t>
      </w:r>
      <w:r>
        <w:rPr>
          <w:rFonts w:hint="eastAsia" w:ascii="仿宋_GB2312" w:hAnsi="宋体" w:eastAsia="仿宋_GB2312"/>
          <w:sz w:val="32"/>
          <w:szCs w:val="32"/>
        </w:rPr>
        <w:t>11064</w:t>
      </w:r>
      <w:r>
        <w:rPr>
          <w:rFonts w:hint="eastAsia" w:ascii="仿宋_GB2312" w:hAnsi="宋体" w:eastAsia="仿宋_GB2312" w:cs="宋体"/>
          <w:bCs/>
          <w:sz w:val="32"/>
          <w:szCs w:val="32"/>
        </w:rPr>
        <w:t>万元</w:t>
      </w:r>
      <w:r>
        <w:rPr>
          <w:rFonts w:hint="eastAsia" w:ascii="仿宋_GB2312" w:hAnsi="宋体" w:eastAsia="仿宋_GB2312" w:cs="宋体"/>
          <w:sz w:val="32"/>
          <w:szCs w:val="32"/>
        </w:rPr>
        <w:t>；</w:t>
      </w:r>
      <w:r>
        <w:rPr>
          <w:rFonts w:hint="eastAsia" w:ascii="仿宋_GB2312" w:hAnsi="宋体" w:eastAsia="仿宋_GB2312" w:cs="宋体"/>
          <w:bCs/>
          <w:sz w:val="32"/>
          <w:szCs w:val="32"/>
        </w:rPr>
        <w:t>工伤保险费</w:t>
      </w:r>
      <w:r>
        <w:rPr>
          <w:rFonts w:hint="eastAsia" w:ascii="仿宋_GB2312" w:hAnsi="宋体" w:eastAsia="仿宋_GB2312"/>
          <w:sz w:val="32"/>
          <w:szCs w:val="32"/>
        </w:rPr>
        <w:t>22974</w:t>
      </w:r>
      <w:r>
        <w:rPr>
          <w:rFonts w:hint="eastAsia" w:ascii="仿宋_GB2312" w:hAnsi="宋体" w:eastAsia="仿宋_GB2312" w:cs="宋体"/>
          <w:bCs/>
          <w:sz w:val="32"/>
          <w:szCs w:val="32"/>
        </w:rPr>
        <w:t>万元</w:t>
      </w:r>
      <w:r>
        <w:rPr>
          <w:rFonts w:hint="eastAsia" w:ascii="仿宋_GB2312" w:hAnsi="宋体" w:eastAsia="仿宋_GB2312" w:cs="宋体"/>
          <w:sz w:val="32"/>
          <w:szCs w:val="32"/>
        </w:rPr>
        <w:t>；生育保险费</w:t>
      </w:r>
      <w:r>
        <w:rPr>
          <w:rFonts w:hint="eastAsia" w:ascii="仿宋_GB2312" w:hAnsi="宋体" w:eastAsia="仿宋_GB2312"/>
          <w:sz w:val="32"/>
          <w:szCs w:val="32"/>
        </w:rPr>
        <w:t>5195</w:t>
      </w:r>
      <w:r>
        <w:rPr>
          <w:rFonts w:hint="eastAsia" w:ascii="仿宋_GB2312" w:hAnsi="宋体" w:eastAsia="仿宋_GB2312" w:cs="宋体"/>
          <w:sz w:val="32"/>
          <w:szCs w:val="32"/>
        </w:rPr>
        <w:t>万元；</w:t>
      </w:r>
      <w:r>
        <w:rPr>
          <w:rFonts w:hint="eastAsia" w:ascii="仿宋_GB2312" w:hAnsi="仿宋" w:eastAsia="仿宋_GB2312" w:cs="仿宋"/>
          <w:sz w:val="32"/>
          <w:szCs w:val="32"/>
        </w:rPr>
        <w:t>机关事业单位养老保险费征缴收入</w:t>
      </w:r>
      <w:r>
        <w:rPr>
          <w:rFonts w:hint="eastAsia" w:ascii="仿宋_GB2312" w:hAnsi="宋体" w:eastAsia="仿宋_GB2312"/>
          <w:sz w:val="32"/>
          <w:szCs w:val="32"/>
        </w:rPr>
        <w:t>75946万</w:t>
      </w:r>
      <w:r>
        <w:rPr>
          <w:rFonts w:hint="eastAsia" w:ascii="仿宋_GB2312" w:hAnsi="仿宋" w:eastAsia="仿宋_GB2312" w:cs="仿宋"/>
          <w:sz w:val="32"/>
          <w:szCs w:val="32"/>
        </w:rPr>
        <w:t>元、职业年金收入</w:t>
      </w:r>
      <w:r>
        <w:rPr>
          <w:rFonts w:hint="eastAsia" w:ascii="仿宋_GB2312" w:hAnsi="宋体" w:eastAsia="仿宋_GB2312"/>
          <w:sz w:val="32"/>
          <w:szCs w:val="32"/>
        </w:rPr>
        <w:t>15791</w:t>
      </w:r>
      <w:r>
        <w:rPr>
          <w:rFonts w:hint="eastAsia" w:ascii="仿宋_GB2312" w:hAnsi="仿宋" w:eastAsia="仿宋_GB2312" w:cs="仿宋"/>
          <w:sz w:val="32"/>
          <w:szCs w:val="32"/>
        </w:rPr>
        <w:t>万元；城乡居民养老保险费3196万元。</w:t>
      </w:r>
    </w:p>
    <w:p>
      <w:pPr>
        <w:pStyle w:val="4"/>
        <w:adjustRightInd w:val="0"/>
        <w:snapToGrid w:val="0"/>
        <w:spacing w:before="93" w:line="360" w:lineRule="auto"/>
        <w:ind w:firstLine="672" w:firstLineChars="210"/>
        <w:outlineLvl w:val="2"/>
        <w:rPr>
          <w:rFonts w:ascii="Times New Roman" w:eastAsia="仿宋"/>
          <w:bCs/>
          <w:color w:val="000000"/>
          <w:sz w:val="32"/>
          <w:szCs w:val="32"/>
        </w:rPr>
      </w:pPr>
      <w:r>
        <w:rPr>
          <w:rFonts w:hint="eastAsia" w:hAnsi="仿宋" w:cs="仿宋"/>
          <w:sz w:val="32"/>
          <w:szCs w:val="32"/>
        </w:rPr>
        <w:t>向上争取城镇企业职工养老保险省级统筹调剂金40.89亿元；城乡居民养老保险上级补助资金9711万元。</w:t>
      </w:r>
    </w:p>
    <w:p>
      <w:pPr>
        <w:autoSpaceDE w:val="0"/>
        <w:autoSpaceDN w:val="0"/>
        <w:adjustRightInd w:val="0"/>
        <w:spacing w:line="360" w:lineRule="auto"/>
        <w:ind w:firstLine="640" w:firstLineChars="200"/>
        <w:jc w:val="left"/>
        <w:rPr>
          <w:rFonts w:ascii="仿宋_GB2312" w:hAnsi="华文楷体" w:eastAsia="仿宋_GB2312"/>
          <w:sz w:val="32"/>
          <w:szCs w:val="32"/>
        </w:rPr>
      </w:pPr>
      <w:r>
        <w:rPr>
          <w:rFonts w:hint="eastAsia" w:ascii="仿宋_GB2312" w:hAnsi="华文楷体" w:eastAsia="仿宋_GB2312" w:cs="仿宋"/>
          <w:sz w:val="32"/>
          <w:szCs w:val="32"/>
        </w:rPr>
        <w:t>1．</w:t>
      </w:r>
      <w:r>
        <w:rPr>
          <w:rFonts w:hint="eastAsia" w:ascii="仿宋_GB2312" w:hAnsi="华文楷体" w:eastAsia="仿宋_GB2312"/>
          <w:sz w:val="32"/>
          <w:szCs w:val="32"/>
        </w:rPr>
        <w:t>继续确保全市</w:t>
      </w:r>
      <w:r>
        <w:rPr>
          <w:rFonts w:hint="eastAsia" w:ascii="仿宋_GB2312" w:hAnsi="华文楷体" w:eastAsia="仿宋_GB2312" w:cs="宋体"/>
          <w:kern w:val="0"/>
          <w:sz w:val="32"/>
          <w:szCs w:val="32"/>
        </w:rPr>
        <w:t>各类养老保险待遇领取人员</w:t>
      </w:r>
      <w:r>
        <w:rPr>
          <w:rFonts w:hint="eastAsia" w:ascii="仿宋_GB2312" w:hAnsi="华文楷体" w:eastAsia="仿宋_GB2312"/>
          <w:sz w:val="32"/>
          <w:szCs w:val="32"/>
        </w:rPr>
        <w:t>养老金按时足额发放，及时支付各项社会保险待遇，维护参保人员合法权益。</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1-12月发放和支付各项社会保险待遇支出1032254万元。其中：企业退休人员基本养老金</w:t>
      </w:r>
      <w:r>
        <w:rPr>
          <w:rFonts w:hint="eastAsia" w:ascii="仿宋_GB2312" w:hAnsi="宋体" w:eastAsia="仿宋_GB2312"/>
          <w:sz w:val="32"/>
          <w:szCs w:val="32"/>
        </w:rPr>
        <w:t>695798</w:t>
      </w:r>
      <w:r>
        <w:rPr>
          <w:rFonts w:hint="eastAsia" w:ascii="仿宋_GB2312" w:hAnsi="宋体" w:eastAsia="仿宋_GB2312" w:cs="宋体"/>
          <w:kern w:val="0"/>
          <w:sz w:val="32"/>
          <w:szCs w:val="32"/>
        </w:rPr>
        <w:t>万元、机关事业单位退休人员基本养老金</w:t>
      </w:r>
      <w:r>
        <w:rPr>
          <w:rFonts w:hint="eastAsia" w:ascii="仿宋_GB2312" w:hAnsi="宋体" w:eastAsia="仿宋_GB2312"/>
          <w:sz w:val="32"/>
          <w:szCs w:val="32"/>
        </w:rPr>
        <w:t>133880</w:t>
      </w:r>
      <w:r>
        <w:rPr>
          <w:rFonts w:hint="eastAsia" w:ascii="仿宋_GB2312" w:hAnsi="宋体" w:eastAsia="仿宋_GB2312" w:cs="宋体"/>
          <w:kern w:val="0"/>
          <w:sz w:val="32"/>
          <w:szCs w:val="32"/>
        </w:rPr>
        <w:t>万元、城乡居保养老金</w:t>
      </w:r>
      <w:r>
        <w:rPr>
          <w:rFonts w:hint="eastAsia" w:ascii="仿宋_GB2312" w:hAnsi="宋体" w:eastAsia="仿宋_GB2312"/>
          <w:sz w:val="32"/>
          <w:szCs w:val="32"/>
        </w:rPr>
        <w:t>10352</w:t>
      </w:r>
      <w:r>
        <w:rPr>
          <w:rFonts w:hint="eastAsia" w:ascii="仿宋_GB2312" w:hAnsi="宋体" w:eastAsia="仿宋_GB2312" w:cs="宋体"/>
          <w:kern w:val="0"/>
          <w:sz w:val="32"/>
          <w:szCs w:val="32"/>
        </w:rPr>
        <w:t>万元；城镇职工基本医疗保险支出</w:t>
      </w:r>
      <w:r>
        <w:rPr>
          <w:rFonts w:hint="eastAsia" w:ascii="仿宋_GB2312" w:hAnsi="宋体" w:eastAsia="仿宋_GB2312"/>
          <w:sz w:val="32"/>
          <w:szCs w:val="32"/>
        </w:rPr>
        <w:t>161184</w:t>
      </w:r>
      <w:r>
        <w:rPr>
          <w:rFonts w:hint="eastAsia" w:ascii="仿宋_GB2312" w:hAnsi="宋体" w:eastAsia="仿宋_GB2312" w:cs="宋体"/>
          <w:kern w:val="0"/>
          <w:sz w:val="32"/>
          <w:szCs w:val="32"/>
        </w:rPr>
        <w:t>万元、工伤保险支出</w:t>
      </w:r>
      <w:r>
        <w:rPr>
          <w:rFonts w:hint="eastAsia" w:ascii="仿宋_GB2312" w:hAnsi="宋体" w:eastAsia="仿宋_GB2312"/>
          <w:sz w:val="32"/>
          <w:szCs w:val="32"/>
        </w:rPr>
        <w:t>19017</w:t>
      </w:r>
      <w:r>
        <w:rPr>
          <w:rFonts w:hint="eastAsia" w:ascii="仿宋_GB2312" w:hAnsi="宋体" w:eastAsia="仿宋_GB2312" w:cs="宋体"/>
          <w:kern w:val="0"/>
          <w:sz w:val="32"/>
          <w:szCs w:val="32"/>
        </w:rPr>
        <w:t>万元、失业保险支出6512万元、生育保险支出</w:t>
      </w:r>
      <w:r>
        <w:rPr>
          <w:rFonts w:hint="eastAsia" w:ascii="仿宋_GB2312" w:hAnsi="宋体" w:eastAsia="仿宋_GB2312"/>
          <w:sz w:val="32"/>
          <w:szCs w:val="32"/>
        </w:rPr>
        <w:t>5511</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cs="宋体"/>
          <w:kern w:val="0"/>
          <w:sz w:val="32"/>
          <w:szCs w:val="32"/>
        </w:rPr>
        <w:t>2.</w:t>
      </w:r>
      <w:r>
        <w:rPr>
          <w:rFonts w:hint="eastAsia" w:ascii="仿宋_GB2312" w:hAnsi="仿宋_GB2312" w:eastAsia="仿宋_GB2312" w:cs="仿宋_GB2312"/>
          <w:sz w:val="32"/>
          <w:szCs w:val="32"/>
        </w:rPr>
        <w:t xml:space="preserve"> 以防范化解社保经办风险为主线，以落实社保改革任务、社保经办扶贫为重点，持续提升社保经办服务供给能力。</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确保各项经办工作正常开展的同时积极转变工作方式，推进社保业务下延，多方位开通社保缴费新局面。一是在不断完善综柜制系统的基础上，在确保各项业务工作正常开展的同时，充分发挥基层平台的作用，将与群众密切联系的12项业务下延至乡镇、社区劳动保障窗口。二是将医保补缴中断的业务下延至5家银行，大大方便了参保群众就近办理各项社会保险业务。三是针对个体参保人员全面推行银行代扣代缴方式，目前全市8家银行均可办理此项业务。同时，积极探索网上缴费的方式，目前工商银行“E缴费”和商业银行“攀商银行”自助缴费APP均可实现网络自助缴费，极大地便利了参保群众接续养老和医疗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（2）贯彻落实国家、省、市降费减负重大决策。</w:t>
      </w:r>
      <w:r>
        <w:rPr>
          <w:rFonts w:hint="eastAsia" w:ascii="仿宋_GB2312" w:hAnsi="黑体" w:eastAsia="仿宋_GB2312"/>
          <w:sz w:val="32"/>
          <w:szCs w:val="32"/>
        </w:rPr>
        <w:t>4 月底前研究制定</w:t>
      </w:r>
      <w:r>
        <w:rPr>
          <w:rFonts w:hint="eastAsia" w:ascii="仿宋_GB2312" w:eastAsia="仿宋_GB2312"/>
          <w:sz w:val="32"/>
          <w:szCs w:val="32"/>
        </w:rPr>
        <w:t xml:space="preserve">了工作方案，调整了业务系统需求和相关参数，确保各项政策的执行能够落实落地。5月开展了企业负责人座谈会、深入园区宣讲政策、现场集中宣传咨询活动等降费减负宣传活动，让社保新政家喻户晓。6月按照全省上年度全口径城镇单位就业人员平均工资标准明确单位和灵活就业人员缴费基数和档次，确定单位职工和灵活就业人员补收退费的时间节点社保降费率政策落到实处，切实为参保单位和参保群众减轻负担。从5月1日起，灵活就业人员也可根据自身经济状况可在50%至300%间选择缴费档次。实施降费减负政策后，三项社会保险全年为企业减负达3.54亿元。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（3）</w:t>
      </w:r>
      <w:r>
        <w:rPr>
          <w:rFonts w:hint="eastAsia" w:ascii="仿宋_GB2312" w:hAnsi="华文楷体" w:eastAsia="仿宋_GB2312" w:cs="宋体"/>
          <w:kern w:val="0"/>
          <w:sz w:val="32"/>
          <w:szCs w:val="32"/>
        </w:rPr>
        <w:t>调整增加各类养老保险待遇领取人员基本养老金水平。</w:t>
      </w:r>
      <w:r>
        <w:rPr>
          <w:rFonts w:hint="eastAsia" w:ascii="仿宋_GB2312" w:hAnsi="仿宋" w:eastAsia="仿宋_GB2312"/>
          <w:sz w:val="32"/>
          <w:szCs w:val="32"/>
        </w:rPr>
        <w:t>去年是我市</w:t>
      </w:r>
      <w:r>
        <w:rPr>
          <w:rFonts w:hint="eastAsia" w:ascii="仿宋_GB2312" w:eastAsia="仿宋_GB2312"/>
          <w:sz w:val="32"/>
          <w:szCs w:val="32"/>
        </w:rPr>
        <w:t>启用</w:t>
      </w:r>
      <w:r>
        <w:rPr>
          <w:rFonts w:hint="eastAsia" w:ascii="仿宋_GB2312" w:hAnsi="仿宋" w:eastAsia="仿宋_GB2312"/>
          <w:sz w:val="32"/>
          <w:szCs w:val="32"/>
          <w:u w:color="000000"/>
        </w:rPr>
        <w:t>“综柜制”新系统</w:t>
      </w:r>
      <w:r>
        <w:rPr>
          <w:rFonts w:hint="eastAsia" w:ascii="仿宋_GB2312" w:eastAsia="仿宋_GB2312"/>
          <w:sz w:val="32"/>
          <w:szCs w:val="32"/>
        </w:rPr>
        <w:t>后的首次调整。</w:t>
      </w:r>
      <w:r>
        <w:rPr>
          <w:rFonts w:hint="eastAsia" w:ascii="仿宋_GB2312" w:hAnsi="仿宋" w:eastAsia="仿宋_GB2312"/>
          <w:sz w:val="32"/>
          <w:szCs w:val="32"/>
          <w:u w:color="000000"/>
        </w:rPr>
        <w:t>一方面积极组织开展退休人员数据清理、重点人群情况分析、调待业务系统需求的准确制定，协调市人社信息中心进行系统待遇调整及检查确认工作；另一方面积极协调市财政局及时划拨调待资金，并根据调待结果将资金分别划拨到各个退休待遇发放银行。同时，针对广大退休人员关心的问题，按照“看得懂、算得清”的要求制作了简明清晰的调待政策宣传资料，通过各级政务服务中心电子公告屏、机关事业单位劳资人员QQ群、街道和社区人社基层平台、银行网点等多种渠道将调待政策告知广大退休人员。</w:t>
      </w:r>
      <w:r>
        <w:rPr>
          <w:rFonts w:hint="eastAsia" w:ascii="仿宋_GB2312" w:hAnsi="仿宋" w:eastAsia="仿宋_GB2312"/>
          <w:sz w:val="32"/>
          <w:szCs w:val="32"/>
        </w:rPr>
        <w:t>2019年全市退休人员基本养老金平均增幅5.24%,</w:t>
      </w:r>
      <w:r>
        <w:rPr>
          <w:rFonts w:hint="eastAsia" w:ascii="仿宋_GB2312" w:hAnsi="仿宋" w:eastAsia="仿宋_GB2312"/>
          <w:sz w:val="32"/>
          <w:szCs w:val="32"/>
          <w:u w:color="000000"/>
        </w:rPr>
        <w:t>涉及20243名符合条件的机关事业单位退休人员参加调整，人均月增加基本养老金206.07元，增幅3.98%；涉及</w:t>
      </w:r>
      <w:r>
        <w:rPr>
          <w:rFonts w:hint="eastAsia" w:ascii="仿宋_GB2312" w:hAnsi="仿宋" w:eastAsia="仿宋_GB2312"/>
          <w:sz w:val="32"/>
          <w:szCs w:val="32"/>
        </w:rPr>
        <w:t>183020人符合条件的企业退休人员参加调整，人均月增加基本养老金156.79元，增幅5.30%。2019年全市退休人员基本养老金平均增幅5.24%。</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（4）做好全民参保登记服务社保扶贫工作。一是</w:t>
      </w:r>
      <w:r>
        <w:rPr>
          <w:rFonts w:hint="eastAsia" w:ascii="仿宋_GB2312" w:eastAsia="仿宋_GB2312"/>
          <w:sz w:val="32"/>
          <w:szCs w:val="32"/>
        </w:rPr>
        <w:t>将我市全民参保登记基础数据与全省城乡居民养老保险信息系统、全省机关事业单位养老保险信息系统以及我市金保系统进行比对，梳理出符合参保条件的未参保人员并进行精准扩面。</w:t>
      </w:r>
      <w:r>
        <w:rPr>
          <w:rFonts w:hint="eastAsia" w:ascii="仿宋_GB2312" w:hAnsi="宋体" w:eastAsia="仿宋_GB2312"/>
          <w:sz w:val="32"/>
          <w:szCs w:val="32"/>
        </w:rPr>
        <w:t>同时，开展了全民参保计划扩面专项行动，各县（区）通过数据比对、入户调查等手段，逐一核实未参保人员基本情况及未参保原因，并根据未参保人员自身情况，精准宣传社保相关参保、缴费及待遇享受政策，为参保扩面工作打好基础。</w:t>
      </w:r>
      <w:r>
        <w:rPr>
          <w:rFonts w:hint="eastAsia" w:ascii="仿宋_GB2312" w:eastAsia="仿宋_GB2312"/>
          <w:sz w:val="32"/>
          <w:szCs w:val="32"/>
        </w:rPr>
        <w:t>2019年，我市参加各类社会保险人数为144.08万人，各险种综合参保率为98.64%，应保未保人数为1.99万人，占应参保人数的1.36%。二是与市扶贫移民局、市民政局对我市精准扶贫建档立卡人员、城乡低保人员、城乡特困人员进行清理，将新识别的困难人员纳入城居保代缴及待遇发放范围。截至2019年底，贫困人员参保代缴31858人，代缴金额318.58万元，为10769名符合条件的贫困到龄人员发放城居保养老金，共计发放1352.34万元，月均养老金110.54元。三是做好征地社会保障新政策的宣传、解读，指导县（区）开展被征地农民社会保障工作。盐边县和米易县已正式</w:t>
      </w:r>
      <w:r>
        <w:rPr>
          <w:rFonts w:hint="eastAsia" w:ascii="仿宋_GB2312" w:hAnsi="微软雅黑" w:eastAsia="仿宋_GB2312" w:cs="微软雅黑"/>
          <w:sz w:val="32"/>
          <w:szCs w:val="32"/>
        </w:rPr>
        <w:t>开展被征地农民社会保障工作，</w:t>
      </w:r>
      <w:r>
        <w:rPr>
          <w:rFonts w:hint="eastAsia" w:ascii="仿宋_GB2312" w:eastAsia="仿宋_GB2312"/>
          <w:sz w:val="32"/>
          <w:szCs w:val="32"/>
        </w:rPr>
        <w:t>有7个项目开始实施社会保障安置，共计一次性划入城居保个人账户516.84万元，预计代缴企保养老保险费167.77万元。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（5）稳步推进机关事业单位养老保险工作。一是做好机关事业单位养老保险费的征缴工作移交税务机关工作。通过积极与税务部门沟通协调，运行平稳。二是做好暂停中人待遇计发的相关工作。及时发布消息，</w:t>
      </w:r>
      <w:r>
        <w:rPr>
          <w:rFonts w:hint="eastAsia" w:ascii="仿宋_GB2312" w:hAnsi="仿宋_GB2312" w:eastAsia="仿宋_GB2312" w:cs="仿宋_GB2312"/>
          <w:kern w:val="0"/>
          <w:sz w:val="32"/>
          <w:szCs w:val="32"/>
        </w:rPr>
        <w:t>召开县（区）人社部门、社保经办机构和参保单位的会议，通过单位传达到所有退休“中人”。同时，</w:t>
      </w:r>
      <w:r>
        <w:rPr>
          <w:rFonts w:hint="eastAsia" w:ascii="仿宋_GB2312" w:hAnsi="仿宋_GB2312" w:eastAsia="仿宋_GB2312" w:cs="仿宋_GB2312"/>
          <w:sz w:val="32"/>
          <w:szCs w:val="32"/>
        </w:rPr>
        <w:t>对重点上访、信访人员，进行了一对一的政策解释沟通，研究分析</w:t>
      </w:r>
      <w:r>
        <w:rPr>
          <w:rFonts w:hint="eastAsia" w:ascii="仿宋_GB2312" w:eastAsia="仿宋_GB2312"/>
          <w:sz w:val="32"/>
          <w:szCs w:val="32"/>
        </w:rPr>
        <w:t>我市机关事业单位养老保险制度改革中存在的矛盾和问题，</w:t>
      </w:r>
      <w:r>
        <w:rPr>
          <w:rFonts w:hint="eastAsia" w:ascii="仿宋_GB2312" w:hAnsi="仿宋_GB2312" w:eastAsia="仿宋_GB2312" w:cs="仿宋_GB2312"/>
          <w:sz w:val="32"/>
          <w:szCs w:val="32"/>
        </w:rPr>
        <w:t>向上汇报并提出相关工作建议，</w:t>
      </w:r>
      <w:r>
        <w:rPr>
          <w:rFonts w:hint="eastAsia" w:ascii="仿宋_GB2312" w:eastAsia="仿宋_GB2312"/>
          <w:sz w:val="32"/>
          <w:szCs w:val="32"/>
        </w:rPr>
        <w:t>确保机关事业单位养老保险制度改革的顺得推进。</w:t>
      </w:r>
      <w:r>
        <w:rPr>
          <w:rFonts w:hint="eastAsia" w:ascii="仿宋_GB2312" w:hAnsi="仿宋_GB2312" w:eastAsia="仿宋_GB2312" w:cs="仿宋_GB2312"/>
          <w:sz w:val="32"/>
          <w:szCs w:val="32"/>
        </w:rPr>
        <w:t>三是做好降低费率调整工作。</w:t>
      </w:r>
      <w:r>
        <w:rPr>
          <w:rFonts w:hint="eastAsia" w:ascii="仿宋_GB2312" w:hAnsi="仿宋" w:eastAsia="仿宋_GB2312" w:cs="仿宋"/>
          <w:sz w:val="32"/>
          <w:szCs w:val="32"/>
        </w:rPr>
        <w:t>积极与税务机关就政策调整、缴费费率、系统操作等方面进行了衔接，确保了从5月份开始，参保单位在按照16%的单位缴费费率进行缴费。</w:t>
      </w:r>
    </w:p>
    <w:p>
      <w:pPr>
        <w:pStyle w:val="4"/>
        <w:adjustRightInd w:val="0"/>
        <w:snapToGrid w:val="0"/>
        <w:spacing w:before="93" w:line="600" w:lineRule="exact"/>
        <w:ind w:firstLine="672" w:firstLineChars="210"/>
        <w:outlineLvl w:val="2"/>
        <w:rPr>
          <w:rFonts w:ascii="Times New Roman" w:eastAsia="仿宋"/>
          <w:bCs/>
          <w:color w:val="000000"/>
          <w:sz w:val="32"/>
          <w:szCs w:val="32"/>
        </w:rPr>
      </w:pPr>
      <w:r>
        <w:rPr>
          <w:rFonts w:hint="eastAsia" w:hAnsi="仿宋_GB2312" w:cs="仿宋_GB2312"/>
          <w:sz w:val="32"/>
          <w:szCs w:val="32"/>
        </w:rPr>
        <w:t>（6）认真组织开展社会保险经办内控及</w:t>
      </w:r>
      <w:r>
        <w:rPr>
          <w:rFonts w:hint="eastAsia" w:hAnsi="仿宋"/>
          <w:sz w:val="32"/>
          <w:szCs w:val="32"/>
        </w:rPr>
        <w:t>风险防范、</w:t>
      </w:r>
      <w:r>
        <w:rPr>
          <w:rFonts w:hint="eastAsia" w:hAnsi="仿宋_GB2312" w:cs="仿宋_GB2312"/>
          <w:sz w:val="32"/>
          <w:szCs w:val="32"/>
        </w:rPr>
        <w:t>专项整治工作。一是</w:t>
      </w:r>
      <w:r>
        <w:rPr>
          <w:rFonts w:hint="eastAsia" w:hAnsi="仿宋" w:cs="宋体"/>
          <w:sz w:val="32"/>
          <w:szCs w:val="32"/>
        </w:rPr>
        <w:t>在全市社保经办机构内开展了取消现金业务、手工办理、社银人工报盘的全面清理核查工作。二是</w:t>
      </w:r>
      <w:r>
        <w:rPr>
          <w:rFonts w:hint="eastAsia" w:hAnsi="宋体" w:cs="宋体"/>
          <w:sz w:val="32"/>
          <w:szCs w:val="32"/>
        </w:rPr>
        <w:t>织开展社会保险基金管理风险警示教育活动。组织干部职工开展学习，召开社保经办工作会，强化干部职工规矩意识、底线意识，严守纪律红线，提升社保基金管理风险防控水平。三是开展</w:t>
      </w:r>
      <w:r>
        <w:rPr>
          <w:rFonts w:hint="eastAsia" w:hAnsi="仿宋"/>
          <w:sz w:val="32"/>
          <w:szCs w:val="32"/>
        </w:rPr>
        <w:t>信息系统权限清理。</w:t>
      </w:r>
      <w:r>
        <w:rPr>
          <w:rFonts w:hint="eastAsia" w:hAnsi="宋体"/>
          <w:sz w:val="32"/>
          <w:szCs w:val="32"/>
        </w:rPr>
        <w:t>确保</w:t>
      </w:r>
      <w:r>
        <w:rPr>
          <w:rFonts w:hint="eastAsia"/>
          <w:sz w:val="32"/>
          <w:szCs w:val="32"/>
        </w:rPr>
        <w:t>各岗位间权限相互独立、相互制约、相互监督，</w:t>
      </w:r>
      <w:r>
        <w:rPr>
          <w:rFonts w:hint="eastAsia" w:cs="仿宋_GB2312"/>
          <w:sz w:val="32"/>
          <w:szCs w:val="32"/>
        </w:rPr>
        <w:t>严格实行授权管理，杜绝出现“经办、复核权限在一人”、“不在其位亦可谋其政”的风险。四是</w:t>
      </w:r>
      <w:r>
        <w:rPr>
          <w:rFonts w:hint="eastAsia" w:hAnsi="仿宋"/>
          <w:sz w:val="32"/>
          <w:szCs w:val="32"/>
        </w:rPr>
        <w:t>建立经办要情报告制度。</w:t>
      </w:r>
      <w:r>
        <w:rPr>
          <w:rFonts w:hint="eastAsia" w:hAnsi="仿宋" w:cs="仿宋_GB2312"/>
          <w:sz w:val="32"/>
          <w:szCs w:val="32"/>
        </w:rPr>
        <w:t>及时收集整理市、县经办中的要情，认真核查后按时上报。五是开展</w:t>
      </w:r>
      <w:r>
        <w:rPr>
          <w:rFonts w:hint="eastAsia" w:hAnsi="仿宋"/>
          <w:sz w:val="32"/>
          <w:szCs w:val="32"/>
        </w:rPr>
        <w:t>社会保险经办风险防控专项整治工作。4月前完成问题自查，并形成问题台账，5月完成问题整改并及时整理上报。六是开展社会保险基金管理风险防控专项检查工作。</w:t>
      </w:r>
      <w:r>
        <w:rPr>
          <w:rFonts w:hint="eastAsia" w:hAnsi="华文仿宋" w:cs="宋体"/>
          <w:sz w:val="32"/>
          <w:szCs w:val="32"/>
        </w:rPr>
        <w:t>对我中心内部控制、业务经办、基金财务管理、信息系统管理的27项指标进行了逐项检查，已落实完成22项。七是</w:t>
      </w:r>
      <w:r>
        <w:rPr>
          <w:rFonts w:hint="eastAsia" w:hAnsi="仿宋"/>
          <w:sz w:val="32"/>
          <w:szCs w:val="32"/>
        </w:rPr>
        <w:t>开展养老保险审计和2018年工伤保险基金专项审计发现问题整改以及养老保险一次性补费并转移社会保险关系专项整治工作。针对对发现的问题，落实责任，制定整改措施，确保整改到位。</w:t>
      </w:r>
      <w:r>
        <w:rPr>
          <w:rFonts w:hint="eastAsia" w:hAnsi="仿宋" w:cs="仿宋_GB2312"/>
          <w:sz w:val="32"/>
          <w:szCs w:val="32"/>
        </w:rPr>
        <w:t>我市未发现有违规办理养老保险费补缴并转移社会保险关系的情况。</w:t>
      </w:r>
    </w:p>
    <w:p>
      <w:pPr>
        <w:pStyle w:val="3"/>
        <w:rPr>
          <w:rStyle w:val="15"/>
          <w:rFonts w:ascii="Times New Roman" w:hAnsi="Times New Roman" w:cs="Times New Roman"/>
          <w:b w:val="0"/>
          <w:bCs w:val="0"/>
        </w:rPr>
      </w:pPr>
      <w:bookmarkStart w:id="20" w:name="_Toc15396601"/>
      <w:bookmarkStart w:id="21" w:name="_Toc15377200"/>
      <w:r>
        <w:rPr>
          <w:rFonts w:hint="eastAsia" w:ascii="Times New Roman" w:hAnsi="Times New Roman" w:eastAsia="黑体" w:cs="Times New Roman"/>
          <w:b w:val="0"/>
          <w:color w:val="000000"/>
        </w:rPr>
        <w:t>二、机</w:t>
      </w:r>
      <w:r>
        <w:rPr>
          <w:rStyle w:val="15"/>
          <w:rFonts w:hint="eastAsia" w:ascii="Times New Roman" w:hAnsi="Times New Roman" w:eastAsia="黑体" w:cs="Times New Roman"/>
          <w:b w:val="0"/>
          <w:bCs w:val="0"/>
        </w:rPr>
        <w:t>构设置</w:t>
      </w:r>
      <w:bookmarkEnd w:id="20"/>
      <w:bookmarkEnd w:id="21"/>
    </w:p>
    <w:p>
      <w:pPr>
        <w:ind w:firstLine="800" w:firstLineChars="250"/>
        <w:rPr>
          <w:rFonts w:eastAsia="仿宋"/>
          <w:sz w:val="32"/>
          <w:szCs w:val="32"/>
        </w:rPr>
      </w:pPr>
      <w:r>
        <w:rPr>
          <w:rFonts w:hint="eastAsia" w:ascii="仿宋" w:hAnsi="仿宋" w:eastAsia="仿宋"/>
          <w:sz w:val="32"/>
          <w:szCs w:val="32"/>
        </w:rPr>
        <w:t>攀枝花市社会保险事务中心</w:t>
      </w:r>
      <w:r>
        <w:rPr>
          <w:rFonts w:hint="eastAsia" w:eastAsia="仿宋"/>
          <w:sz w:val="32"/>
          <w:szCs w:val="32"/>
        </w:rPr>
        <w:t>下属二级单位0个，其中行政单位0个，参照公务员法管理的事业单位</w:t>
      </w:r>
      <w:r>
        <w:rPr>
          <w:rFonts w:hint="eastAsia" w:eastAsia="仿宋"/>
          <w:bCs/>
          <w:sz w:val="32"/>
          <w:szCs w:val="32"/>
        </w:rPr>
        <w:t>0</w:t>
      </w:r>
      <w:r>
        <w:rPr>
          <w:rFonts w:hint="eastAsia" w:eastAsia="仿宋"/>
          <w:sz w:val="32"/>
          <w:szCs w:val="32"/>
        </w:rPr>
        <w:t>个，其他事业单位0个。</w:t>
      </w:r>
    </w:p>
    <w:p>
      <w:pPr>
        <w:pStyle w:val="4"/>
        <w:adjustRightInd w:val="0"/>
        <w:snapToGrid w:val="0"/>
        <w:spacing w:before="93" w:line="600" w:lineRule="exact"/>
        <w:ind w:firstLine="672" w:firstLineChars="210"/>
        <w:rPr>
          <w:rFonts w:ascii="Times New Roman" w:eastAsia="仿宋"/>
          <w:color w:val="000000"/>
          <w:sz w:val="32"/>
          <w:szCs w:val="32"/>
        </w:rPr>
      </w:pPr>
      <w:r>
        <w:rPr>
          <w:rFonts w:hint="eastAsia" w:ascii="Times New Roman" w:eastAsia="仿宋"/>
          <w:color w:val="000000"/>
          <w:sz w:val="32"/>
          <w:szCs w:val="32"/>
        </w:rPr>
        <w:t>纳入</w:t>
      </w:r>
      <w:r>
        <w:rPr>
          <w:rFonts w:hint="eastAsia" w:ascii="仿宋" w:hAnsi="仿宋" w:eastAsia="仿宋"/>
          <w:sz w:val="32"/>
          <w:szCs w:val="32"/>
        </w:rPr>
        <w:t>攀枝花市社会保险事务中心</w:t>
      </w:r>
      <w:r>
        <w:rPr>
          <w:rFonts w:ascii="Times New Roman" w:eastAsia="仿宋"/>
          <w:color w:val="000000"/>
          <w:sz w:val="32"/>
          <w:szCs w:val="32"/>
        </w:rPr>
        <w:t>2019</w:t>
      </w:r>
      <w:r>
        <w:rPr>
          <w:rFonts w:hint="eastAsia" w:ascii="Times New Roman" w:eastAsia="仿宋"/>
          <w:color w:val="000000"/>
          <w:sz w:val="32"/>
          <w:szCs w:val="32"/>
        </w:rPr>
        <w:t>年度部门决算编制范围的二级预算单位包括：……</w:t>
      </w:r>
    </w:p>
    <w:p>
      <w:pPr>
        <w:widowControl/>
        <w:jc w:val="left"/>
        <w:rPr>
          <w:rFonts w:eastAsia="仿宋"/>
          <w:color w:val="000000"/>
          <w:kern w:val="0"/>
          <w:sz w:val="32"/>
          <w:szCs w:val="32"/>
        </w:rPr>
      </w:pPr>
      <w:r>
        <w:rPr>
          <w:rFonts w:eastAsia="仿宋"/>
          <w:color w:val="000000"/>
          <w:sz w:val="32"/>
          <w:szCs w:val="32"/>
        </w:rPr>
        <w:br w:type="page"/>
      </w:r>
    </w:p>
    <w:p>
      <w:pPr>
        <w:pStyle w:val="2"/>
        <w:ind w:right="440"/>
        <w:jc w:val="right"/>
        <w:rPr>
          <w:rStyle w:val="14"/>
          <w:rFonts w:eastAsia="黑体"/>
          <w:b w:val="0"/>
          <w:bCs w:val="0"/>
        </w:rPr>
      </w:pPr>
      <w:bookmarkStart w:id="22" w:name="_Toc15396602"/>
      <w:bookmarkStart w:id="23" w:name="_Toc15377204"/>
      <w:r>
        <w:rPr>
          <w:rFonts w:hint="eastAsia" w:eastAsia="黑体"/>
          <w:b w:val="0"/>
          <w:color w:val="000000"/>
        </w:rPr>
        <w:t>第二部分</w:t>
      </w:r>
      <w:r>
        <w:rPr>
          <w:rStyle w:val="14"/>
          <w:rFonts w:eastAsia="黑体"/>
          <w:b w:val="0"/>
          <w:bCs w:val="0"/>
        </w:rPr>
        <w:t>2019</w:t>
      </w:r>
      <w:r>
        <w:rPr>
          <w:rStyle w:val="14"/>
          <w:rFonts w:hint="eastAsia" w:eastAsia="黑体"/>
          <w:b w:val="0"/>
          <w:bCs w:val="0"/>
        </w:rPr>
        <w:t>年度部门决算情况说明</w:t>
      </w:r>
      <w:bookmarkEnd w:id="22"/>
      <w:bookmarkEnd w:id="23"/>
    </w:p>
    <w:p/>
    <w:p>
      <w:pPr>
        <w:pStyle w:val="16"/>
        <w:numPr>
          <w:ilvl w:val="0"/>
          <w:numId w:val="2"/>
        </w:numPr>
        <w:spacing w:line="600" w:lineRule="exact"/>
        <w:ind w:firstLineChars="0"/>
        <w:outlineLvl w:val="1"/>
        <w:rPr>
          <w:rStyle w:val="15"/>
          <w:rFonts w:ascii="Times New Roman" w:hAnsi="Times New Roman" w:eastAsia="黑体" w:cs="Times New Roman"/>
          <w:b w:val="0"/>
        </w:rPr>
      </w:pPr>
      <w:bookmarkStart w:id="24" w:name="_Toc15377205"/>
      <w:bookmarkStart w:id="25" w:name="_Toc15396603"/>
      <w:r>
        <w:rPr>
          <w:rFonts w:hint="eastAsia" w:eastAsia="黑体"/>
          <w:color w:val="000000"/>
          <w:sz w:val="32"/>
          <w:szCs w:val="32"/>
        </w:rPr>
        <w:t>收</w:t>
      </w:r>
      <w:r>
        <w:rPr>
          <w:rStyle w:val="15"/>
          <w:rFonts w:hint="eastAsia" w:ascii="Times New Roman" w:hAnsi="Times New Roman" w:eastAsia="黑体" w:cs="Times New Roman"/>
          <w:b w:val="0"/>
        </w:rPr>
        <w:t>入支出决算总体情况说明</w:t>
      </w:r>
      <w:bookmarkEnd w:id="24"/>
      <w:bookmarkEnd w:id="25"/>
    </w:p>
    <w:p>
      <w:pPr>
        <w:spacing w:line="360" w:lineRule="auto"/>
        <w:ind w:firstLine="640" w:firstLineChars="200"/>
        <w:rPr>
          <w:rFonts w:eastAsia="仿宋"/>
          <w:color w:val="000000"/>
          <w:sz w:val="32"/>
          <w:szCs w:val="32"/>
        </w:rPr>
      </w:pPr>
      <w:r>
        <w:rPr>
          <w:rFonts w:eastAsia="仿宋"/>
          <w:color w:val="000000"/>
          <w:sz w:val="32"/>
          <w:szCs w:val="32"/>
        </w:rPr>
        <w:t>2019</w:t>
      </w:r>
      <w:r>
        <w:rPr>
          <w:rFonts w:hint="eastAsia" w:eastAsia="仿宋"/>
          <w:color w:val="000000"/>
          <w:sz w:val="32"/>
          <w:szCs w:val="32"/>
        </w:rPr>
        <w:t>年度收、支总计1265.78万元。与</w:t>
      </w:r>
      <w:r>
        <w:rPr>
          <w:rFonts w:eastAsia="仿宋"/>
          <w:color w:val="000000"/>
          <w:sz w:val="32"/>
          <w:szCs w:val="32"/>
        </w:rPr>
        <w:t>2018</w:t>
      </w:r>
      <w:r>
        <w:rPr>
          <w:rFonts w:hint="eastAsia" w:eastAsia="仿宋"/>
          <w:color w:val="000000"/>
          <w:sz w:val="32"/>
          <w:szCs w:val="32"/>
        </w:rPr>
        <w:t>年相比，收、支总计各增加0.75万元，增长0.06</w:t>
      </w:r>
      <w:r>
        <w:rPr>
          <w:rFonts w:eastAsia="仿宋"/>
          <w:color w:val="000000"/>
          <w:sz w:val="32"/>
          <w:szCs w:val="32"/>
        </w:rPr>
        <w:t>%</w:t>
      </w:r>
      <w:r>
        <w:rPr>
          <w:rFonts w:hint="eastAsia" w:eastAsia="仿宋"/>
          <w:color w:val="000000"/>
          <w:sz w:val="32"/>
          <w:szCs w:val="32"/>
        </w:rPr>
        <w:t>。主要变动原因是</w:t>
      </w:r>
      <w:r>
        <w:rPr>
          <w:rFonts w:hint="eastAsia" w:ascii="仿宋" w:hAnsi="仿宋" w:eastAsia="仿宋"/>
          <w:color w:val="000000"/>
          <w:sz w:val="32"/>
          <w:szCs w:val="32"/>
        </w:rPr>
        <w:t>人员经费中工资福利支出增加</w:t>
      </w:r>
      <w:r>
        <w:rPr>
          <w:rFonts w:hint="eastAsia" w:eastAsia="仿宋"/>
          <w:color w:val="000000"/>
          <w:sz w:val="32"/>
          <w:szCs w:val="32"/>
        </w:rPr>
        <w:t>。</w:t>
      </w:r>
    </w:p>
    <w:p>
      <w:pPr>
        <w:spacing w:line="360" w:lineRule="auto"/>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360" w:lineRule="auto"/>
        <w:ind w:firstLine="640" w:firstLineChars="200"/>
        <w:rPr>
          <w:rFonts w:ascii="仿宋" w:hAnsi="仿宋" w:eastAsia="仿宋"/>
          <w:color w:val="000000" w:themeColor="text1"/>
          <w:sz w:val="32"/>
          <w:szCs w:val="32"/>
        </w:rPr>
      </w:pPr>
    </w:p>
    <w:p>
      <w:pPr>
        <w:spacing w:line="360" w:lineRule="auto"/>
        <w:ind w:firstLine="420" w:firstLineChars="200"/>
        <w:jc w:val="cente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jc w:val="center"/>
      </w:pPr>
    </w:p>
    <w:p>
      <w:pPr>
        <w:pStyle w:val="16"/>
        <w:numPr>
          <w:ilvl w:val="0"/>
          <w:numId w:val="2"/>
        </w:numPr>
        <w:spacing w:line="600" w:lineRule="exact"/>
        <w:ind w:firstLineChars="0"/>
        <w:outlineLvl w:val="1"/>
        <w:rPr>
          <w:rStyle w:val="15"/>
          <w:rFonts w:ascii="Times New Roman" w:hAnsi="Times New Roman" w:eastAsia="黑体" w:cs="Times New Roman"/>
          <w:b w:val="0"/>
        </w:rPr>
      </w:pPr>
      <w:bookmarkStart w:id="26" w:name="_Toc15396604"/>
      <w:bookmarkStart w:id="27" w:name="_Toc15377206"/>
      <w:r>
        <w:rPr>
          <w:rFonts w:hint="eastAsia" w:eastAsia="黑体"/>
          <w:color w:val="000000"/>
          <w:sz w:val="32"/>
          <w:szCs w:val="32"/>
        </w:rPr>
        <w:t>收</w:t>
      </w:r>
      <w:r>
        <w:rPr>
          <w:rStyle w:val="15"/>
          <w:rFonts w:hint="eastAsia" w:ascii="Times New Roman" w:hAnsi="Times New Roman" w:eastAsia="黑体" w:cs="Times New Roman"/>
          <w:b w:val="0"/>
        </w:rPr>
        <w:t>入决算情况说明</w:t>
      </w:r>
      <w:bookmarkEnd w:id="26"/>
      <w:bookmarkEnd w:id="27"/>
    </w:p>
    <w:p>
      <w:pPr>
        <w:spacing w:line="360" w:lineRule="auto"/>
        <w:ind w:firstLine="640" w:firstLineChars="200"/>
        <w:outlineLvl w:val="1"/>
        <w:rPr>
          <w:rFonts w:eastAsia="仿宋"/>
          <w:color w:val="000000"/>
          <w:sz w:val="32"/>
          <w:szCs w:val="32"/>
        </w:rPr>
      </w:pPr>
      <w:r>
        <w:rPr>
          <w:rFonts w:eastAsia="仿宋"/>
          <w:color w:val="000000"/>
          <w:sz w:val="32"/>
          <w:szCs w:val="32"/>
        </w:rPr>
        <w:t>2019</w:t>
      </w:r>
      <w:r>
        <w:rPr>
          <w:rFonts w:hint="eastAsia" w:eastAsia="仿宋"/>
          <w:color w:val="000000"/>
          <w:sz w:val="32"/>
          <w:szCs w:val="32"/>
        </w:rPr>
        <w:t>年本年收入合计1259.18万元，其中：一般公共预算财政拨款收入1259.02万元，占</w:t>
      </w:r>
      <w:r>
        <w:rPr>
          <w:rFonts w:eastAsia="仿宋"/>
          <w:color w:val="000000"/>
          <w:sz w:val="32"/>
          <w:szCs w:val="32"/>
        </w:rPr>
        <w:t>**%</w:t>
      </w:r>
      <w:r>
        <w:rPr>
          <w:rFonts w:hint="eastAsia" w:eastAsia="仿宋"/>
          <w:color w:val="000000"/>
          <w:sz w:val="32"/>
          <w:szCs w:val="32"/>
        </w:rPr>
        <w:t>；政府性基金预算财政拨款收入0万元，占0</w:t>
      </w:r>
      <w:r>
        <w:rPr>
          <w:rFonts w:eastAsia="仿宋"/>
          <w:color w:val="000000"/>
          <w:sz w:val="32"/>
          <w:szCs w:val="32"/>
        </w:rPr>
        <w:t>%</w:t>
      </w:r>
      <w:r>
        <w:rPr>
          <w:rFonts w:hint="eastAsia" w:eastAsia="仿宋"/>
          <w:color w:val="000000"/>
          <w:sz w:val="32"/>
          <w:szCs w:val="32"/>
        </w:rPr>
        <w:t>；</w:t>
      </w:r>
      <w:r>
        <w:rPr>
          <w:rFonts w:hint="eastAsia" w:eastAsia="仿宋"/>
          <w:color w:val="000000" w:themeColor="text1"/>
          <w:sz w:val="32"/>
          <w:szCs w:val="32"/>
        </w:rPr>
        <w:t>上级补助收入0</w:t>
      </w:r>
      <w:r>
        <w:rPr>
          <w:rFonts w:hint="eastAsia" w:eastAsia="仿宋"/>
          <w:color w:val="000000"/>
          <w:sz w:val="32"/>
          <w:szCs w:val="32"/>
        </w:rPr>
        <w:t>万元，占0</w:t>
      </w:r>
      <w:r>
        <w:rPr>
          <w:rFonts w:eastAsia="仿宋"/>
          <w:color w:val="000000"/>
          <w:sz w:val="32"/>
          <w:szCs w:val="32"/>
        </w:rPr>
        <w:t>%</w:t>
      </w:r>
      <w:r>
        <w:rPr>
          <w:rFonts w:hint="eastAsia" w:eastAsia="仿宋"/>
          <w:color w:val="000000"/>
          <w:sz w:val="32"/>
          <w:szCs w:val="32"/>
        </w:rPr>
        <w:t>；事业收入0万元，占0</w:t>
      </w:r>
      <w:r>
        <w:rPr>
          <w:rFonts w:eastAsia="仿宋"/>
          <w:color w:val="000000"/>
          <w:sz w:val="32"/>
          <w:szCs w:val="32"/>
        </w:rPr>
        <w:t>%</w:t>
      </w:r>
      <w:r>
        <w:rPr>
          <w:rFonts w:hint="eastAsia" w:eastAsia="仿宋"/>
          <w:color w:val="000000"/>
          <w:sz w:val="32"/>
          <w:szCs w:val="32"/>
        </w:rPr>
        <w:t>；经营收入0万元，占0</w:t>
      </w:r>
      <w:r>
        <w:rPr>
          <w:rFonts w:eastAsia="仿宋"/>
          <w:color w:val="000000"/>
          <w:sz w:val="32"/>
          <w:szCs w:val="32"/>
        </w:rPr>
        <w:t>%</w:t>
      </w:r>
      <w:r>
        <w:rPr>
          <w:rFonts w:hint="eastAsia" w:eastAsia="仿宋"/>
          <w:color w:val="000000"/>
          <w:sz w:val="32"/>
          <w:szCs w:val="32"/>
        </w:rPr>
        <w:t>；附属单位上缴收入0万元，占0</w:t>
      </w:r>
      <w:r>
        <w:rPr>
          <w:rFonts w:eastAsia="仿宋"/>
          <w:color w:val="000000"/>
          <w:sz w:val="32"/>
          <w:szCs w:val="32"/>
        </w:rPr>
        <w:t>%</w:t>
      </w:r>
      <w:r>
        <w:rPr>
          <w:rFonts w:hint="eastAsia" w:eastAsia="仿宋"/>
          <w:color w:val="000000"/>
          <w:sz w:val="32"/>
          <w:szCs w:val="32"/>
        </w:rPr>
        <w:t>；其他收入0.16万元，占</w:t>
      </w:r>
      <w:r>
        <w:rPr>
          <w:rFonts w:eastAsia="仿宋"/>
          <w:color w:val="000000"/>
          <w:sz w:val="32"/>
          <w:szCs w:val="32"/>
        </w:rPr>
        <w:t>**%</w:t>
      </w:r>
      <w:r>
        <w:rPr>
          <w:rFonts w:hint="eastAsia" w:eastAsia="仿宋"/>
          <w:color w:val="000000"/>
          <w:sz w:val="32"/>
          <w:szCs w:val="32"/>
        </w:rPr>
        <w:t>。</w:t>
      </w:r>
    </w:p>
    <w:p>
      <w:pPr>
        <w:spacing w:line="360" w:lineRule="auto"/>
        <w:ind w:firstLine="640" w:firstLineChars="200"/>
        <w:rPr>
          <w:rFonts w:eastAsia="仿宋"/>
          <w:color w:val="000000" w:themeColor="text1"/>
          <w:sz w:val="32"/>
          <w:szCs w:val="32"/>
        </w:rPr>
      </w:pPr>
      <w:r>
        <w:rPr>
          <w:rFonts w:hint="eastAsia" w:eastAsia="仿宋"/>
          <w:color w:val="000000" w:themeColor="text1"/>
          <w:sz w:val="32"/>
          <w:szCs w:val="32"/>
        </w:rPr>
        <w:t>（图</w:t>
      </w:r>
      <w:r>
        <w:rPr>
          <w:rFonts w:eastAsia="仿宋"/>
          <w:color w:val="000000" w:themeColor="text1"/>
          <w:sz w:val="32"/>
          <w:szCs w:val="32"/>
        </w:rPr>
        <w:t>2</w:t>
      </w:r>
      <w:r>
        <w:rPr>
          <w:rFonts w:hint="eastAsia" w:eastAsia="仿宋"/>
          <w:color w:val="000000" w:themeColor="text1"/>
          <w:sz w:val="32"/>
          <w:szCs w:val="32"/>
        </w:rPr>
        <w:t>：收入决算结构图）（饼状图）</w:t>
      </w:r>
    </w:p>
    <w:p>
      <w:pPr>
        <w:spacing w:line="360" w:lineRule="auto"/>
        <w:ind w:firstLine="420" w:firstLineChars="200"/>
        <w:jc w:val="center"/>
        <w:outlineLvl w:val="1"/>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420" w:firstLineChars="200"/>
        <w:jc w:val="center"/>
        <w:outlineLvl w:val="1"/>
      </w:pPr>
    </w:p>
    <w:p>
      <w:pPr>
        <w:pStyle w:val="16"/>
        <w:numPr>
          <w:ilvl w:val="0"/>
          <w:numId w:val="2"/>
        </w:numPr>
        <w:spacing w:line="360" w:lineRule="auto"/>
        <w:ind w:firstLineChars="0"/>
        <w:outlineLvl w:val="1"/>
        <w:rPr>
          <w:rStyle w:val="15"/>
          <w:rFonts w:ascii="Times New Roman" w:hAnsi="Times New Roman" w:eastAsia="黑体" w:cs="Times New Roman"/>
          <w:b w:val="0"/>
        </w:rPr>
      </w:pPr>
      <w:bookmarkStart w:id="28" w:name="_Toc15377207"/>
      <w:bookmarkStart w:id="29" w:name="_Toc15396605"/>
      <w:r>
        <w:rPr>
          <w:rFonts w:hint="eastAsia" w:eastAsia="黑体"/>
          <w:color w:val="000000"/>
          <w:sz w:val="32"/>
          <w:szCs w:val="32"/>
        </w:rPr>
        <w:t>支</w:t>
      </w:r>
      <w:r>
        <w:rPr>
          <w:rStyle w:val="15"/>
          <w:rFonts w:hint="eastAsia" w:ascii="Times New Roman" w:hAnsi="Times New Roman" w:eastAsia="黑体" w:cs="Times New Roman"/>
          <w:b w:val="0"/>
        </w:rPr>
        <w:t>出决算情况说明</w:t>
      </w:r>
      <w:bookmarkEnd w:id="28"/>
      <w:bookmarkEnd w:id="29"/>
    </w:p>
    <w:p>
      <w:pPr>
        <w:spacing w:line="360" w:lineRule="auto"/>
        <w:ind w:firstLine="640" w:firstLineChars="200"/>
        <w:outlineLvl w:val="1"/>
        <w:rPr>
          <w:rFonts w:eastAsia="仿宋"/>
          <w:color w:val="000000"/>
          <w:sz w:val="32"/>
          <w:szCs w:val="32"/>
        </w:rPr>
      </w:pPr>
      <w:r>
        <w:rPr>
          <w:rFonts w:eastAsia="仿宋"/>
          <w:color w:val="000000"/>
          <w:sz w:val="32"/>
          <w:szCs w:val="32"/>
        </w:rPr>
        <w:t>2019</w:t>
      </w:r>
      <w:r>
        <w:rPr>
          <w:rFonts w:hint="eastAsia" w:eastAsia="仿宋"/>
          <w:color w:val="000000"/>
          <w:sz w:val="32"/>
          <w:szCs w:val="32"/>
        </w:rPr>
        <w:t>年本年支出合计1265.62万元，其中：基本支出1168.92万元，占</w:t>
      </w:r>
      <w:r>
        <w:rPr>
          <w:rFonts w:eastAsia="仿宋"/>
          <w:color w:val="000000"/>
          <w:sz w:val="32"/>
          <w:szCs w:val="32"/>
        </w:rPr>
        <w:t>**%</w:t>
      </w:r>
      <w:r>
        <w:rPr>
          <w:rFonts w:hint="eastAsia" w:eastAsia="仿宋"/>
          <w:color w:val="000000"/>
          <w:sz w:val="32"/>
          <w:szCs w:val="32"/>
        </w:rPr>
        <w:t>；项目支出96.70万元，占</w:t>
      </w:r>
      <w:r>
        <w:rPr>
          <w:rFonts w:eastAsia="仿宋"/>
          <w:color w:val="000000"/>
          <w:sz w:val="32"/>
          <w:szCs w:val="32"/>
        </w:rPr>
        <w:t>**%</w:t>
      </w:r>
      <w:r>
        <w:rPr>
          <w:rFonts w:hint="eastAsia" w:eastAsia="仿宋"/>
          <w:color w:val="000000"/>
          <w:sz w:val="32"/>
          <w:szCs w:val="32"/>
        </w:rPr>
        <w:t>；上缴上级支出0万元，占0</w:t>
      </w:r>
      <w:r>
        <w:rPr>
          <w:rFonts w:eastAsia="仿宋"/>
          <w:color w:val="000000"/>
          <w:sz w:val="32"/>
          <w:szCs w:val="32"/>
        </w:rPr>
        <w:t>%</w:t>
      </w:r>
      <w:r>
        <w:rPr>
          <w:rFonts w:hint="eastAsia" w:eastAsia="仿宋"/>
          <w:color w:val="000000"/>
          <w:sz w:val="32"/>
          <w:szCs w:val="32"/>
        </w:rPr>
        <w:t>；经营支出0万元，占0</w:t>
      </w:r>
      <w:r>
        <w:rPr>
          <w:rFonts w:eastAsia="仿宋"/>
          <w:color w:val="000000"/>
          <w:sz w:val="32"/>
          <w:szCs w:val="32"/>
        </w:rPr>
        <w:t>%</w:t>
      </w:r>
      <w:r>
        <w:rPr>
          <w:rFonts w:hint="eastAsia" w:eastAsia="仿宋"/>
          <w:color w:val="000000"/>
          <w:sz w:val="32"/>
          <w:szCs w:val="32"/>
        </w:rPr>
        <w:t>；对附属单位补助支出0万元，占0</w:t>
      </w:r>
      <w:r>
        <w:rPr>
          <w:rFonts w:eastAsia="仿宋"/>
          <w:color w:val="000000"/>
          <w:sz w:val="32"/>
          <w:szCs w:val="32"/>
        </w:rPr>
        <w:t>%</w:t>
      </w:r>
      <w:r>
        <w:rPr>
          <w:rFonts w:hint="eastAsia" w:eastAsia="仿宋"/>
          <w:color w:val="000000"/>
          <w:sz w:val="32"/>
          <w:szCs w:val="32"/>
        </w:rPr>
        <w:t>。</w:t>
      </w:r>
    </w:p>
    <w:p>
      <w:pPr>
        <w:spacing w:line="360" w:lineRule="auto"/>
        <w:ind w:firstLine="640" w:firstLineChars="200"/>
        <w:rPr>
          <w:rFonts w:eastAsia="仿宋"/>
          <w:color w:val="000000" w:themeColor="text1"/>
          <w:sz w:val="32"/>
          <w:szCs w:val="32"/>
        </w:rPr>
      </w:pPr>
      <w:r>
        <w:rPr>
          <w:rFonts w:hint="eastAsia" w:eastAsia="仿宋"/>
          <w:color w:val="000000" w:themeColor="text1"/>
          <w:sz w:val="32"/>
          <w:szCs w:val="32"/>
        </w:rPr>
        <w:t>（图</w:t>
      </w:r>
      <w:r>
        <w:rPr>
          <w:rFonts w:eastAsia="仿宋"/>
          <w:color w:val="000000" w:themeColor="text1"/>
          <w:sz w:val="32"/>
          <w:szCs w:val="32"/>
        </w:rPr>
        <w:t>3</w:t>
      </w:r>
      <w:r>
        <w:rPr>
          <w:rFonts w:hint="eastAsia" w:eastAsia="仿宋"/>
          <w:color w:val="000000" w:themeColor="text1"/>
          <w:sz w:val="32"/>
          <w:szCs w:val="32"/>
        </w:rPr>
        <w:t>：支出决算结构图）（饼状图）</w:t>
      </w:r>
    </w:p>
    <w:p>
      <w:pPr>
        <w:spacing w:line="360" w:lineRule="auto"/>
        <w:ind w:firstLine="420" w:firstLineChars="200"/>
        <w:jc w:val="cente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640" w:firstLineChars="200"/>
        <w:outlineLvl w:val="1"/>
        <w:rPr>
          <w:rStyle w:val="15"/>
          <w:rFonts w:ascii="Times New Roman" w:hAnsi="Times New Roman" w:eastAsia="黑体" w:cs="Times New Roman"/>
          <w:b w:val="0"/>
        </w:rPr>
      </w:pPr>
      <w:bookmarkStart w:id="30" w:name="_Toc15377208"/>
      <w:bookmarkStart w:id="31" w:name="_Toc15396606"/>
      <w:r>
        <w:rPr>
          <w:rFonts w:hint="eastAsia" w:eastAsia="黑体"/>
          <w:color w:val="000000"/>
          <w:sz w:val="32"/>
          <w:szCs w:val="32"/>
        </w:rPr>
        <w:t>四、财</w:t>
      </w:r>
      <w:r>
        <w:rPr>
          <w:rStyle w:val="15"/>
          <w:rFonts w:hint="eastAsia" w:ascii="Times New Roman" w:hAnsi="Times New Roman" w:eastAsia="黑体" w:cs="Times New Roman"/>
          <w:b w:val="0"/>
        </w:rPr>
        <w:t>政拨款收入支出决算总体情况说明</w:t>
      </w:r>
      <w:bookmarkEnd w:id="30"/>
      <w:bookmarkEnd w:id="31"/>
    </w:p>
    <w:p>
      <w:pPr>
        <w:spacing w:line="360" w:lineRule="auto"/>
        <w:ind w:firstLine="640"/>
        <w:rPr>
          <w:rFonts w:eastAsia="仿宋"/>
          <w:color w:val="000000"/>
          <w:sz w:val="32"/>
          <w:szCs w:val="32"/>
        </w:rPr>
      </w:pPr>
      <w:r>
        <w:rPr>
          <w:rFonts w:eastAsia="仿宋"/>
          <w:color w:val="000000"/>
          <w:sz w:val="32"/>
          <w:szCs w:val="32"/>
        </w:rPr>
        <w:t>2019</w:t>
      </w:r>
      <w:r>
        <w:rPr>
          <w:rFonts w:hint="eastAsia" w:eastAsia="仿宋"/>
          <w:color w:val="000000"/>
          <w:sz w:val="32"/>
          <w:szCs w:val="32"/>
        </w:rPr>
        <w:t>年财政拨款收、支总计1265.53万元。与</w:t>
      </w:r>
      <w:r>
        <w:rPr>
          <w:rFonts w:eastAsia="仿宋"/>
          <w:color w:val="000000"/>
          <w:sz w:val="32"/>
          <w:szCs w:val="32"/>
        </w:rPr>
        <w:t>2018</w:t>
      </w:r>
      <w:r>
        <w:rPr>
          <w:rFonts w:hint="eastAsia" w:eastAsia="仿宋"/>
          <w:color w:val="000000"/>
          <w:sz w:val="32"/>
          <w:szCs w:val="32"/>
        </w:rPr>
        <w:t>年相比，财政拨款收、支总计各增加0.59万元，增长0.05</w:t>
      </w:r>
      <w:r>
        <w:rPr>
          <w:rFonts w:eastAsia="仿宋"/>
          <w:color w:val="000000"/>
          <w:sz w:val="32"/>
          <w:szCs w:val="32"/>
        </w:rPr>
        <w:t>%</w:t>
      </w:r>
      <w:r>
        <w:rPr>
          <w:rFonts w:hint="eastAsia" w:eastAsia="仿宋"/>
          <w:color w:val="000000"/>
          <w:sz w:val="32"/>
          <w:szCs w:val="32"/>
        </w:rPr>
        <w:t>。主要变动原因是</w:t>
      </w:r>
      <w:r>
        <w:rPr>
          <w:rFonts w:hint="eastAsia" w:ascii="仿宋" w:hAnsi="仿宋" w:eastAsia="仿宋"/>
          <w:color w:val="000000"/>
          <w:sz w:val="32"/>
          <w:szCs w:val="32"/>
        </w:rPr>
        <w:t>人员经费中工资福利支出增加。</w:t>
      </w:r>
    </w:p>
    <w:p>
      <w:pPr>
        <w:spacing w:line="360" w:lineRule="auto"/>
        <w:ind w:firstLine="640" w:firstLineChars="200"/>
        <w:rPr>
          <w:rFonts w:eastAsia="仿宋"/>
          <w:color w:val="000000" w:themeColor="text1"/>
          <w:sz w:val="32"/>
          <w:szCs w:val="32"/>
        </w:rPr>
      </w:pPr>
      <w:r>
        <w:rPr>
          <w:rFonts w:hint="eastAsia" w:eastAsia="仿宋"/>
          <w:color w:val="000000" w:themeColor="text1"/>
          <w:sz w:val="32"/>
          <w:szCs w:val="32"/>
        </w:rPr>
        <w:t>（图</w:t>
      </w:r>
      <w:r>
        <w:rPr>
          <w:rFonts w:eastAsia="仿宋"/>
          <w:color w:val="000000" w:themeColor="text1"/>
          <w:sz w:val="32"/>
          <w:szCs w:val="32"/>
        </w:rPr>
        <w:t>4</w:t>
      </w:r>
      <w:r>
        <w:rPr>
          <w:rFonts w:hint="eastAsia" w:eastAsia="仿宋"/>
          <w:color w:val="000000" w:themeColor="text1"/>
          <w:sz w:val="32"/>
          <w:szCs w:val="32"/>
        </w:rPr>
        <w:t>：财政拨款收、支决算总计变动情况）（柱状图）</w:t>
      </w:r>
    </w:p>
    <w:p>
      <w:pPr>
        <w:spacing w:line="360" w:lineRule="auto"/>
        <w:ind w:firstLine="640" w:firstLineChars="200"/>
        <w:rPr>
          <w:rFonts w:eastAsia="仿宋"/>
          <w:color w:val="000000" w:themeColor="text1"/>
          <w:sz w:val="32"/>
          <w:szCs w:val="32"/>
        </w:rPr>
      </w:pPr>
    </w:p>
    <w:p>
      <w:pPr>
        <w:spacing w:line="360" w:lineRule="auto"/>
        <w:ind w:firstLine="640"/>
        <w:jc w:val="cente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640"/>
        <w:jc w:val="center"/>
      </w:pPr>
    </w:p>
    <w:p>
      <w:pPr>
        <w:spacing w:line="360" w:lineRule="auto"/>
        <w:ind w:firstLine="640" w:firstLineChars="200"/>
        <w:outlineLvl w:val="1"/>
        <w:rPr>
          <w:rStyle w:val="15"/>
          <w:rFonts w:ascii="Times New Roman" w:hAnsi="Times New Roman" w:eastAsia="黑体" w:cs="Times New Roman"/>
          <w:b w:val="0"/>
        </w:rPr>
      </w:pPr>
      <w:bookmarkStart w:id="32" w:name="_Toc15396607"/>
      <w:bookmarkStart w:id="33" w:name="_Toc15377209"/>
      <w:r>
        <w:rPr>
          <w:rFonts w:hint="eastAsia" w:eastAsia="黑体"/>
          <w:color w:val="000000"/>
          <w:sz w:val="32"/>
          <w:szCs w:val="32"/>
        </w:rPr>
        <w:t>五、</w:t>
      </w:r>
      <w:r>
        <w:rPr>
          <w:rFonts w:hint="eastAsia" w:eastAsia="黑体"/>
          <w:b/>
          <w:color w:val="000000"/>
          <w:sz w:val="32"/>
          <w:szCs w:val="32"/>
        </w:rPr>
        <w:t>一</w:t>
      </w:r>
      <w:r>
        <w:rPr>
          <w:rStyle w:val="15"/>
          <w:rFonts w:hint="eastAsia" w:ascii="Times New Roman" w:hAnsi="Times New Roman" w:eastAsia="黑体" w:cs="Times New Roman"/>
          <w:b w:val="0"/>
        </w:rPr>
        <w:t>般公共预算财政拨款支出决算情况说明</w:t>
      </w:r>
      <w:bookmarkEnd w:id="32"/>
      <w:bookmarkEnd w:id="33"/>
    </w:p>
    <w:p>
      <w:pPr>
        <w:spacing w:line="360" w:lineRule="auto"/>
        <w:ind w:firstLine="643" w:firstLineChars="200"/>
        <w:outlineLvl w:val="2"/>
        <w:rPr>
          <w:rFonts w:eastAsia="仿宋"/>
          <w:b/>
          <w:color w:val="000000"/>
          <w:sz w:val="32"/>
          <w:szCs w:val="32"/>
        </w:rPr>
      </w:pPr>
      <w:bookmarkStart w:id="34" w:name="_Toc15377210"/>
      <w:r>
        <w:rPr>
          <w:rFonts w:hint="eastAsia" w:eastAsia="仿宋"/>
          <w:b/>
          <w:color w:val="000000"/>
          <w:sz w:val="32"/>
          <w:szCs w:val="32"/>
        </w:rPr>
        <w:t>（一）一般公共预算财政拨款支出决算总体情况</w:t>
      </w:r>
      <w:bookmarkEnd w:id="34"/>
    </w:p>
    <w:p>
      <w:pPr>
        <w:spacing w:line="360" w:lineRule="auto"/>
        <w:ind w:firstLine="640" w:firstLineChars="200"/>
        <w:rPr>
          <w:rFonts w:eastAsia="仿宋"/>
          <w:color w:val="000000"/>
          <w:sz w:val="32"/>
          <w:szCs w:val="32"/>
        </w:rPr>
      </w:pPr>
      <w:r>
        <w:rPr>
          <w:rFonts w:eastAsia="仿宋"/>
          <w:color w:val="000000"/>
          <w:sz w:val="32"/>
          <w:szCs w:val="32"/>
        </w:rPr>
        <w:t>2019</w:t>
      </w:r>
      <w:r>
        <w:rPr>
          <w:rFonts w:hint="eastAsia" w:eastAsia="仿宋"/>
          <w:color w:val="000000"/>
          <w:sz w:val="32"/>
          <w:szCs w:val="32"/>
        </w:rPr>
        <w:t>年一般公共预算财政拨款支出1265.53万元，占本年支出合计的100</w:t>
      </w:r>
      <w:r>
        <w:rPr>
          <w:rFonts w:eastAsia="仿宋"/>
          <w:color w:val="000000"/>
          <w:sz w:val="32"/>
          <w:szCs w:val="32"/>
        </w:rPr>
        <w:t>%</w:t>
      </w:r>
      <w:r>
        <w:rPr>
          <w:rFonts w:hint="eastAsia" w:eastAsia="仿宋"/>
          <w:color w:val="000000"/>
          <w:sz w:val="32"/>
          <w:szCs w:val="32"/>
        </w:rPr>
        <w:t>。与</w:t>
      </w:r>
      <w:r>
        <w:rPr>
          <w:rFonts w:eastAsia="仿宋"/>
          <w:color w:val="000000"/>
          <w:sz w:val="32"/>
          <w:szCs w:val="32"/>
        </w:rPr>
        <w:t>2018</w:t>
      </w:r>
      <w:r>
        <w:rPr>
          <w:rFonts w:hint="eastAsia" w:eastAsia="仿宋"/>
          <w:color w:val="000000"/>
          <w:sz w:val="32"/>
          <w:szCs w:val="32"/>
        </w:rPr>
        <w:t>年相比，一般公共预算财政拨款增加0.59万元，增长0.05</w:t>
      </w:r>
      <w:r>
        <w:rPr>
          <w:rFonts w:eastAsia="仿宋"/>
          <w:color w:val="000000"/>
          <w:sz w:val="32"/>
          <w:szCs w:val="32"/>
        </w:rPr>
        <w:t>%</w:t>
      </w:r>
      <w:r>
        <w:rPr>
          <w:rFonts w:hint="eastAsia" w:eastAsia="仿宋"/>
          <w:color w:val="000000"/>
          <w:sz w:val="32"/>
          <w:szCs w:val="32"/>
        </w:rPr>
        <w:t>。主要变动原因是</w:t>
      </w:r>
      <w:r>
        <w:rPr>
          <w:rFonts w:hint="eastAsia" w:ascii="仿宋" w:hAnsi="仿宋" w:eastAsia="仿宋"/>
          <w:color w:val="000000"/>
          <w:sz w:val="32"/>
          <w:szCs w:val="32"/>
        </w:rPr>
        <w:t>人员经费中工资福利支出增加。</w:t>
      </w:r>
    </w:p>
    <w:p>
      <w:pPr>
        <w:spacing w:line="360" w:lineRule="auto"/>
        <w:ind w:firstLine="640" w:firstLineChars="200"/>
        <w:rPr>
          <w:rFonts w:eastAsia="仿宋"/>
          <w:color w:val="000000" w:themeColor="text1"/>
          <w:sz w:val="32"/>
          <w:szCs w:val="32"/>
        </w:rPr>
      </w:pPr>
      <w:r>
        <w:rPr>
          <w:rFonts w:hint="eastAsia" w:eastAsia="仿宋"/>
          <w:color w:val="000000" w:themeColor="text1"/>
          <w:sz w:val="32"/>
          <w:szCs w:val="32"/>
        </w:rPr>
        <w:t>（图</w:t>
      </w:r>
      <w:r>
        <w:rPr>
          <w:rFonts w:eastAsia="仿宋"/>
          <w:color w:val="000000" w:themeColor="text1"/>
          <w:sz w:val="32"/>
          <w:szCs w:val="32"/>
        </w:rPr>
        <w:t>5</w:t>
      </w:r>
      <w:r>
        <w:rPr>
          <w:rFonts w:hint="eastAsia" w:eastAsia="仿宋"/>
          <w:color w:val="000000" w:themeColor="text1"/>
          <w:sz w:val="32"/>
          <w:szCs w:val="32"/>
        </w:rPr>
        <w:t>：一般公共预算财政拨款支出决算变动情况）（柱状图）</w:t>
      </w:r>
    </w:p>
    <w:p>
      <w:pPr>
        <w:spacing w:line="360" w:lineRule="auto"/>
        <w:ind w:firstLine="420" w:firstLineChars="200"/>
        <w:jc w:val="center"/>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420" w:firstLineChars="200"/>
        <w:jc w:val="center"/>
      </w:pPr>
    </w:p>
    <w:p>
      <w:pPr>
        <w:spacing w:line="360" w:lineRule="auto"/>
        <w:ind w:firstLine="643" w:firstLineChars="200"/>
        <w:outlineLvl w:val="2"/>
        <w:rPr>
          <w:rFonts w:eastAsia="仿宋"/>
          <w:b/>
          <w:color w:val="000000"/>
          <w:sz w:val="32"/>
          <w:szCs w:val="32"/>
        </w:rPr>
      </w:pPr>
      <w:bookmarkStart w:id="35" w:name="_Toc15377211"/>
      <w:r>
        <w:rPr>
          <w:rFonts w:hint="eastAsia" w:eastAsia="仿宋"/>
          <w:b/>
          <w:color w:val="000000"/>
          <w:sz w:val="32"/>
          <w:szCs w:val="32"/>
        </w:rPr>
        <w:t>（二）一般公共预算财政拨款支出决算结构情况</w:t>
      </w:r>
      <w:bookmarkEnd w:id="35"/>
    </w:p>
    <w:p>
      <w:pPr>
        <w:spacing w:line="360" w:lineRule="auto"/>
        <w:ind w:firstLine="640"/>
        <w:rPr>
          <w:rFonts w:eastAsia="仿宋"/>
          <w:b/>
          <w:color w:val="000000" w:themeColor="text1"/>
          <w:sz w:val="32"/>
          <w:szCs w:val="32"/>
        </w:rPr>
      </w:pPr>
      <w:r>
        <w:rPr>
          <w:rFonts w:eastAsia="仿宋"/>
          <w:color w:val="000000"/>
          <w:sz w:val="32"/>
          <w:szCs w:val="32"/>
        </w:rPr>
        <w:t>2019</w:t>
      </w:r>
      <w:r>
        <w:rPr>
          <w:rFonts w:hint="eastAsia" w:eastAsia="仿宋"/>
          <w:color w:val="000000"/>
          <w:sz w:val="32"/>
          <w:szCs w:val="32"/>
        </w:rPr>
        <w:t>年一般公共预算财</w:t>
      </w:r>
      <w:r>
        <w:rPr>
          <w:rFonts w:hint="eastAsia" w:eastAsia="仿宋"/>
          <w:color w:val="000000" w:themeColor="text1"/>
          <w:sz w:val="32"/>
          <w:szCs w:val="32"/>
        </w:rPr>
        <w:t>政拨款支出1265.53万元，主要用于以下方面</w:t>
      </w:r>
      <w:r>
        <w:rPr>
          <w:rFonts w:eastAsia="仿宋"/>
          <w:color w:val="000000" w:themeColor="text1"/>
          <w:sz w:val="32"/>
          <w:szCs w:val="32"/>
        </w:rPr>
        <w:t>:</w:t>
      </w:r>
      <w:r>
        <w:rPr>
          <w:rFonts w:hint="eastAsia" w:eastAsia="仿宋"/>
          <w:b/>
          <w:color w:val="000000" w:themeColor="text1"/>
          <w:sz w:val="32"/>
          <w:szCs w:val="32"/>
        </w:rPr>
        <w:t>社会保障和就业（类）</w:t>
      </w:r>
      <w:r>
        <w:rPr>
          <w:rFonts w:hint="eastAsia" w:eastAsia="仿宋"/>
          <w:color w:val="000000" w:themeColor="text1"/>
          <w:sz w:val="32"/>
          <w:szCs w:val="32"/>
        </w:rPr>
        <w:t>支出1183.11万元，占93</w:t>
      </w:r>
      <w:r>
        <w:rPr>
          <w:rFonts w:eastAsia="仿宋"/>
          <w:color w:val="000000" w:themeColor="text1"/>
          <w:sz w:val="32"/>
          <w:szCs w:val="32"/>
        </w:rPr>
        <w:t>%</w:t>
      </w:r>
      <w:r>
        <w:rPr>
          <w:rFonts w:hint="eastAsia" w:eastAsia="仿宋"/>
          <w:color w:val="000000" w:themeColor="text1"/>
          <w:sz w:val="32"/>
          <w:szCs w:val="32"/>
        </w:rPr>
        <w:t>；住房保障支出82.42万元，占7</w:t>
      </w:r>
      <w:r>
        <w:rPr>
          <w:rFonts w:eastAsia="仿宋"/>
          <w:color w:val="000000" w:themeColor="text1"/>
          <w:sz w:val="32"/>
          <w:szCs w:val="32"/>
        </w:rPr>
        <w:t>%</w:t>
      </w:r>
      <w:r>
        <w:rPr>
          <w:rFonts w:hint="eastAsia" w:eastAsia="仿宋"/>
          <w:color w:val="000000" w:themeColor="text1"/>
          <w:sz w:val="32"/>
          <w:szCs w:val="32"/>
        </w:rPr>
        <w:t>。</w:t>
      </w:r>
      <w:r>
        <w:rPr>
          <w:rFonts w:hint="eastAsia" w:eastAsia="仿宋"/>
          <w:b/>
          <w:color w:val="000000" w:themeColor="text1"/>
          <w:sz w:val="32"/>
          <w:szCs w:val="32"/>
        </w:rPr>
        <w:t>（罗列全部功能分类科目，至类级。）</w:t>
      </w:r>
    </w:p>
    <w:p>
      <w:pPr>
        <w:spacing w:line="360" w:lineRule="auto"/>
        <w:ind w:firstLine="640" w:firstLineChars="200"/>
        <w:rPr>
          <w:rFonts w:eastAsia="仿宋"/>
          <w:color w:val="000000"/>
          <w:sz w:val="32"/>
          <w:szCs w:val="32"/>
        </w:rPr>
      </w:pPr>
      <w:r>
        <w:rPr>
          <w:rFonts w:hint="eastAsia" w:eastAsia="仿宋"/>
          <w:color w:val="000000"/>
          <w:sz w:val="32"/>
          <w:szCs w:val="32"/>
        </w:rPr>
        <w:t>（图</w:t>
      </w:r>
      <w:r>
        <w:rPr>
          <w:rFonts w:eastAsia="仿宋"/>
          <w:color w:val="000000"/>
          <w:sz w:val="32"/>
          <w:szCs w:val="32"/>
        </w:rPr>
        <w:t>6</w:t>
      </w:r>
      <w:r>
        <w:rPr>
          <w:rFonts w:hint="eastAsia" w:eastAsia="仿宋"/>
          <w:color w:val="000000"/>
          <w:sz w:val="32"/>
          <w:szCs w:val="32"/>
        </w:rPr>
        <w:t>：一般公共预算财政拨款支出决算结构）（饼状图）</w:t>
      </w:r>
    </w:p>
    <w:p>
      <w:pPr>
        <w:spacing w:line="360" w:lineRule="auto"/>
        <w:ind w:firstLine="420" w:firstLineChars="200"/>
        <w:jc w:val="center"/>
        <w:rPr>
          <w:rFonts w:eastAsia="仿宋"/>
          <w:color w:val="000000"/>
          <w:sz w:val="32"/>
          <w:szCs w:val="32"/>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firstLine="643" w:firstLineChars="200"/>
        <w:outlineLvl w:val="2"/>
        <w:rPr>
          <w:rFonts w:eastAsia="仿宋"/>
          <w:b/>
          <w:color w:val="000000"/>
          <w:sz w:val="32"/>
          <w:szCs w:val="32"/>
        </w:rPr>
      </w:pPr>
      <w:bookmarkStart w:id="36" w:name="_Toc15377212"/>
      <w:r>
        <w:rPr>
          <w:rFonts w:hint="eastAsia" w:eastAsia="仿宋"/>
          <w:b/>
          <w:color w:val="000000"/>
          <w:sz w:val="32"/>
          <w:szCs w:val="32"/>
        </w:rPr>
        <w:t>（三）一般公共预算财政拨款支出决算具体情况</w:t>
      </w:r>
      <w:bookmarkEnd w:id="36"/>
    </w:p>
    <w:p>
      <w:pPr>
        <w:spacing w:line="360" w:lineRule="auto"/>
        <w:ind w:firstLine="643" w:firstLineChars="200"/>
        <w:outlineLvl w:val="2"/>
        <w:rPr>
          <w:rFonts w:eastAsia="仿宋"/>
          <w:color w:val="FF0000"/>
          <w:sz w:val="32"/>
          <w:szCs w:val="32"/>
        </w:rPr>
      </w:pPr>
      <w:bookmarkStart w:id="37" w:name="_Toc15377213"/>
      <w:bookmarkStart w:id="38" w:name="_Toc15378460"/>
      <w:bookmarkStart w:id="39" w:name="_Toc15377444"/>
      <w:r>
        <w:rPr>
          <w:rFonts w:eastAsia="仿宋"/>
          <w:b/>
          <w:color w:val="000000" w:themeColor="text1"/>
          <w:sz w:val="32"/>
          <w:szCs w:val="32"/>
        </w:rPr>
        <w:t>2019</w:t>
      </w:r>
      <w:r>
        <w:rPr>
          <w:rFonts w:hint="eastAsia" w:eastAsia="仿宋"/>
          <w:b/>
          <w:color w:val="000000" w:themeColor="text1"/>
          <w:sz w:val="32"/>
          <w:szCs w:val="32"/>
        </w:rPr>
        <w:t>年一般公共预算支出决算数为1265.53</w:t>
      </w:r>
      <w:r>
        <w:rPr>
          <w:rFonts w:hint="eastAsia" w:eastAsia="仿宋"/>
          <w:color w:val="000000" w:themeColor="text1"/>
          <w:sz w:val="32"/>
          <w:szCs w:val="32"/>
        </w:rPr>
        <w:t>，</w:t>
      </w:r>
      <w:r>
        <w:rPr>
          <w:rStyle w:val="12"/>
          <w:rFonts w:hint="eastAsia" w:eastAsia="仿宋"/>
          <w:bCs/>
          <w:color w:val="000000" w:themeColor="text1"/>
          <w:sz w:val="32"/>
          <w:szCs w:val="32"/>
        </w:rPr>
        <w:t>完成</w:t>
      </w:r>
      <w:r>
        <w:rPr>
          <w:rStyle w:val="12"/>
          <w:rFonts w:hint="eastAsia" w:eastAsia="仿宋"/>
          <w:bCs/>
          <w:color w:val="000000"/>
          <w:sz w:val="32"/>
          <w:szCs w:val="32"/>
        </w:rPr>
        <w:t>预算100</w:t>
      </w:r>
      <w:r>
        <w:rPr>
          <w:rStyle w:val="12"/>
          <w:rFonts w:eastAsia="仿宋"/>
          <w:bCs/>
          <w:color w:val="000000"/>
          <w:sz w:val="32"/>
          <w:szCs w:val="32"/>
        </w:rPr>
        <w:t>%</w:t>
      </w:r>
      <w:r>
        <w:rPr>
          <w:rStyle w:val="12"/>
          <w:rFonts w:hint="eastAsia" w:eastAsia="仿宋"/>
          <w:bCs/>
          <w:color w:val="000000"/>
          <w:sz w:val="32"/>
          <w:szCs w:val="32"/>
        </w:rPr>
        <w:t>。其中：</w:t>
      </w:r>
      <w:bookmarkEnd w:id="37"/>
      <w:bookmarkEnd w:id="38"/>
      <w:bookmarkEnd w:id="39"/>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社会保障和就业支出（类）人力资源和社会保障管理事务（款）行政运行（项）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支出决算为976.43万元，完成预算100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2.</w:t>
      </w:r>
      <w:r>
        <w:rPr>
          <w:rStyle w:val="12"/>
          <w:rFonts w:hint="eastAsia" w:ascii="仿宋" w:hAnsi="仿宋" w:eastAsia="仿宋"/>
          <w:bCs/>
          <w:color w:val="000000"/>
          <w:sz w:val="32"/>
          <w:szCs w:val="32"/>
        </w:rPr>
        <w:t>社会保障和就业支出（类）人力资源和社会保障管理事务（款）社会保险业务管理事务（项）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支出决算为26.5万元，完成预算100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3.</w:t>
      </w:r>
      <w:r>
        <w:rPr>
          <w:rStyle w:val="12"/>
          <w:rFonts w:hint="eastAsia" w:ascii="仿宋" w:hAnsi="仿宋" w:eastAsia="仿宋"/>
          <w:bCs/>
          <w:color w:val="000000"/>
          <w:sz w:val="32"/>
          <w:szCs w:val="32"/>
        </w:rPr>
        <w:t>社会保障和就业支出（类）人力资源和社会保障管理事务（款）社会保险经办机构（项）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支出决算为70.2万元，完成预算100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4.</w:t>
      </w:r>
      <w:r>
        <w:rPr>
          <w:rStyle w:val="12"/>
          <w:rFonts w:hint="eastAsia" w:ascii="仿宋" w:hAnsi="仿宋" w:eastAsia="仿宋"/>
          <w:bCs/>
          <w:color w:val="000000"/>
          <w:sz w:val="32"/>
          <w:szCs w:val="32"/>
        </w:rPr>
        <w:t>社会保障和就业支出（类）行政事业单位离退休（款）未归口管理的行政单位离退休（项）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支出决算为30.82万元，完成预算100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5.</w:t>
      </w:r>
      <w:r>
        <w:rPr>
          <w:rStyle w:val="12"/>
          <w:rFonts w:hint="eastAsia" w:ascii="仿宋" w:hAnsi="仿宋" w:eastAsia="仿宋"/>
          <w:bCs/>
          <w:color w:val="000000"/>
          <w:sz w:val="32"/>
          <w:szCs w:val="32"/>
        </w:rPr>
        <w:t>社会保障和就业支出（类）行政事业单位离退休（款）机关事业单位基本养老保险缴费支出（项）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支出决算为79.16万元，完成预算100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360" w:lineRule="auto"/>
        <w:ind w:firstLine="643" w:firstLineChars="200"/>
        <w:rPr>
          <w:rFonts w:ascii="仿宋" w:hAnsi="仿宋" w:eastAsia="仿宋"/>
          <w:b/>
          <w:color w:val="000000"/>
          <w:sz w:val="32"/>
          <w:szCs w:val="32"/>
        </w:rPr>
      </w:pPr>
      <w:r>
        <w:rPr>
          <w:rStyle w:val="12"/>
          <w:rFonts w:ascii="仿宋" w:hAnsi="仿宋" w:eastAsia="仿宋"/>
          <w:bCs/>
          <w:color w:val="000000"/>
          <w:sz w:val="32"/>
          <w:szCs w:val="32"/>
        </w:rPr>
        <w:t>6.</w:t>
      </w:r>
      <w:r>
        <w:rPr>
          <w:rStyle w:val="12"/>
          <w:rFonts w:hint="eastAsia" w:ascii="仿宋" w:hAnsi="仿宋" w:eastAsia="仿宋"/>
          <w:bCs/>
          <w:color w:val="000000"/>
          <w:sz w:val="32"/>
          <w:szCs w:val="32"/>
        </w:rPr>
        <w:t>住房保障支出（类）住房改革支出（款）住房公积金（项）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支出决算为82.42万元，完成预算100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，决算数等于预算数的主要原因是…。</w:t>
      </w:r>
    </w:p>
    <w:p>
      <w:pPr>
        <w:spacing w:line="600" w:lineRule="exact"/>
        <w:ind w:firstLine="643" w:firstLineChars="200"/>
        <w:rPr>
          <w:rFonts w:eastAsia="仿宋"/>
          <w:b/>
          <w:color w:val="FF0000"/>
          <w:sz w:val="32"/>
          <w:szCs w:val="32"/>
        </w:rPr>
      </w:pPr>
      <w:r>
        <w:rPr>
          <w:rFonts w:hint="eastAsia" w:eastAsia="仿宋"/>
          <w:b/>
          <w:color w:val="FF0000"/>
          <w:sz w:val="32"/>
          <w:szCs w:val="32"/>
        </w:rPr>
        <w:t>（注：数据来源于财决</w:t>
      </w:r>
      <w:r>
        <w:rPr>
          <w:rFonts w:eastAsia="仿宋"/>
          <w:b/>
          <w:color w:val="FF0000"/>
          <w:sz w:val="32"/>
          <w:szCs w:val="32"/>
        </w:rPr>
        <w:t>Z01-1</w:t>
      </w:r>
      <w:r>
        <w:rPr>
          <w:rFonts w:hint="eastAsia" w:eastAsia="仿宋"/>
          <w:b/>
          <w:color w:val="FF0000"/>
          <w:sz w:val="32"/>
          <w:szCs w:val="32"/>
        </w:rPr>
        <w:t>表，罗列全部功能分类科目至项级。上述“预算”口径为</w:t>
      </w:r>
      <w:r>
        <w:rPr>
          <w:rFonts w:hint="eastAsia" w:eastAsia="仿宋"/>
          <w:b/>
          <w:color w:val="FF0000"/>
          <w:sz w:val="32"/>
          <w:szCs w:val="32"/>
          <w:highlight w:val="yellow"/>
        </w:rPr>
        <w:t>调整预算数</w:t>
      </w:r>
      <w:r>
        <w:rPr>
          <w:rFonts w:hint="eastAsia" w:eastAsia="仿宋"/>
          <w:b/>
          <w:color w:val="FF0000"/>
          <w:sz w:val="32"/>
          <w:szCs w:val="32"/>
        </w:rPr>
        <w:t>。增减变动原因为决算数</w:t>
      </w:r>
      <w:r>
        <w:rPr>
          <w:rFonts w:eastAsia="仿宋"/>
          <w:b/>
          <w:color w:val="FF0000"/>
          <w:sz w:val="32"/>
          <w:szCs w:val="32"/>
        </w:rPr>
        <w:t>&lt;</w:t>
      </w:r>
      <w:r>
        <w:rPr>
          <w:rFonts w:hint="eastAsia" w:eastAsia="仿宋"/>
          <w:b/>
          <w:color w:val="FF0000"/>
          <w:sz w:val="32"/>
          <w:szCs w:val="32"/>
        </w:rPr>
        <w:t>项级</w:t>
      </w:r>
      <w:r>
        <w:rPr>
          <w:rFonts w:eastAsia="仿宋"/>
          <w:b/>
          <w:color w:val="FF0000"/>
          <w:sz w:val="32"/>
          <w:szCs w:val="32"/>
        </w:rPr>
        <w:t>&gt;</w:t>
      </w:r>
      <w:r>
        <w:rPr>
          <w:rFonts w:hint="eastAsia" w:eastAsia="仿宋"/>
          <w:b/>
          <w:color w:val="FF0000"/>
          <w:sz w:val="32"/>
          <w:szCs w:val="32"/>
        </w:rPr>
        <w:t>和调整预算数</w:t>
      </w:r>
      <w:r>
        <w:rPr>
          <w:rFonts w:eastAsia="仿宋"/>
          <w:b/>
          <w:color w:val="FF0000"/>
          <w:sz w:val="32"/>
          <w:szCs w:val="32"/>
        </w:rPr>
        <w:t>&lt;</w:t>
      </w:r>
      <w:r>
        <w:rPr>
          <w:rFonts w:hint="eastAsia" w:eastAsia="仿宋"/>
          <w:b/>
          <w:color w:val="FF0000"/>
          <w:sz w:val="32"/>
          <w:szCs w:val="32"/>
        </w:rPr>
        <w:t>项级</w:t>
      </w:r>
      <w:r>
        <w:rPr>
          <w:rFonts w:eastAsia="仿宋"/>
          <w:b/>
          <w:color w:val="FF0000"/>
          <w:sz w:val="32"/>
          <w:szCs w:val="32"/>
        </w:rPr>
        <w:t>&gt;</w:t>
      </w:r>
      <w:r>
        <w:rPr>
          <w:rFonts w:hint="eastAsia" w:eastAsia="仿宋"/>
          <w:b/>
          <w:color w:val="FF0000"/>
          <w:sz w:val="32"/>
          <w:szCs w:val="32"/>
        </w:rPr>
        <w:t>比较，与预算数持平可以不写原因。）</w:t>
      </w:r>
    </w:p>
    <w:p>
      <w:pPr>
        <w:tabs>
          <w:tab w:val="right" w:pos="8306"/>
        </w:tabs>
        <w:spacing w:line="600" w:lineRule="exact"/>
        <w:ind w:firstLine="640"/>
        <w:outlineLvl w:val="1"/>
        <w:rPr>
          <w:rStyle w:val="15"/>
          <w:rFonts w:ascii="Times New Roman" w:hAnsi="Times New Roman" w:cs="Times New Roman"/>
        </w:rPr>
      </w:pPr>
      <w:bookmarkStart w:id="40" w:name="_Toc15377214"/>
      <w:bookmarkStart w:id="41" w:name="_Toc15396608"/>
      <w:r>
        <w:rPr>
          <w:rFonts w:hint="eastAsia" w:eastAsia="黑体"/>
          <w:color w:val="000000"/>
          <w:sz w:val="32"/>
          <w:szCs w:val="32"/>
        </w:rPr>
        <w:t>六</w:t>
      </w:r>
      <w:r>
        <w:rPr>
          <w:rFonts w:hint="eastAsia" w:eastAsia="黑体"/>
          <w:b/>
          <w:color w:val="000000"/>
          <w:sz w:val="32"/>
          <w:szCs w:val="32"/>
        </w:rPr>
        <w:t>、一</w:t>
      </w:r>
      <w:r>
        <w:rPr>
          <w:rStyle w:val="15"/>
          <w:rFonts w:hint="eastAsia" w:ascii="Times New Roman" w:hAnsi="Times New Roman" w:eastAsia="黑体" w:cs="Times New Roman"/>
          <w:b w:val="0"/>
        </w:rPr>
        <w:t>般公共预算财政拨款基本支出决算情况说明</w:t>
      </w:r>
      <w:bookmarkEnd w:id="40"/>
      <w:bookmarkEnd w:id="41"/>
      <w:r>
        <w:rPr>
          <w:rStyle w:val="15"/>
          <w:rFonts w:ascii="Times New Roman" w:hAnsi="Times New Roman" w:eastAsia="黑体" w:cs="Times New Roman"/>
          <w:b w:val="0"/>
        </w:rPr>
        <w:tab/>
      </w:r>
    </w:p>
    <w:p>
      <w:pPr>
        <w:spacing w:line="600" w:lineRule="exact"/>
        <w:ind w:firstLine="645"/>
        <w:rPr>
          <w:rFonts w:eastAsia="仿宋"/>
          <w:color w:val="000000"/>
          <w:sz w:val="32"/>
          <w:szCs w:val="32"/>
        </w:rPr>
      </w:pPr>
      <w:r>
        <w:rPr>
          <w:rFonts w:eastAsia="仿宋"/>
          <w:color w:val="000000"/>
          <w:sz w:val="32"/>
          <w:szCs w:val="32"/>
        </w:rPr>
        <w:t>2019</w:t>
      </w:r>
      <w:r>
        <w:rPr>
          <w:rFonts w:hint="eastAsia" w:eastAsia="仿宋"/>
          <w:color w:val="000000"/>
          <w:sz w:val="32"/>
          <w:szCs w:val="32"/>
        </w:rPr>
        <w:t>年一般公共预算财政拨款基本支出1168.83万元，其中：</w:t>
      </w:r>
    </w:p>
    <w:p>
      <w:pPr>
        <w:spacing w:line="600" w:lineRule="exact"/>
        <w:ind w:firstLine="645"/>
        <w:rPr>
          <w:rFonts w:eastAsia="仿宋"/>
          <w:color w:val="000000"/>
          <w:sz w:val="32"/>
          <w:szCs w:val="32"/>
        </w:rPr>
      </w:pPr>
      <w:r>
        <w:rPr>
          <w:rFonts w:hint="eastAsia" w:eastAsia="仿宋"/>
          <w:color w:val="000000"/>
          <w:sz w:val="32"/>
          <w:szCs w:val="32"/>
        </w:rPr>
        <w:t>人员经费1048.7万元，主要包括：基本工资、津贴补贴、奖金、机关事业单位基本养老保险缴费、其他社会保障缴费、其他工资福利支出、退休费、医疗费补助、住房公积金等。</w:t>
      </w:r>
      <w:r>
        <w:rPr>
          <w:rFonts w:eastAsia="仿宋"/>
          <w:color w:val="000000"/>
          <w:sz w:val="32"/>
          <w:szCs w:val="32"/>
        </w:rPr>
        <w:br w:type="textWrapping"/>
      </w:r>
      <w:r>
        <w:rPr>
          <w:rFonts w:hint="eastAsia" w:eastAsia="仿宋"/>
          <w:color w:val="000000"/>
          <w:sz w:val="32"/>
          <w:szCs w:val="32"/>
        </w:rPr>
        <w:t>　　日常公用经费120.13万元，主要包括：办公费、印刷费、手续费、水费、电费、邮电费、差旅费、维修（护）费、会议费、培训费、公务接待费、劳务费、工会经费、福利费、其他交通费、其他商品和服务支出等。</w:t>
      </w:r>
    </w:p>
    <w:p>
      <w:pPr>
        <w:spacing w:line="600" w:lineRule="exact"/>
        <w:ind w:firstLine="640"/>
        <w:outlineLvl w:val="1"/>
        <w:rPr>
          <w:rStyle w:val="15"/>
          <w:rFonts w:ascii="Times New Roman" w:hAnsi="Times New Roman" w:eastAsia="黑体" w:cs="Times New Roman"/>
          <w:b w:val="0"/>
        </w:rPr>
      </w:pPr>
      <w:bookmarkStart w:id="42" w:name="_Toc15377215"/>
      <w:bookmarkStart w:id="43" w:name="_Toc15396609"/>
      <w:r>
        <w:rPr>
          <w:rFonts w:hint="eastAsia" w:eastAsia="黑体"/>
          <w:color w:val="000000"/>
          <w:sz w:val="32"/>
          <w:szCs w:val="32"/>
        </w:rPr>
        <w:t>七、</w:t>
      </w:r>
      <w:r>
        <w:rPr>
          <w:rStyle w:val="15"/>
          <w:rFonts w:hint="eastAsia" w:ascii="Times New Roman" w:hAnsi="Times New Roman" w:eastAsia="黑体" w:cs="Times New Roman"/>
        </w:rPr>
        <w:t>“</w:t>
      </w:r>
      <w:r>
        <w:rPr>
          <w:rStyle w:val="15"/>
          <w:rFonts w:hint="eastAsia" w:ascii="Times New Roman" w:hAnsi="Times New Roman" w:eastAsia="黑体" w:cs="Times New Roman"/>
          <w:b w:val="0"/>
        </w:rPr>
        <w:t>三公”经费财政拨款支出决算情况说明</w:t>
      </w:r>
      <w:bookmarkEnd w:id="42"/>
      <w:bookmarkEnd w:id="43"/>
    </w:p>
    <w:p>
      <w:pPr>
        <w:spacing w:line="600" w:lineRule="exact"/>
        <w:ind w:firstLine="640"/>
        <w:outlineLvl w:val="2"/>
        <w:rPr>
          <w:rFonts w:eastAsia="仿宋"/>
          <w:b/>
          <w:color w:val="000000"/>
          <w:sz w:val="32"/>
          <w:szCs w:val="32"/>
        </w:rPr>
      </w:pPr>
      <w:bookmarkStart w:id="44" w:name="_Toc15377216"/>
      <w:r>
        <w:rPr>
          <w:rFonts w:hint="eastAsia" w:eastAsia="仿宋"/>
          <w:b/>
          <w:color w:val="000000"/>
          <w:sz w:val="32"/>
          <w:szCs w:val="32"/>
        </w:rPr>
        <w:t>（一）“三公”经费财政拨款支出决算总体情况说明</w:t>
      </w:r>
      <w:bookmarkEnd w:id="44"/>
    </w:p>
    <w:p>
      <w:pPr>
        <w:spacing w:line="600" w:lineRule="exact"/>
        <w:ind w:firstLine="640"/>
        <w:rPr>
          <w:rFonts w:eastAsia="仿宋"/>
          <w:color w:val="000000"/>
          <w:sz w:val="32"/>
          <w:szCs w:val="32"/>
        </w:rPr>
      </w:pPr>
      <w:r>
        <w:rPr>
          <w:rFonts w:eastAsia="仿宋"/>
          <w:color w:val="000000"/>
          <w:sz w:val="32"/>
          <w:szCs w:val="32"/>
        </w:rPr>
        <w:t>2019</w:t>
      </w:r>
      <w:r>
        <w:rPr>
          <w:rFonts w:hint="eastAsia" w:eastAsia="仿宋"/>
          <w:color w:val="000000"/>
          <w:sz w:val="32"/>
          <w:szCs w:val="32"/>
        </w:rPr>
        <w:t>年“三公”经费财政拨款支出决算为0.3万元，完成预算16.67</w:t>
      </w:r>
      <w:r>
        <w:rPr>
          <w:rFonts w:eastAsia="仿宋"/>
          <w:color w:val="000000"/>
          <w:sz w:val="32"/>
          <w:szCs w:val="32"/>
        </w:rPr>
        <w:t>%</w:t>
      </w:r>
      <w:r>
        <w:rPr>
          <w:rFonts w:hint="eastAsia" w:eastAsia="仿宋"/>
          <w:color w:val="000000"/>
          <w:sz w:val="32"/>
          <w:szCs w:val="32"/>
        </w:rPr>
        <w:t>，决算数小于预算数（或与预算数持平）的主要原因是</w:t>
      </w:r>
      <w:r>
        <w:rPr>
          <w:rFonts w:hint="eastAsia" w:ascii="仿宋_GB2312" w:eastAsia="仿宋_GB2312"/>
          <w:color w:val="000000"/>
          <w:sz w:val="32"/>
          <w:szCs w:val="32"/>
        </w:rPr>
        <w:t>公务接待批次和人数同比上年都有所减少</w:t>
      </w:r>
      <w:r>
        <w:rPr>
          <w:rFonts w:hint="eastAsia" w:eastAsia="仿宋"/>
          <w:color w:val="000000"/>
          <w:sz w:val="32"/>
          <w:szCs w:val="32"/>
        </w:rPr>
        <w:t>。</w:t>
      </w:r>
    </w:p>
    <w:p>
      <w:pPr>
        <w:spacing w:line="600" w:lineRule="exact"/>
        <w:ind w:firstLine="640"/>
        <w:rPr>
          <w:rFonts w:eastAsia="仿宋"/>
          <w:b/>
          <w:color w:val="FF0000"/>
          <w:sz w:val="32"/>
          <w:szCs w:val="32"/>
        </w:rPr>
      </w:pPr>
      <w:r>
        <w:rPr>
          <w:rFonts w:hint="eastAsia" w:eastAsia="仿宋"/>
          <w:b/>
          <w:color w:val="FF0000"/>
          <w:sz w:val="32"/>
          <w:szCs w:val="32"/>
        </w:rPr>
        <w:t>（注：上述“预算”口径为调整预算数，包括政府性基金支出决算情况。）</w:t>
      </w:r>
    </w:p>
    <w:p>
      <w:pPr>
        <w:spacing w:line="600" w:lineRule="exact"/>
        <w:ind w:firstLine="640"/>
        <w:outlineLvl w:val="2"/>
        <w:rPr>
          <w:rFonts w:eastAsia="仿宋"/>
          <w:b/>
          <w:color w:val="000000"/>
          <w:sz w:val="32"/>
          <w:szCs w:val="32"/>
        </w:rPr>
      </w:pPr>
      <w:bookmarkStart w:id="45" w:name="_Toc15377217"/>
      <w:r>
        <w:rPr>
          <w:rFonts w:hint="eastAsia" w:eastAsia="仿宋"/>
          <w:b/>
          <w:color w:val="000000"/>
          <w:sz w:val="32"/>
          <w:szCs w:val="32"/>
        </w:rPr>
        <w:t>（二）“三公”经费财政拨款支出决算具体情况说明</w:t>
      </w:r>
      <w:bookmarkEnd w:id="45"/>
    </w:p>
    <w:p>
      <w:pPr>
        <w:spacing w:line="360" w:lineRule="auto"/>
        <w:ind w:firstLine="641"/>
        <w:rPr>
          <w:rFonts w:eastAsia="仿宋"/>
          <w:color w:val="000000"/>
          <w:sz w:val="32"/>
          <w:szCs w:val="32"/>
        </w:rPr>
      </w:pPr>
      <w:r>
        <w:rPr>
          <w:rFonts w:eastAsia="仿宋"/>
          <w:color w:val="000000"/>
          <w:sz w:val="32"/>
          <w:szCs w:val="32"/>
        </w:rPr>
        <w:t>2019</w:t>
      </w:r>
      <w:r>
        <w:rPr>
          <w:rFonts w:hint="eastAsia" w:eastAsia="仿宋"/>
          <w:color w:val="000000"/>
          <w:sz w:val="32"/>
          <w:szCs w:val="32"/>
        </w:rPr>
        <w:t>年“三公”经费财政拨款支出决算中，因公出国（境）费支出决算0万元，占0</w:t>
      </w:r>
      <w:r>
        <w:rPr>
          <w:rFonts w:eastAsia="仿宋"/>
          <w:color w:val="000000"/>
          <w:sz w:val="32"/>
          <w:szCs w:val="32"/>
        </w:rPr>
        <w:t>%</w:t>
      </w:r>
      <w:r>
        <w:rPr>
          <w:rFonts w:hint="eastAsia" w:eastAsia="仿宋"/>
          <w:color w:val="000000"/>
          <w:sz w:val="32"/>
          <w:szCs w:val="32"/>
        </w:rPr>
        <w:t>；公务用车购置及运行维护费支出决算0万元，占0</w:t>
      </w:r>
      <w:r>
        <w:rPr>
          <w:rFonts w:eastAsia="仿宋"/>
          <w:color w:val="000000"/>
          <w:sz w:val="32"/>
          <w:szCs w:val="32"/>
        </w:rPr>
        <w:t>%</w:t>
      </w:r>
      <w:r>
        <w:rPr>
          <w:rFonts w:hint="eastAsia" w:eastAsia="仿宋"/>
          <w:color w:val="000000"/>
          <w:sz w:val="32"/>
          <w:szCs w:val="32"/>
        </w:rPr>
        <w:t>；公务接待费支出决算0.3万元，占100</w:t>
      </w:r>
      <w:r>
        <w:rPr>
          <w:rFonts w:eastAsia="仿宋"/>
          <w:color w:val="000000"/>
          <w:sz w:val="32"/>
          <w:szCs w:val="32"/>
        </w:rPr>
        <w:t>%</w:t>
      </w:r>
      <w:r>
        <w:rPr>
          <w:rFonts w:hint="eastAsia" w:eastAsia="仿宋"/>
          <w:color w:val="000000"/>
          <w:sz w:val="32"/>
          <w:szCs w:val="32"/>
        </w:rPr>
        <w:t>。具体情况如下：</w:t>
      </w:r>
    </w:p>
    <w:p>
      <w:pPr>
        <w:spacing w:line="360" w:lineRule="auto"/>
        <w:ind w:firstLine="641"/>
        <w:rPr>
          <w:rFonts w:eastAsia="仿宋"/>
          <w:color w:val="000000"/>
          <w:sz w:val="32"/>
          <w:szCs w:val="32"/>
        </w:rPr>
      </w:pPr>
      <w:r>
        <w:rPr>
          <w:rFonts w:hint="eastAsia" w:eastAsia="仿宋"/>
          <w:color w:val="000000"/>
          <w:sz w:val="32"/>
          <w:szCs w:val="32"/>
        </w:rPr>
        <w:t>（图</w:t>
      </w:r>
      <w:r>
        <w:rPr>
          <w:rFonts w:eastAsia="仿宋"/>
          <w:color w:val="000000"/>
          <w:sz w:val="32"/>
          <w:szCs w:val="32"/>
        </w:rPr>
        <w:t>7</w:t>
      </w:r>
      <w:r>
        <w:rPr>
          <w:rFonts w:hint="eastAsia" w:eastAsia="仿宋"/>
          <w:color w:val="000000"/>
          <w:sz w:val="32"/>
          <w:szCs w:val="32"/>
        </w:rPr>
        <w:t>：“三公”经费财政拨款支出结构）（饼状图）</w:t>
      </w:r>
    </w:p>
    <w:p>
      <w:pPr>
        <w:spacing w:line="360" w:lineRule="auto"/>
        <w:ind w:firstLine="641"/>
        <w:rPr>
          <w:rFonts w:eastAsia="仿宋"/>
          <w:color w:val="000000"/>
          <w:sz w:val="32"/>
          <w:szCs w:val="32"/>
        </w:rPr>
      </w:pPr>
    </w:p>
    <w:p>
      <w:pPr>
        <w:spacing w:line="360" w:lineRule="auto"/>
        <w:ind w:firstLine="641"/>
        <w:jc w:val="cente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ind w:firstLine="641"/>
        <w:jc w:val="center"/>
      </w:pPr>
    </w:p>
    <w:p>
      <w:pPr>
        <w:spacing w:line="360" w:lineRule="auto"/>
        <w:ind w:firstLine="641"/>
        <w:rPr>
          <w:rFonts w:eastAsia="仿宋_GB2312"/>
          <w:b/>
          <w:color w:val="000000"/>
          <w:sz w:val="32"/>
          <w:szCs w:val="32"/>
        </w:rPr>
      </w:pPr>
      <w:r>
        <w:rPr>
          <w:rFonts w:eastAsia="仿宋_GB2312"/>
          <w:b/>
          <w:color w:val="000000"/>
          <w:sz w:val="32"/>
          <w:szCs w:val="32"/>
        </w:rPr>
        <w:t>1.</w:t>
      </w:r>
      <w:r>
        <w:rPr>
          <w:rFonts w:hint="eastAsia" w:eastAsia="仿宋_GB2312"/>
          <w:b/>
          <w:color w:val="000000"/>
          <w:sz w:val="32"/>
          <w:szCs w:val="32"/>
        </w:rPr>
        <w:t>因公出国（境）经费支出</w:t>
      </w:r>
      <w:r>
        <w:rPr>
          <w:rFonts w:hint="eastAsia" w:eastAsia="仿宋_GB2312"/>
          <w:color w:val="000000"/>
          <w:sz w:val="32"/>
          <w:szCs w:val="32"/>
        </w:rPr>
        <w:t>0万元，</w:t>
      </w:r>
      <w:r>
        <w:rPr>
          <w:rStyle w:val="12"/>
          <w:rFonts w:hint="eastAsia" w:eastAsia="仿宋"/>
          <w:b w:val="0"/>
          <w:bCs/>
          <w:color w:val="000000"/>
          <w:sz w:val="32"/>
          <w:szCs w:val="32"/>
        </w:rPr>
        <w:t>完成预算0</w:t>
      </w:r>
      <w:r>
        <w:rPr>
          <w:rStyle w:val="12"/>
          <w:rFonts w:eastAsia="仿宋"/>
          <w:b w:val="0"/>
          <w:bCs/>
          <w:color w:val="000000"/>
          <w:sz w:val="32"/>
          <w:szCs w:val="32"/>
        </w:rPr>
        <w:t>%</w:t>
      </w:r>
      <w:r>
        <w:rPr>
          <w:rStyle w:val="12"/>
          <w:rFonts w:hint="eastAsia" w:eastAsia="仿宋"/>
          <w:b w:val="0"/>
          <w:bCs/>
          <w:color w:val="000000"/>
          <w:sz w:val="32"/>
          <w:szCs w:val="32"/>
        </w:rPr>
        <w:t>。</w:t>
      </w:r>
      <w:r>
        <w:rPr>
          <w:rFonts w:hint="eastAsia" w:eastAsia="仿宋_GB2312"/>
          <w:color w:val="000000"/>
          <w:sz w:val="32"/>
          <w:szCs w:val="32"/>
        </w:rPr>
        <w:t>全年安排因公出国（境）团组0次，出国（境）0人。因公出国（境）支出决算比</w:t>
      </w:r>
      <w:r>
        <w:rPr>
          <w:rFonts w:eastAsia="仿宋_GB2312"/>
          <w:color w:val="000000"/>
          <w:sz w:val="32"/>
          <w:szCs w:val="32"/>
        </w:rPr>
        <w:t>2018</w:t>
      </w:r>
      <w:r>
        <w:rPr>
          <w:rFonts w:hint="eastAsia" w:eastAsia="仿宋_GB2312"/>
          <w:color w:val="000000"/>
          <w:sz w:val="32"/>
          <w:szCs w:val="32"/>
        </w:rPr>
        <w:t>年增加</w:t>
      </w:r>
      <w:r>
        <w:rPr>
          <w:rFonts w:eastAsia="仿宋_GB2312"/>
          <w:color w:val="000000"/>
          <w:sz w:val="32"/>
          <w:szCs w:val="32"/>
        </w:rPr>
        <w:t>/</w:t>
      </w:r>
      <w:r>
        <w:rPr>
          <w:rFonts w:hint="eastAsia" w:eastAsia="仿宋_GB2312"/>
          <w:color w:val="000000"/>
          <w:sz w:val="32"/>
          <w:szCs w:val="32"/>
        </w:rPr>
        <w:t>减少0万元，增长</w:t>
      </w:r>
      <w:r>
        <w:rPr>
          <w:rFonts w:eastAsia="仿宋_GB2312"/>
          <w:color w:val="000000"/>
          <w:sz w:val="32"/>
          <w:szCs w:val="32"/>
        </w:rPr>
        <w:t>/</w:t>
      </w:r>
      <w:r>
        <w:rPr>
          <w:rFonts w:hint="eastAsia" w:eastAsia="仿宋_GB2312"/>
          <w:color w:val="000000"/>
          <w:sz w:val="32"/>
          <w:szCs w:val="32"/>
        </w:rPr>
        <w:t>下降0</w:t>
      </w:r>
      <w:r>
        <w:rPr>
          <w:rFonts w:eastAsia="仿宋_GB2312"/>
          <w:color w:val="000000"/>
          <w:sz w:val="32"/>
          <w:szCs w:val="32"/>
        </w:rPr>
        <w:t>%</w:t>
      </w:r>
      <w:r>
        <w:rPr>
          <w:rFonts w:hint="eastAsia" w:eastAsia="仿宋_GB2312"/>
          <w:color w:val="000000"/>
          <w:sz w:val="32"/>
          <w:szCs w:val="32"/>
        </w:rPr>
        <w:t>。主要原因是…</w:t>
      </w:r>
    </w:p>
    <w:p>
      <w:pPr>
        <w:spacing w:line="360" w:lineRule="auto"/>
        <w:ind w:firstLine="641"/>
        <w:rPr>
          <w:rFonts w:eastAsia="仿宋_GB2312"/>
          <w:color w:val="000000"/>
          <w:sz w:val="32"/>
          <w:szCs w:val="32"/>
        </w:rPr>
      </w:pPr>
      <w:r>
        <w:rPr>
          <w:rFonts w:hint="eastAsia" w:eastAsia="仿宋_GB2312"/>
          <w:color w:val="000000"/>
          <w:sz w:val="32"/>
          <w:szCs w:val="32"/>
        </w:rPr>
        <w:t>开支内容包括：…（团组名称、出访地点、取得成效）</w:t>
      </w:r>
    </w:p>
    <w:p>
      <w:pPr>
        <w:spacing w:line="600" w:lineRule="exact"/>
        <w:ind w:firstLine="640"/>
        <w:rPr>
          <w:rFonts w:eastAsia="仿宋_GB2312"/>
          <w:b/>
          <w:color w:val="000000"/>
          <w:sz w:val="32"/>
          <w:szCs w:val="32"/>
        </w:rPr>
      </w:pPr>
      <w:r>
        <w:rPr>
          <w:rFonts w:eastAsia="仿宋_GB2312"/>
          <w:b/>
          <w:color w:val="000000"/>
          <w:sz w:val="32"/>
          <w:szCs w:val="32"/>
        </w:rPr>
        <w:t>2.</w:t>
      </w:r>
      <w:r>
        <w:rPr>
          <w:rFonts w:hint="eastAsia" w:eastAsia="仿宋_GB2312"/>
          <w:b/>
          <w:color w:val="000000"/>
          <w:sz w:val="32"/>
          <w:szCs w:val="32"/>
        </w:rPr>
        <w:t>公务用车购置及运行维护费支出</w:t>
      </w:r>
      <w:r>
        <w:rPr>
          <w:rFonts w:hint="eastAsia" w:eastAsia="仿宋_GB2312"/>
          <w:color w:val="000000"/>
          <w:sz w:val="32"/>
          <w:szCs w:val="32"/>
        </w:rPr>
        <w:t>0万元</w:t>
      </w:r>
      <w:r>
        <w:rPr>
          <w:rFonts w:eastAsia="仿宋_GB2312"/>
          <w:color w:val="000000"/>
          <w:sz w:val="32"/>
          <w:szCs w:val="32"/>
        </w:rPr>
        <w:t>,</w:t>
      </w:r>
      <w:r>
        <w:rPr>
          <w:rStyle w:val="12"/>
          <w:rFonts w:hint="eastAsia" w:eastAsia="仿宋"/>
          <w:b w:val="0"/>
          <w:bCs/>
          <w:color w:val="000000"/>
          <w:sz w:val="32"/>
          <w:szCs w:val="32"/>
        </w:rPr>
        <w:t>完成预算0</w:t>
      </w:r>
      <w:r>
        <w:rPr>
          <w:rStyle w:val="12"/>
          <w:rFonts w:eastAsia="仿宋"/>
          <w:b w:val="0"/>
          <w:bCs/>
          <w:color w:val="000000"/>
          <w:sz w:val="32"/>
          <w:szCs w:val="32"/>
        </w:rPr>
        <w:t>%</w:t>
      </w:r>
      <w:r>
        <w:rPr>
          <w:rStyle w:val="12"/>
          <w:rFonts w:hint="eastAsia" w:eastAsia="仿宋"/>
          <w:b w:val="0"/>
          <w:bCs/>
          <w:color w:val="000000"/>
          <w:sz w:val="32"/>
          <w:szCs w:val="32"/>
        </w:rPr>
        <w:t>。</w:t>
      </w:r>
      <w:r>
        <w:rPr>
          <w:rFonts w:hint="eastAsia" w:eastAsia="仿宋_GB2312"/>
          <w:color w:val="000000"/>
          <w:sz w:val="32"/>
          <w:szCs w:val="32"/>
        </w:rPr>
        <w:t>公务用车购置及运行维护费支出决算比</w:t>
      </w:r>
      <w:r>
        <w:rPr>
          <w:rFonts w:eastAsia="仿宋_GB2312"/>
          <w:color w:val="000000"/>
          <w:sz w:val="32"/>
          <w:szCs w:val="32"/>
        </w:rPr>
        <w:t>2018</w:t>
      </w:r>
      <w:r>
        <w:rPr>
          <w:rFonts w:hint="eastAsia" w:eastAsia="仿宋_GB2312"/>
          <w:color w:val="000000"/>
          <w:sz w:val="32"/>
          <w:szCs w:val="32"/>
        </w:rPr>
        <w:t>年增加</w:t>
      </w:r>
      <w:r>
        <w:rPr>
          <w:rFonts w:eastAsia="仿宋_GB2312"/>
          <w:color w:val="000000"/>
          <w:sz w:val="32"/>
          <w:szCs w:val="32"/>
        </w:rPr>
        <w:t>/</w:t>
      </w:r>
      <w:r>
        <w:rPr>
          <w:rFonts w:hint="eastAsia" w:eastAsia="仿宋_GB2312"/>
          <w:color w:val="000000"/>
          <w:sz w:val="32"/>
          <w:szCs w:val="32"/>
        </w:rPr>
        <w:t>减少0万元，增长</w:t>
      </w:r>
      <w:r>
        <w:rPr>
          <w:rFonts w:eastAsia="仿宋_GB2312"/>
          <w:color w:val="000000"/>
          <w:sz w:val="32"/>
          <w:szCs w:val="32"/>
        </w:rPr>
        <w:t>/</w:t>
      </w:r>
      <w:r>
        <w:rPr>
          <w:rFonts w:hint="eastAsia" w:eastAsia="仿宋_GB2312"/>
          <w:color w:val="000000"/>
          <w:sz w:val="32"/>
          <w:szCs w:val="32"/>
        </w:rPr>
        <w:t>下降0</w:t>
      </w:r>
      <w:r>
        <w:rPr>
          <w:rFonts w:eastAsia="仿宋_GB2312"/>
          <w:color w:val="000000"/>
          <w:sz w:val="32"/>
          <w:szCs w:val="32"/>
        </w:rPr>
        <w:t>%</w:t>
      </w:r>
      <w:r>
        <w:rPr>
          <w:rFonts w:hint="eastAsia" w:eastAsia="仿宋_GB2312"/>
          <w:color w:val="000000"/>
          <w:sz w:val="32"/>
          <w:szCs w:val="32"/>
        </w:rPr>
        <w:t>。主要原因是…</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其中：</w:t>
      </w:r>
      <w:r>
        <w:rPr>
          <w:rFonts w:hint="eastAsia" w:eastAsia="仿宋_GB2312"/>
          <w:b/>
          <w:color w:val="000000"/>
          <w:sz w:val="32"/>
          <w:szCs w:val="32"/>
        </w:rPr>
        <w:t>公务用车购置支出</w:t>
      </w:r>
      <w:r>
        <w:rPr>
          <w:rFonts w:hint="eastAsia" w:eastAsia="仿宋_GB2312"/>
          <w:color w:val="000000"/>
          <w:sz w:val="32"/>
          <w:szCs w:val="32"/>
        </w:rPr>
        <w:t>0万元。全年按规定更新购置公务用车0辆，金额0元。截至</w:t>
      </w:r>
      <w:r>
        <w:rPr>
          <w:rFonts w:eastAsia="仿宋_GB2312"/>
          <w:color w:val="000000"/>
          <w:sz w:val="32"/>
          <w:szCs w:val="32"/>
        </w:rPr>
        <w:t>2019</w:t>
      </w:r>
      <w:r>
        <w:rPr>
          <w:rFonts w:hint="eastAsia" w:eastAsia="仿宋_GB2312"/>
          <w:color w:val="000000"/>
          <w:sz w:val="32"/>
          <w:szCs w:val="32"/>
        </w:rPr>
        <w:t>年</w:t>
      </w:r>
      <w:r>
        <w:rPr>
          <w:rFonts w:eastAsia="仿宋_GB2312"/>
          <w:color w:val="000000"/>
          <w:sz w:val="32"/>
          <w:szCs w:val="32"/>
        </w:rPr>
        <w:t>12</w:t>
      </w:r>
      <w:r>
        <w:rPr>
          <w:rFonts w:hint="eastAsia" w:eastAsia="仿宋_GB2312"/>
          <w:color w:val="000000"/>
          <w:sz w:val="32"/>
          <w:szCs w:val="32"/>
        </w:rPr>
        <w:t>月底，单位共有公务用车0辆，其中：主要领导干部用车0辆、机要通信用车0辆、应急保障用车0辆、执法执勤用车0辆…</w:t>
      </w:r>
    </w:p>
    <w:p>
      <w:pPr>
        <w:spacing w:line="600" w:lineRule="exact"/>
        <w:ind w:firstLine="640"/>
        <w:rPr>
          <w:rFonts w:eastAsia="仿宋_GB2312"/>
          <w:color w:val="000000"/>
          <w:sz w:val="32"/>
          <w:szCs w:val="32"/>
        </w:rPr>
      </w:pPr>
      <w:r>
        <w:rPr>
          <w:rFonts w:hint="eastAsia" w:eastAsia="仿宋_GB2312"/>
          <w:b/>
          <w:color w:val="000000"/>
          <w:sz w:val="32"/>
          <w:szCs w:val="32"/>
        </w:rPr>
        <w:t>公务用车运行维护费支出</w:t>
      </w:r>
      <w:r>
        <w:rPr>
          <w:rFonts w:hint="eastAsia" w:eastAsia="仿宋_GB2312"/>
          <w:color w:val="000000"/>
          <w:sz w:val="32"/>
          <w:szCs w:val="32"/>
        </w:rPr>
        <w:t>0万元。主要用于</w:t>
      </w:r>
      <w:r>
        <w:rPr>
          <w:rFonts w:eastAsia="仿宋_GB2312"/>
          <w:color w:val="000000"/>
          <w:sz w:val="32"/>
          <w:szCs w:val="32"/>
        </w:rPr>
        <w:t>…</w:t>
      </w:r>
      <w:r>
        <w:rPr>
          <w:rFonts w:hint="eastAsia" w:eastAsia="仿宋_GB2312"/>
          <w:color w:val="000000"/>
          <w:sz w:val="32"/>
          <w:szCs w:val="32"/>
        </w:rPr>
        <w:t>（具体工作）等所需的公务用车燃料费、维修费、过路过桥费、保险费等支出。</w:t>
      </w:r>
    </w:p>
    <w:p>
      <w:pPr>
        <w:spacing w:line="600" w:lineRule="exact"/>
        <w:ind w:firstLine="640"/>
        <w:rPr>
          <w:rFonts w:eastAsia="仿宋_GB2312"/>
          <w:color w:val="000000"/>
          <w:sz w:val="32"/>
          <w:szCs w:val="32"/>
        </w:rPr>
      </w:pPr>
      <w:r>
        <w:rPr>
          <w:rFonts w:eastAsia="仿宋_GB2312"/>
          <w:b/>
          <w:color w:val="000000"/>
          <w:sz w:val="32"/>
          <w:szCs w:val="32"/>
        </w:rPr>
        <w:t>3.</w:t>
      </w:r>
      <w:r>
        <w:rPr>
          <w:rFonts w:hint="eastAsia" w:eastAsia="仿宋_GB2312"/>
          <w:b/>
          <w:color w:val="000000"/>
          <w:sz w:val="32"/>
          <w:szCs w:val="32"/>
        </w:rPr>
        <w:t>公务接待费支出</w:t>
      </w:r>
      <w:r>
        <w:rPr>
          <w:rFonts w:hint="eastAsia" w:eastAsia="仿宋_GB2312"/>
          <w:color w:val="000000"/>
          <w:sz w:val="32"/>
          <w:szCs w:val="32"/>
        </w:rPr>
        <w:t>0.3万元，</w:t>
      </w:r>
      <w:r>
        <w:rPr>
          <w:rStyle w:val="12"/>
          <w:rFonts w:hint="eastAsia" w:eastAsia="仿宋"/>
          <w:b w:val="0"/>
          <w:bCs/>
          <w:color w:val="000000"/>
          <w:sz w:val="32"/>
          <w:szCs w:val="32"/>
        </w:rPr>
        <w:t>完成预算16.67</w:t>
      </w:r>
      <w:r>
        <w:rPr>
          <w:rStyle w:val="12"/>
          <w:rFonts w:eastAsia="仿宋"/>
          <w:b w:val="0"/>
          <w:bCs/>
          <w:color w:val="000000"/>
          <w:sz w:val="32"/>
          <w:szCs w:val="32"/>
        </w:rPr>
        <w:t>%</w:t>
      </w:r>
      <w:r>
        <w:rPr>
          <w:rStyle w:val="12"/>
          <w:rFonts w:hint="eastAsia" w:eastAsia="仿宋"/>
          <w:b w:val="0"/>
          <w:bCs/>
          <w:color w:val="000000"/>
          <w:sz w:val="32"/>
          <w:szCs w:val="32"/>
        </w:rPr>
        <w:t>。</w:t>
      </w:r>
      <w:r>
        <w:rPr>
          <w:rFonts w:hint="eastAsia" w:eastAsia="仿宋_GB2312"/>
          <w:color w:val="000000"/>
          <w:sz w:val="32"/>
          <w:szCs w:val="32"/>
        </w:rPr>
        <w:t>公务接待费支出决算比</w:t>
      </w:r>
      <w:r>
        <w:rPr>
          <w:rFonts w:eastAsia="仿宋_GB2312"/>
          <w:color w:val="000000"/>
          <w:sz w:val="32"/>
          <w:szCs w:val="32"/>
        </w:rPr>
        <w:t>2018</w:t>
      </w:r>
      <w:r>
        <w:rPr>
          <w:rFonts w:hint="eastAsia" w:eastAsia="仿宋_GB2312"/>
          <w:color w:val="000000"/>
          <w:sz w:val="32"/>
          <w:szCs w:val="32"/>
        </w:rPr>
        <w:t>年减少0.19万元，下降38.78</w:t>
      </w:r>
      <w:r>
        <w:rPr>
          <w:rFonts w:eastAsia="仿宋_GB2312"/>
          <w:color w:val="000000"/>
          <w:sz w:val="32"/>
          <w:szCs w:val="32"/>
        </w:rPr>
        <w:t>%</w:t>
      </w:r>
      <w:r>
        <w:rPr>
          <w:rFonts w:hint="eastAsia" w:eastAsia="仿宋_GB2312"/>
          <w:color w:val="000000"/>
          <w:sz w:val="32"/>
          <w:szCs w:val="32"/>
        </w:rPr>
        <w:t>。主要原因是</w:t>
      </w:r>
      <w:r>
        <w:rPr>
          <w:rFonts w:hint="eastAsia" w:ascii="仿宋_GB2312" w:eastAsia="仿宋_GB2312"/>
          <w:color w:val="000000"/>
          <w:sz w:val="32"/>
          <w:szCs w:val="32"/>
        </w:rPr>
        <w:t>公务接待批次和人数同比上年都有所减少。</w:t>
      </w:r>
      <w:r>
        <w:rPr>
          <w:rFonts w:hint="eastAsia" w:eastAsia="仿宋_GB2312"/>
          <w:color w:val="000000"/>
          <w:sz w:val="32"/>
          <w:szCs w:val="32"/>
        </w:rPr>
        <w:t>其中：</w:t>
      </w:r>
    </w:p>
    <w:p>
      <w:pPr>
        <w:spacing w:line="600" w:lineRule="exact"/>
        <w:ind w:firstLine="640"/>
        <w:rPr>
          <w:rFonts w:eastAsia="仿宋_GB2312"/>
          <w:color w:val="000000"/>
          <w:sz w:val="32"/>
          <w:szCs w:val="32"/>
        </w:rPr>
      </w:pPr>
      <w:r>
        <w:rPr>
          <w:rFonts w:hint="eastAsia" w:eastAsia="仿宋"/>
          <w:b/>
          <w:color w:val="000000"/>
          <w:sz w:val="32"/>
          <w:szCs w:val="32"/>
        </w:rPr>
        <w:t>国内公务接待支出</w:t>
      </w:r>
      <w:r>
        <w:rPr>
          <w:rFonts w:hint="eastAsia" w:eastAsia="仿宋"/>
          <w:color w:val="000000"/>
          <w:sz w:val="32"/>
          <w:szCs w:val="32"/>
        </w:rPr>
        <w:t>0.3</w:t>
      </w:r>
      <w:r>
        <w:rPr>
          <w:rFonts w:hint="eastAsia" w:eastAsia="仿宋_GB2312"/>
          <w:color w:val="000000"/>
          <w:sz w:val="32"/>
          <w:szCs w:val="32"/>
        </w:rPr>
        <w:t>万元，主要用于……，执行公务、开展业务活动开支的交通费、住宿费、用餐费等</w:t>
      </w:r>
      <w:r>
        <w:rPr>
          <w:rFonts w:eastAsia="仿宋_GB2312"/>
          <w:color w:val="000000"/>
          <w:sz w:val="32"/>
          <w:szCs w:val="32"/>
        </w:rPr>
        <w:t>)</w:t>
      </w:r>
      <w:r>
        <w:rPr>
          <w:rFonts w:hint="eastAsia" w:eastAsia="仿宋_GB2312"/>
          <w:color w:val="000000"/>
          <w:sz w:val="32"/>
          <w:szCs w:val="32"/>
        </w:rPr>
        <w:t>。国内公务接待1批次，23人次（不包括陪同人员），共计支出0.3万元，具体内容包括：餐费0.3万元（接待具体项目、金额）。</w:t>
      </w:r>
    </w:p>
    <w:p>
      <w:pPr>
        <w:spacing w:line="600" w:lineRule="exact"/>
        <w:ind w:firstLine="643" w:firstLineChars="200"/>
        <w:rPr>
          <w:rFonts w:eastAsia="仿宋_GB2312"/>
          <w:color w:val="000000" w:themeColor="text1"/>
          <w:sz w:val="32"/>
          <w:szCs w:val="32"/>
        </w:rPr>
      </w:pPr>
      <w:r>
        <w:rPr>
          <w:rFonts w:hint="eastAsia" w:eastAsia="仿宋"/>
          <w:b/>
          <w:color w:val="000000"/>
          <w:sz w:val="32"/>
          <w:szCs w:val="32"/>
        </w:rPr>
        <w:t>外事接待支出</w:t>
      </w:r>
      <w:r>
        <w:rPr>
          <w:rFonts w:hint="eastAsia" w:eastAsia="仿宋"/>
          <w:color w:val="000000"/>
          <w:sz w:val="32"/>
          <w:szCs w:val="32"/>
        </w:rPr>
        <w:t>0</w:t>
      </w:r>
      <w:r>
        <w:rPr>
          <w:rFonts w:hint="eastAsia" w:eastAsia="仿宋_GB2312"/>
          <w:color w:val="000000"/>
          <w:sz w:val="32"/>
          <w:szCs w:val="32"/>
        </w:rPr>
        <w:t>万元</w:t>
      </w:r>
      <w:r>
        <w:rPr>
          <w:rFonts w:hint="eastAsia" w:eastAsia="仿宋_GB2312"/>
          <w:color w:val="000000" w:themeColor="text1"/>
          <w:sz w:val="32"/>
          <w:szCs w:val="32"/>
        </w:rPr>
        <w:t>，外事接待0批次，0人，共计支出0万元，主要用于接待</w:t>
      </w:r>
      <w:r>
        <w:rPr>
          <w:rFonts w:eastAsia="仿宋_GB2312"/>
          <w:color w:val="000000" w:themeColor="text1"/>
          <w:sz w:val="32"/>
          <w:szCs w:val="32"/>
        </w:rPr>
        <w:t>…</w:t>
      </w:r>
      <w:r>
        <w:rPr>
          <w:rFonts w:hint="eastAsia" w:eastAsia="仿宋_GB2312"/>
          <w:color w:val="000000" w:themeColor="text1"/>
          <w:sz w:val="32"/>
          <w:szCs w:val="32"/>
        </w:rPr>
        <w:t>（具体项目）</w:t>
      </w:r>
    </w:p>
    <w:p>
      <w:pPr>
        <w:spacing w:line="600" w:lineRule="exact"/>
        <w:ind w:firstLine="640"/>
        <w:outlineLvl w:val="1"/>
        <w:rPr>
          <w:rStyle w:val="15"/>
          <w:rFonts w:ascii="Times New Roman" w:hAnsi="Times New Roman" w:eastAsia="黑体" w:cs="Times New Roman"/>
        </w:rPr>
      </w:pPr>
      <w:bookmarkStart w:id="46" w:name="_Toc15377218"/>
      <w:bookmarkStart w:id="47" w:name="_Toc15396610"/>
      <w:r>
        <w:rPr>
          <w:rFonts w:hint="eastAsia" w:eastAsia="黑体"/>
          <w:color w:val="000000"/>
          <w:sz w:val="32"/>
          <w:szCs w:val="32"/>
        </w:rPr>
        <w:t>八、</w:t>
      </w:r>
      <w:r>
        <w:rPr>
          <w:rStyle w:val="15"/>
          <w:rFonts w:hint="eastAsia" w:ascii="Times New Roman" w:hAnsi="Times New Roman" w:eastAsia="黑体" w:cs="Times New Roman"/>
          <w:b w:val="0"/>
        </w:rPr>
        <w:t>政府性基金预算支出决算情况说明</w:t>
      </w:r>
      <w:bookmarkEnd w:id="46"/>
      <w:bookmarkEnd w:id="47"/>
    </w:p>
    <w:p>
      <w:pPr>
        <w:spacing w:line="600" w:lineRule="exact"/>
        <w:ind w:firstLine="64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年政府性基金预算拨款支出0万元。</w:t>
      </w:r>
    </w:p>
    <w:p>
      <w:pPr>
        <w:numPr>
          <w:ilvl w:val="0"/>
          <w:numId w:val="3"/>
        </w:numPr>
        <w:spacing w:line="600" w:lineRule="exact"/>
        <w:ind w:firstLine="640"/>
        <w:outlineLvl w:val="1"/>
        <w:rPr>
          <w:rStyle w:val="15"/>
          <w:rFonts w:ascii="Times New Roman" w:hAnsi="Times New Roman" w:eastAsia="黑体" w:cs="Times New Roman"/>
          <w:b w:val="0"/>
        </w:rPr>
      </w:pPr>
      <w:bookmarkStart w:id="48" w:name="_Toc15377219"/>
      <w:bookmarkStart w:id="49" w:name="_Toc15396611"/>
      <w:r>
        <w:rPr>
          <w:rStyle w:val="15"/>
          <w:rFonts w:hint="eastAsia" w:ascii="Times New Roman" w:hAnsi="Times New Roman" w:eastAsia="黑体" w:cs="Times New Roman"/>
          <w:b w:val="0"/>
        </w:rPr>
        <w:t>国有资本经营预算支出决算情况说明</w:t>
      </w:r>
      <w:bookmarkEnd w:id="48"/>
      <w:bookmarkEnd w:id="49"/>
    </w:p>
    <w:p>
      <w:pPr>
        <w:spacing w:line="600" w:lineRule="exact"/>
        <w:ind w:firstLine="64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年国有资本经营预算拨款支出0万元。</w:t>
      </w:r>
    </w:p>
    <w:p>
      <w:pPr>
        <w:spacing w:line="600" w:lineRule="exact"/>
        <w:ind w:firstLine="640" w:firstLineChars="200"/>
        <w:outlineLvl w:val="1"/>
        <w:rPr>
          <w:rStyle w:val="15"/>
          <w:rFonts w:ascii="Times New Roman" w:hAnsi="Times New Roman" w:eastAsia="黑体" w:cs="Times New Roman"/>
        </w:rPr>
      </w:pPr>
      <w:bookmarkStart w:id="50" w:name="_Toc15377221"/>
      <w:bookmarkStart w:id="51" w:name="_Toc15396612"/>
      <w:r>
        <w:rPr>
          <w:rFonts w:hint="eastAsia" w:eastAsia="黑体"/>
          <w:color w:val="000000"/>
          <w:sz w:val="32"/>
          <w:szCs w:val="32"/>
        </w:rPr>
        <w:t>十</w:t>
      </w:r>
      <w:r>
        <w:rPr>
          <w:rStyle w:val="15"/>
          <w:rFonts w:hint="eastAsia" w:ascii="Times New Roman" w:hAnsi="Times New Roman" w:eastAsia="黑体" w:cs="Times New Roman"/>
        </w:rPr>
        <w:t>、</w:t>
      </w:r>
      <w:r>
        <w:rPr>
          <w:rStyle w:val="15"/>
          <w:rFonts w:hint="eastAsia" w:ascii="Times New Roman" w:hAnsi="Times New Roman" w:eastAsia="黑体" w:cs="Times New Roman"/>
          <w:b w:val="0"/>
        </w:rPr>
        <w:t>其他重要事项的情况说明</w:t>
      </w:r>
      <w:bookmarkEnd w:id="50"/>
      <w:bookmarkEnd w:id="51"/>
    </w:p>
    <w:p>
      <w:pPr>
        <w:spacing w:line="600" w:lineRule="exact"/>
        <w:ind w:firstLine="643" w:firstLineChars="200"/>
        <w:outlineLvl w:val="2"/>
        <w:rPr>
          <w:rFonts w:eastAsia="仿宋"/>
          <w:color w:val="000000"/>
          <w:sz w:val="32"/>
          <w:szCs w:val="32"/>
        </w:rPr>
      </w:pPr>
      <w:bookmarkStart w:id="52" w:name="_Toc15377222"/>
      <w:r>
        <w:rPr>
          <w:rFonts w:hint="eastAsia" w:eastAsia="仿宋"/>
          <w:b/>
          <w:color w:val="000000"/>
          <w:sz w:val="32"/>
          <w:szCs w:val="32"/>
        </w:rPr>
        <w:t>（一）机关运行经费支出情况</w:t>
      </w:r>
      <w:bookmarkEnd w:id="52"/>
    </w:p>
    <w:p>
      <w:pPr>
        <w:spacing w:line="600" w:lineRule="exact"/>
        <w:ind w:firstLine="640" w:firstLineChars="200"/>
        <w:rPr>
          <w:rFonts w:eastAsia="仿宋_GB2312"/>
          <w:color w:val="000000" w:themeColor="text1"/>
          <w:sz w:val="32"/>
          <w:szCs w:val="32"/>
        </w:rPr>
      </w:pPr>
      <w:r>
        <w:rPr>
          <w:rFonts w:eastAsia="仿宋_GB2312"/>
          <w:color w:val="000000"/>
          <w:sz w:val="32"/>
          <w:szCs w:val="32"/>
        </w:rPr>
        <w:t>2019</w:t>
      </w:r>
      <w:r>
        <w:rPr>
          <w:rFonts w:hint="eastAsia" w:eastAsia="仿宋_GB2312"/>
          <w:color w:val="000000"/>
          <w:sz w:val="32"/>
          <w:szCs w:val="32"/>
        </w:rPr>
        <w:t>年，</w:t>
      </w:r>
      <w:r>
        <w:rPr>
          <w:rFonts w:hint="eastAsia" w:ascii="仿宋" w:hAnsi="仿宋" w:eastAsia="仿宋"/>
          <w:sz w:val="32"/>
          <w:szCs w:val="32"/>
        </w:rPr>
        <w:t>攀枝花市社会保险事务中心</w:t>
      </w:r>
      <w:r>
        <w:rPr>
          <w:rFonts w:hint="eastAsia" w:eastAsia="仿宋_GB2312"/>
          <w:color w:val="000000"/>
          <w:sz w:val="32"/>
          <w:szCs w:val="32"/>
        </w:rPr>
        <w:t>机关运行经费支出120.13万元，比</w:t>
      </w:r>
      <w:r>
        <w:rPr>
          <w:rFonts w:eastAsia="仿宋_GB2312"/>
          <w:color w:val="000000"/>
          <w:sz w:val="32"/>
          <w:szCs w:val="32"/>
        </w:rPr>
        <w:t>2018</w:t>
      </w:r>
      <w:r>
        <w:rPr>
          <w:rFonts w:hint="eastAsia" w:eastAsia="仿宋_GB2312"/>
          <w:color w:val="000000"/>
          <w:sz w:val="32"/>
          <w:szCs w:val="32"/>
        </w:rPr>
        <w:t>年减少2.74万元，下降2.23</w:t>
      </w:r>
      <w:r>
        <w:rPr>
          <w:rFonts w:eastAsia="仿宋_GB2312"/>
          <w:color w:val="000000"/>
          <w:sz w:val="32"/>
          <w:szCs w:val="32"/>
        </w:rPr>
        <w:t>%</w:t>
      </w:r>
      <w:r>
        <w:rPr>
          <w:rFonts w:hint="eastAsia" w:eastAsia="仿宋_GB2312"/>
          <w:color w:val="000000"/>
          <w:sz w:val="32"/>
          <w:szCs w:val="32"/>
        </w:rPr>
        <w:t>。</w:t>
      </w:r>
      <w:r>
        <w:rPr>
          <w:rFonts w:hint="eastAsia" w:eastAsia="仿宋_GB2312"/>
          <w:color w:val="000000" w:themeColor="text1"/>
          <w:sz w:val="32"/>
          <w:szCs w:val="32"/>
        </w:rPr>
        <w:t>主要原因是差旅费、公务接待费减少。</w:t>
      </w:r>
    </w:p>
    <w:p>
      <w:pPr>
        <w:spacing w:line="600" w:lineRule="exact"/>
        <w:ind w:firstLine="643" w:firstLineChars="200"/>
        <w:rPr>
          <w:rFonts w:eastAsia="仿宋"/>
          <w:b/>
          <w:color w:val="FF0000"/>
          <w:sz w:val="32"/>
          <w:szCs w:val="32"/>
        </w:rPr>
      </w:pPr>
      <w:r>
        <w:rPr>
          <w:rFonts w:hint="eastAsia" w:eastAsia="仿宋"/>
          <w:b/>
          <w:color w:val="FF0000"/>
          <w:sz w:val="32"/>
          <w:szCs w:val="32"/>
        </w:rPr>
        <w:t>（注：数据来源于财决附</w:t>
      </w:r>
      <w:r>
        <w:rPr>
          <w:rFonts w:eastAsia="仿宋"/>
          <w:b/>
          <w:color w:val="FF0000"/>
          <w:sz w:val="32"/>
          <w:szCs w:val="32"/>
        </w:rPr>
        <w:t>03</w:t>
      </w:r>
      <w:r>
        <w:rPr>
          <w:rFonts w:hint="eastAsia" w:eastAsia="仿宋"/>
          <w:b/>
          <w:color w:val="FF0000"/>
          <w:sz w:val="32"/>
          <w:szCs w:val="32"/>
        </w:rPr>
        <w:t>表）</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3" w:name="_Toc15377223"/>
      <w:r>
        <w:rPr>
          <w:rFonts w:hint="eastAsia" w:eastAsia="仿宋"/>
          <w:b/>
          <w:color w:val="000000"/>
          <w:sz w:val="32"/>
          <w:szCs w:val="32"/>
        </w:rPr>
        <w:t>（二）政府采购支出情况</w:t>
      </w:r>
      <w:bookmarkEnd w:id="53"/>
    </w:p>
    <w:p>
      <w:pPr>
        <w:spacing w:line="600" w:lineRule="exact"/>
        <w:ind w:firstLine="640" w:firstLineChars="200"/>
        <w:rPr>
          <w:rFonts w:eastAsia="仿宋_GB2312"/>
          <w:color w:val="000000"/>
          <w:sz w:val="32"/>
          <w:szCs w:val="32"/>
        </w:rPr>
      </w:pPr>
      <w:r>
        <w:rPr>
          <w:rFonts w:eastAsia="仿宋_GB2312"/>
          <w:color w:val="000000"/>
          <w:sz w:val="32"/>
          <w:szCs w:val="32"/>
        </w:rPr>
        <w:t>2019</w:t>
      </w:r>
      <w:r>
        <w:rPr>
          <w:rFonts w:hint="eastAsia" w:eastAsia="仿宋_GB2312"/>
          <w:color w:val="000000"/>
          <w:sz w:val="32"/>
          <w:szCs w:val="32"/>
        </w:rPr>
        <w:t>年，</w:t>
      </w:r>
      <w:r>
        <w:rPr>
          <w:rFonts w:hint="eastAsia" w:ascii="仿宋" w:hAnsi="仿宋" w:eastAsia="仿宋"/>
          <w:sz w:val="32"/>
          <w:szCs w:val="32"/>
        </w:rPr>
        <w:t>攀枝花市社会保险事务中心</w:t>
      </w:r>
      <w:r>
        <w:rPr>
          <w:rFonts w:hint="eastAsia" w:eastAsia="仿宋_GB2312"/>
          <w:color w:val="000000"/>
          <w:sz w:val="32"/>
          <w:szCs w:val="32"/>
        </w:rPr>
        <w:t>政府采购支出总额0万元，其中：政府采购货物支出0万元、政府采购工程支出0万元、政府采购服务支出0万元。主要用于</w:t>
      </w:r>
      <w:r>
        <w:rPr>
          <w:rFonts w:eastAsia="仿宋_GB2312"/>
          <w:color w:val="000000"/>
          <w:sz w:val="32"/>
          <w:szCs w:val="32"/>
        </w:rPr>
        <w:t>…</w:t>
      </w:r>
      <w:r>
        <w:rPr>
          <w:rFonts w:hint="eastAsia" w:eastAsia="仿宋_GB2312"/>
          <w:color w:val="000000"/>
          <w:sz w:val="32"/>
          <w:szCs w:val="32"/>
        </w:rPr>
        <w:t>（具体工作）。授予中小企业合同金额0万元，占政府采购支出总额的0</w:t>
      </w:r>
      <w:r>
        <w:rPr>
          <w:rFonts w:eastAsia="仿宋_GB2312"/>
          <w:color w:val="000000"/>
          <w:sz w:val="32"/>
          <w:szCs w:val="32"/>
        </w:rPr>
        <w:t>%</w:t>
      </w:r>
      <w:r>
        <w:rPr>
          <w:rFonts w:hint="eastAsia" w:eastAsia="仿宋_GB2312"/>
          <w:color w:val="000000"/>
          <w:sz w:val="32"/>
          <w:szCs w:val="32"/>
        </w:rPr>
        <w:t>，其中：授予小微企业合同金额0万元，占政府采购支出总额的0</w:t>
      </w:r>
      <w:r>
        <w:rPr>
          <w:rFonts w:eastAsia="仿宋_GB2312"/>
          <w:color w:val="000000"/>
          <w:sz w:val="32"/>
          <w:szCs w:val="32"/>
        </w:rPr>
        <w:t>%</w:t>
      </w:r>
      <w:r>
        <w:rPr>
          <w:rFonts w:hint="eastAsia" w:eastAsia="仿宋_GB2312"/>
          <w:color w:val="000000"/>
          <w:sz w:val="32"/>
          <w:szCs w:val="32"/>
        </w:rPr>
        <w:t>。</w:t>
      </w:r>
    </w:p>
    <w:p>
      <w:pPr>
        <w:spacing w:line="600" w:lineRule="exact"/>
        <w:ind w:firstLine="643" w:firstLineChars="200"/>
        <w:rPr>
          <w:rFonts w:eastAsia="仿宋"/>
          <w:b/>
          <w:color w:val="FF0000"/>
          <w:sz w:val="32"/>
          <w:szCs w:val="32"/>
        </w:rPr>
      </w:pPr>
      <w:r>
        <w:rPr>
          <w:rFonts w:hint="eastAsia" w:eastAsia="仿宋"/>
          <w:b/>
          <w:color w:val="FF0000"/>
          <w:sz w:val="32"/>
          <w:szCs w:val="32"/>
        </w:rPr>
        <w:t>（注：数据来源于财决附</w:t>
      </w:r>
      <w:r>
        <w:rPr>
          <w:rFonts w:eastAsia="仿宋"/>
          <w:b/>
          <w:color w:val="FF0000"/>
          <w:sz w:val="32"/>
          <w:szCs w:val="32"/>
        </w:rPr>
        <w:t>03</w:t>
      </w:r>
      <w:r>
        <w:rPr>
          <w:rFonts w:hint="eastAsia" w:eastAsia="仿宋"/>
          <w:b/>
          <w:color w:val="FF0000"/>
          <w:sz w:val="32"/>
          <w:szCs w:val="32"/>
        </w:rPr>
        <w:t>表）</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4" w:name="_Toc15377224"/>
      <w:r>
        <w:rPr>
          <w:rFonts w:hint="eastAsia"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eastAsia="仿宋"/>
          <w:b/>
          <w:color w:val="FF0000"/>
          <w:sz w:val="32"/>
          <w:szCs w:val="32"/>
        </w:rPr>
      </w:pPr>
      <w:r>
        <w:rPr>
          <w:rFonts w:hint="eastAsia" w:eastAsia="仿宋_GB2312"/>
          <w:color w:val="000000"/>
          <w:sz w:val="32"/>
          <w:szCs w:val="32"/>
        </w:rPr>
        <w:t>截至</w:t>
      </w:r>
      <w:r>
        <w:rPr>
          <w:rFonts w:eastAsia="仿宋_GB2312"/>
          <w:color w:val="000000"/>
          <w:sz w:val="32"/>
          <w:szCs w:val="32"/>
        </w:rPr>
        <w:t>2019</w:t>
      </w:r>
      <w:r>
        <w:rPr>
          <w:rFonts w:hint="eastAsia" w:eastAsia="仿宋_GB2312"/>
          <w:color w:val="000000"/>
          <w:sz w:val="32"/>
          <w:szCs w:val="32"/>
        </w:rPr>
        <w:t>年</w:t>
      </w:r>
      <w:r>
        <w:rPr>
          <w:rFonts w:eastAsia="仿宋_GB2312"/>
          <w:color w:val="000000"/>
          <w:sz w:val="32"/>
          <w:szCs w:val="32"/>
        </w:rPr>
        <w:t>12</w:t>
      </w:r>
      <w:r>
        <w:rPr>
          <w:rFonts w:hint="eastAsia" w:eastAsia="仿宋_GB2312"/>
          <w:color w:val="000000"/>
          <w:sz w:val="32"/>
          <w:szCs w:val="32"/>
        </w:rPr>
        <w:t>月</w:t>
      </w:r>
      <w:r>
        <w:rPr>
          <w:rFonts w:eastAsia="仿宋_GB2312"/>
          <w:color w:val="000000"/>
          <w:sz w:val="32"/>
          <w:szCs w:val="32"/>
        </w:rPr>
        <w:t>31</w:t>
      </w:r>
      <w:r>
        <w:rPr>
          <w:rFonts w:hint="eastAsia" w:eastAsia="仿宋_GB2312"/>
          <w:color w:val="000000"/>
          <w:sz w:val="32"/>
          <w:szCs w:val="32"/>
        </w:rPr>
        <w:t>日，</w:t>
      </w:r>
      <w:r>
        <w:rPr>
          <w:rFonts w:eastAsia="仿宋_GB2312"/>
          <w:color w:val="000000"/>
          <w:sz w:val="32"/>
          <w:szCs w:val="32"/>
        </w:rPr>
        <w:t>***</w:t>
      </w:r>
      <w:r>
        <w:rPr>
          <w:rFonts w:hint="eastAsia" w:eastAsia="仿宋_GB2312"/>
          <w:color w:val="000000"/>
          <w:sz w:val="32"/>
          <w:szCs w:val="32"/>
        </w:rPr>
        <w:t>共有车辆0辆，其中：主要领导干部用车0辆、机要通信用车0辆、应急保障用车0辆、其他用车0辆……</w:t>
      </w:r>
      <w:r>
        <w:rPr>
          <w:rFonts w:hint="eastAsia" w:eastAsia="仿宋_GB2312"/>
          <w:color w:val="000000" w:themeColor="text1"/>
          <w:sz w:val="32"/>
          <w:szCs w:val="32"/>
        </w:rPr>
        <w:t>其他用车主要是用于……单价</w:t>
      </w:r>
      <w:r>
        <w:rPr>
          <w:rFonts w:eastAsia="仿宋_GB2312"/>
          <w:color w:val="000000" w:themeColor="text1"/>
          <w:sz w:val="32"/>
          <w:szCs w:val="32"/>
        </w:rPr>
        <w:t>50</w:t>
      </w:r>
      <w:r>
        <w:rPr>
          <w:rFonts w:hint="eastAsia" w:eastAsia="仿宋_GB2312"/>
          <w:color w:val="000000" w:themeColor="text1"/>
          <w:sz w:val="32"/>
          <w:szCs w:val="32"/>
        </w:rPr>
        <w:t>万元以上通用设备0台（套），单价</w:t>
      </w:r>
      <w:r>
        <w:rPr>
          <w:rFonts w:eastAsia="仿宋_GB2312"/>
          <w:color w:val="000000" w:themeColor="text1"/>
          <w:sz w:val="32"/>
          <w:szCs w:val="32"/>
        </w:rPr>
        <w:t>100</w:t>
      </w:r>
      <w:r>
        <w:rPr>
          <w:rFonts w:hint="eastAsia" w:eastAsia="仿宋_GB2312"/>
          <w:color w:val="000000"/>
          <w:sz w:val="32"/>
          <w:szCs w:val="32"/>
        </w:rPr>
        <w:t>万元以上专用设备0台（套）。</w:t>
      </w:r>
      <w:r>
        <w:rPr>
          <w:rFonts w:hint="eastAsia" w:eastAsia="仿宋"/>
          <w:b/>
          <w:color w:val="FF0000"/>
          <w:sz w:val="32"/>
          <w:szCs w:val="32"/>
        </w:rPr>
        <w:t>（注：数据来源财决附</w:t>
      </w:r>
      <w:r>
        <w:rPr>
          <w:rFonts w:eastAsia="仿宋"/>
          <w:b/>
          <w:color w:val="FF0000"/>
          <w:sz w:val="32"/>
          <w:szCs w:val="32"/>
        </w:rPr>
        <w:t>03</w:t>
      </w:r>
      <w:r>
        <w:rPr>
          <w:rFonts w:hint="eastAsia"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hint="eastAsia" w:eastAsia="仿宋"/>
          <w:b/>
          <w:color w:val="000000"/>
          <w:sz w:val="32"/>
          <w:szCs w:val="32"/>
        </w:rPr>
        <w:t>（四）预算绩效管理情况。</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组织对</w:t>
      </w:r>
      <w:r>
        <w:rPr>
          <w:rFonts w:hint="eastAsia" w:ascii="仿宋_GB2312" w:hAnsi="仿宋_GB2312" w:eastAsia="仿宋_GB2312" w:cs="仿宋_GB2312"/>
          <w:sz w:val="32"/>
          <w:szCs w:val="32"/>
          <w:lang w:eastAsia="zh-CN"/>
        </w:rPr>
        <w:t>“助征员费用”、“业务运行费”、“省管森工企业离退休人员社会化管理工作经费”、“社会保险基金预决算管理”和</w:t>
      </w:r>
      <w:r>
        <w:rPr>
          <w:rFonts w:hint="eastAsia" w:eastAsia="仿宋_GB2312"/>
          <w:sz w:val="32"/>
          <w:szCs w:val="32"/>
        </w:rPr>
        <w:t>“</w:t>
      </w:r>
      <w:r>
        <w:rPr>
          <w:rFonts w:hint="eastAsia" w:eastAsia="仿宋_GB2312"/>
          <w:sz w:val="32"/>
          <w:szCs w:val="32"/>
          <w:lang w:eastAsia="zh-CN"/>
        </w:rPr>
        <w:t>养老保险基金征缴及经办管理</w:t>
      </w:r>
      <w:r>
        <w:rPr>
          <w:rFonts w:hint="eastAsia" w:eastAsia="仿宋_GB2312"/>
          <w:sz w:val="32"/>
          <w:szCs w:val="32"/>
        </w:rPr>
        <w:t>”</w:t>
      </w:r>
      <w:r>
        <w:rPr>
          <w:rFonts w:hint="eastAsia" w:eastAsia="仿宋_GB2312"/>
          <w:sz w:val="32"/>
          <w:szCs w:val="32"/>
          <w:lang w:val="en-US" w:eastAsia="zh-CN"/>
        </w:rPr>
        <w:t>5个</w:t>
      </w:r>
      <w:r>
        <w:rPr>
          <w:rFonts w:hint="eastAsia" w:ascii="Times New Roman" w:hAnsi="Times New Roman" w:eastAsia="仿宋_GB2312" w:cs="Times New Roman"/>
          <w:sz w:val="32"/>
          <w:szCs w:val="32"/>
        </w:rPr>
        <w:t>项目开展了预算事前绩效评估，对</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个项目编制了绩效目标，预算执行过程中，选取</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个项目开展绩效监控，年终执行完毕后，对</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个项目开展了绩效目标完成情况自评。</w:t>
      </w:r>
    </w:p>
    <w:p>
      <w:pPr>
        <w:widowControl/>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本部门按要求对</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年部门整体支出开展绩效自评，从评价情况来看</w:t>
      </w:r>
      <w:r>
        <w:rPr>
          <w:rFonts w:hint="eastAsia" w:eastAsia="仿宋_GB2312" w:cs="Times New Roman"/>
          <w:sz w:val="32"/>
          <w:szCs w:val="32"/>
          <w:lang w:eastAsia="zh-CN"/>
        </w:rPr>
        <w:t>我中心</w:t>
      </w:r>
      <w:r>
        <w:rPr>
          <w:rFonts w:hint="eastAsia" w:ascii="仿宋_GB2312" w:hAnsi="Calibri" w:eastAsia="仿宋_GB2312"/>
          <w:sz w:val="32"/>
          <w:szCs w:val="32"/>
        </w:rPr>
        <w:t>继续确保</w:t>
      </w:r>
      <w:r>
        <w:rPr>
          <w:rFonts w:hint="eastAsia" w:ascii="仿宋_GB2312" w:eastAsia="仿宋_GB2312"/>
          <w:sz w:val="32"/>
          <w:szCs w:val="32"/>
        </w:rPr>
        <w:t>各项社会保险待遇的按时足额发放和支付</w:t>
      </w:r>
      <w:r>
        <w:rPr>
          <w:rFonts w:hint="eastAsia" w:ascii="仿宋_GB2312" w:hAnsi="Calibri" w:eastAsia="仿宋_GB2312"/>
          <w:sz w:val="32"/>
          <w:szCs w:val="32"/>
          <w:lang w:eastAsia="zh-CN"/>
        </w:rPr>
        <w:t>，</w:t>
      </w:r>
      <w:r>
        <w:rPr>
          <w:rFonts w:hint="eastAsia" w:ascii="仿宋_GB2312" w:hAnsi="Calibri" w:eastAsia="仿宋_GB2312"/>
          <w:sz w:val="32"/>
          <w:szCs w:val="32"/>
        </w:rPr>
        <w:t>调整增加退休人员基本养老金。</w:t>
      </w:r>
      <w:r>
        <w:rPr>
          <w:rFonts w:hint="eastAsia" w:ascii="仿宋_GB2312" w:eastAsia="仿宋_GB2312"/>
          <w:sz w:val="32"/>
          <w:szCs w:val="32"/>
        </w:rPr>
        <w:t>全面完成年初预算绩效目标及省级下达的目标任务。</w:t>
      </w:r>
      <w:r>
        <w:rPr>
          <w:rFonts w:hint="eastAsia" w:ascii="Times New Roman" w:hAnsi="Times New Roman" w:eastAsia="仿宋_GB2312" w:cs="Times New Roman"/>
          <w:sz w:val="32"/>
          <w:szCs w:val="32"/>
        </w:rPr>
        <w:t>（简要说明整体绩效情况）。本部门还自行组织了</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个项目支出绩效评价，从评价情况来看</w:t>
      </w:r>
      <w:r>
        <w:rPr>
          <w:rFonts w:hint="eastAsia" w:eastAsia="仿宋_GB2312" w:cs="Times New Roman"/>
          <w:sz w:val="32"/>
          <w:szCs w:val="32"/>
          <w:lang w:eastAsia="zh-CN"/>
        </w:rPr>
        <w:t>我中心</w:t>
      </w:r>
      <w:r>
        <w:rPr>
          <w:rFonts w:hint="eastAsia" w:ascii="仿宋_GB2312" w:hAnsi="仿宋_GB2312" w:eastAsia="仿宋_GB2312" w:cs="仿宋_GB2312"/>
          <w:sz w:val="32"/>
          <w:szCs w:val="32"/>
          <w:lang w:eastAsia="zh-CN"/>
        </w:rPr>
        <w:t>全面完成年初预算绩效目标，</w:t>
      </w:r>
      <w:r>
        <w:rPr>
          <w:rFonts w:hint="eastAsia" w:ascii="仿宋_GB2312" w:eastAsia="仿宋_GB2312"/>
          <w:color w:val="auto"/>
          <w:sz w:val="32"/>
          <w:szCs w:val="32"/>
        </w:rPr>
        <w:t>公众满意度达到满意</w:t>
      </w:r>
      <w:r>
        <w:rPr>
          <w:rFonts w:hint="eastAsia" w:ascii="仿宋_GB2312" w:eastAsia="仿宋_GB2312"/>
          <w:color w:val="auto"/>
          <w:sz w:val="32"/>
          <w:szCs w:val="32"/>
          <w:lang w:eastAsia="zh-CN"/>
        </w:rPr>
        <w:t>。</w:t>
      </w:r>
      <w:r>
        <w:rPr>
          <w:rFonts w:hint="eastAsia" w:ascii="Times New Roman" w:hAnsi="Times New Roman" w:eastAsia="仿宋_GB2312" w:cs="Times New Roman"/>
          <w:sz w:val="32"/>
          <w:szCs w:val="32"/>
        </w:rPr>
        <w:t>（简要说明项目绩效情况；若未开展项目支出绩效评价，则说明未开展情况。如：本部门无专项预算项目，因此未组织开展项目支出绩效评价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本部门未组织开展项目支出绩效评价）。</w:t>
      </w:r>
    </w:p>
    <w:p>
      <w:pPr>
        <w:widowControl/>
        <w:numPr>
          <w:ilvl w:val="0"/>
          <w:numId w:val="4"/>
        </w:numPr>
        <w:spacing w:line="600" w:lineRule="exact"/>
        <w:ind w:firstLine="640" w:firstLineChars="200"/>
        <w:rPr>
          <w:rFonts w:hint="eastAsia" w:eastAsia="楷体_GB2312"/>
          <w:sz w:val="32"/>
          <w:szCs w:val="32"/>
        </w:rPr>
      </w:pPr>
      <w:r>
        <w:rPr>
          <w:rFonts w:hint="eastAsia" w:eastAsia="楷体_GB2312"/>
          <w:sz w:val="32"/>
          <w:szCs w:val="32"/>
        </w:rPr>
        <w:t>项目绩效目标完成情况。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本部门在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年度部门决算中反映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助征员费用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业务运行费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、“省管森工企业离退休人员社会化管理工作经费”、“社会保险基金预决算管理”和</w:t>
      </w:r>
      <w:r>
        <w:rPr>
          <w:rFonts w:hint="eastAsia" w:eastAsia="仿宋_GB2312"/>
          <w:sz w:val="32"/>
          <w:szCs w:val="32"/>
        </w:rPr>
        <w:t>“</w:t>
      </w:r>
      <w:r>
        <w:rPr>
          <w:rFonts w:hint="eastAsia" w:eastAsia="仿宋_GB2312"/>
          <w:sz w:val="32"/>
          <w:szCs w:val="32"/>
          <w:lang w:eastAsia="zh-CN"/>
        </w:rPr>
        <w:t>养老保险基金征缴及经办管理</w:t>
      </w:r>
      <w:r>
        <w:rPr>
          <w:rFonts w:hint="eastAsia" w:eastAsia="仿宋_GB2312"/>
          <w:sz w:val="32"/>
          <w:szCs w:val="32"/>
        </w:rPr>
        <w:t>”</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个项目绩效目标实际完成情况。（本单位部门项目绩效目标个数在</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个以上的，选取</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个项目进行公开，目标个数在</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个以下的，全部进行公开，公开内容包括选取的全部项目完成情况综述和完成情况表）。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助征员费用</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与民政、扶贫部门数据交换和比对，将符合参保条件的困难人员纳入城乡居民养老保险参保范围。</w:t>
      </w:r>
      <w:r>
        <w:rPr>
          <w:rFonts w:hint="eastAsia" w:ascii="仿宋_GB2312" w:hAnsi="仿宋_GB2312" w:eastAsia="仿宋_GB2312" w:cs="仿宋_GB2312"/>
          <w:sz w:val="32"/>
          <w:szCs w:val="32"/>
          <w:lang w:eastAsia="zh-CN"/>
        </w:rPr>
        <w:t>完成各项</w:t>
      </w:r>
      <w:r>
        <w:rPr>
          <w:rFonts w:hint="eastAsia" w:ascii="仿宋_GB2312" w:eastAsia="仿宋_GB2312"/>
          <w:color w:val="auto"/>
          <w:sz w:val="32"/>
          <w:szCs w:val="32"/>
        </w:rPr>
        <w:t>社会保险征缴任务</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Calibri" w:eastAsia="仿宋_GB2312"/>
          <w:sz w:val="32"/>
          <w:szCs w:val="32"/>
        </w:rPr>
        <w:t>绩效目标中指标设定</w:t>
      </w:r>
      <w:r>
        <w:rPr>
          <w:rFonts w:hint="eastAsia" w:ascii="仿宋_GB2312" w:hAnsi="Calibri" w:eastAsia="仿宋_GB2312"/>
          <w:sz w:val="32"/>
          <w:szCs w:val="32"/>
          <w:lang w:eastAsia="zh-CN"/>
        </w:rPr>
        <w:t>不够精细化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进一步明确绩效指标，</w:t>
      </w:r>
      <w:r>
        <w:rPr>
          <w:rFonts w:hint="eastAsia" w:ascii="仿宋_GB2312" w:hAnsi="Calibri" w:eastAsia="仿宋_GB2312"/>
          <w:sz w:val="32"/>
          <w:szCs w:val="32"/>
        </w:rPr>
        <w:t>强化日常监管，确保资金使用效益。</w:t>
      </w:r>
    </w:p>
    <w:p>
      <w:pPr>
        <w:spacing w:line="580" w:lineRule="exact"/>
        <w:ind w:firstLine="640" w:firstLineChars="200"/>
        <w:rPr>
          <w:rFonts w:hint="eastAsia" w:ascii="仿宋_GB2312" w:hAnsi="Calibri" w:eastAsia="仿宋_GB2312"/>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业务运行费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eastAsia="仿宋_GB2312"/>
          <w:color w:val="auto"/>
          <w:sz w:val="32"/>
          <w:szCs w:val="32"/>
          <w:lang w:val="en-US" w:eastAsia="zh-CN"/>
        </w:rPr>
        <w:t>全市基本养老金按时足额发放，及时支付各项社会保险待遇。</w:t>
      </w:r>
      <w:r>
        <w:rPr>
          <w:rFonts w:hint="eastAsia" w:ascii="仿宋_GB2312" w:hAnsi="仿宋_GB2312" w:eastAsia="仿宋_GB2312" w:cs="仿宋_GB2312"/>
          <w:sz w:val="32"/>
          <w:szCs w:val="32"/>
        </w:rPr>
        <w:t>发现的主要问题：</w:t>
      </w:r>
      <w:r>
        <w:rPr>
          <w:rFonts w:hint="eastAsia" w:ascii="仿宋_GB2312" w:hAnsi="Calibri" w:eastAsia="仿宋_GB2312"/>
          <w:sz w:val="32"/>
          <w:szCs w:val="32"/>
        </w:rPr>
        <w:t>绩效目标中指标设定</w:t>
      </w:r>
      <w:r>
        <w:rPr>
          <w:rFonts w:hint="eastAsia" w:ascii="仿宋_GB2312" w:hAnsi="Calibri" w:eastAsia="仿宋_GB2312"/>
          <w:sz w:val="32"/>
          <w:szCs w:val="32"/>
          <w:lang w:eastAsia="zh-CN"/>
        </w:rPr>
        <w:t>不够精细化。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进一步明确绩效指标，</w:t>
      </w:r>
      <w:r>
        <w:rPr>
          <w:rFonts w:hint="eastAsia" w:ascii="仿宋_GB2312" w:hAnsi="Calibri" w:eastAsia="仿宋_GB2312"/>
          <w:sz w:val="32"/>
          <w:szCs w:val="32"/>
        </w:rPr>
        <w:t>强化日常监管，确保资金使用效益。</w:t>
      </w:r>
    </w:p>
    <w:p>
      <w:pPr>
        <w:spacing w:line="58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省管森工企业离退休人员社会化管理工作经费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7.69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7.69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%。通过项目实施，确保社保经办机构代管的30423名省管森工企业离退休人员基本养老金按时足额发放，提升省管森工企业离退休人员社会化管理服务水平。</w:t>
      </w:r>
      <w:r>
        <w:rPr>
          <w:rFonts w:hint="eastAsia" w:eastAsia="仿宋_GB2312"/>
          <w:sz w:val="32"/>
          <w:szCs w:val="32"/>
        </w:rPr>
        <w:t>未发现的问题。</w:t>
      </w:r>
    </w:p>
    <w:p>
      <w:pPr>
        <w:spacing w:line="580" w:lineRule="exact"/>
        <w:ind w:firstLine="640" w:firstLineChars="200"/>
        <w:rPr>
          <w:rFonts w:hint="eastAsia" w:ascii="仿宋_GB2312" w:hAnsi="Calibri" w:eastAsia="仿宋_GB2312"/>
          <w:sz w:val="32"/>
          <w:szCs w:val="32"/>
        </w:rPr>
      </w:pPr>
      <w:r>
        <w:rPr>
          <w:rFonts w:hint="eastAsia" w:ascii="Times New Roman" w:hAnsi="Times New Roman" w:eastAsia="仿宋_GB2312" w:cs="Times New Roman"/>
          <w:sz w:val="32"/>
          <w:szCs w:val="32"/>
        </w:rPr>
        <w:t>（</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社会保险基金预决算管理</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%。通过项目实施，强化社会保险基金预决算管理工作，完善社保基金预决算管理办法，圆满完成2019年社保基金决算和2020年社保基金预算编制工作</w:t>
      </w:r>
      <w:r>
        <w:rPr>
          <w:rFonts w:hint="eastAsia" w:ascii="仿宋_GB2312" w:hAnsi="Calibri" w:eastAsia="仿宋_GB2312"/>
          <w:sz w:val="32"/>
          <w:szCs w:val="32"/>
        </w:rPr>
        <w:t>。</w:t>
      </w:r>
      <w:r>
        <w:rPr>
          <w:rFonts w:hint="eastAsia" w:eastAsia="仿宋_GB2312"/>
          <w:sz w:val="32"/>
          <w:szCs w:val="32"/>
        </w:rPr>
        <w:t>未发现的问题。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rPr>
        <w:t>（</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w:t>
      </w:r>
      <w:r>
        <w:rPr>
          <w:rFonts w:hint="eastAsia" w:eastAsia="仿宋_GB2312"/>
          <w:sz w:val="32"/>
          <w:szCs w:val="32"/>
          <w:lang w:eastAsia="zh-CN"/>
        </w:rPr>
        <w:t>养老保险基金征缴及经办管理</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%。通过项目实施，确保企业职工基本养老保险参保覆盖人数持续增长</w:t>
      </w:r>
      <w:r>
        <w:rPr>
          <w:rFonts w:hint="eastAsia" w:ascii="仿宋_GB2312" w:hAnsi="仿宋_GB2312" w:eastAsia="仿宋_GB2312" w:cs="仿宋_GB2312"/>
          <w:sz w:val="32"/>
          <w:szCs w:val="32"/>
          <w:lang w:eastAsia="zh-CN"/>
        </w:rPr>
        <w:t>，会同有关部门共同对用人单位未依法为职工参保或未按时足额缴费等涉费违法行为，依照有关规定开展联合检查，努力实现应参尽参，应保尽保。</w:t>
      </w:r>
      <w:r>
        <w:rPr>
          <w:rFonts w:hint="eastAsia" w:eastAsia="仿宋_GB2312"/>
          <w:sz w:val="32"/>
          <w:szCs w:val="32"/>
        </w:rPr>
        <w:t>未发现的问题。</w:t>
      </w: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cs="Times New Roman"/>
                <w:color w:val="000000"/>
                <w:sz w:val="36"/>
                <w:szCs w:val="36"/>
              </w:rPr>
            </w:pPr>
            <w:r>
              <w:rPr>
                <w:rFonts w:hint="eastAsia" w:ascii="Times New Roman" w:hAnsi="Times New Roman" w:cs="Times New Roman"/>
                <w:b/>
                <w:bCs/>
                <w:color w:val="000000"/>
                <w:kern w:val="0"/>
                <w:sz w:val="36"/>
                <w:szCs w:val="36"/>
              </w:rPr>
              <w:t>项目绩效目标完成情况表</w:t>
            </w:r>
            <w:r>
              <w:rPr>
                <w:rFonts w:ascii="Times New Roman" w:hAnsi="Times New Roman" w:cs="Times New Roman"/>
                <w:b/>
                <w:bCs/>
                <w:color w:val="000000"/>
                <w:kern w:val="0"/>
                <w:sz w:val="36"/>
                <w:szCs w:val="36"/>
              </w:rPr>
              <w:br w:type="textWrapping"/>
            </w:r>
            <w:r>
              <w:rPr>
                <w:rFonts w:ascii="Times New Roman" w:hAnsi="Times New Roman" w:cs="Times New Roman"/>
                <w:color w:val="000000"/>
                <w:kern w:val="0"/>
                <w:sz w:val="36"/>
                <w:szCs w:val="36"/>
              </w:rPr>
              <w:t xml:space="preserve">(2019 </w:t>
            </w:r>
            <w:r>
              <w:rPr>
                <w:rFonts w:hint="eastAsia" w:ascii="Times New Roman" w:hAnsi="Times New Roman" w:cs="Times New Roman"/>
                <w:color w:val="000000"/>
                <w:kern w:val="0"/>
                <w:sz w:val="36"/>
                <w:szCs w:val="36"/>
              </w:rPr>
              <w:t>年度</w:t>
            </w:r>
            <w:r>
              <w:rPr>
                <w:rFonts w:ascii="Times New Roman" w:hAnsi="Times New Roman" w:cs="Times New Roman"/>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业务运行费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攀枝花市社会保险事务中心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预算执行情况</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万元</w:t>
            </w:r>
            <w:r>
              <w:rPr>
                <w:rFonts w:ascii="Times New Roman" w:hAnsi="Times New Roman" w:cs="Times New Roman"/>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执行数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认真贯彻党的十九大，十九届二中、三中全会精神，按照省、市人力资源社会保障工作会议要求和市委决策部署，以“一号工程”为统揽，“头等大事”为支撑，“最多跑一次”为目标，扎实推进各项社会保险经办服务管理工作。确保全市基本养老金按时足额发放，及时支付各项社会保险待遇，维护参保人员合法权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扎实推进各项社会保险经办服务管理工作。确保全市基本养老金按时足额发放，及时支付各项社会保险待遇，维护参保人员合法权益。</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确保全市基本养老金按时足额发放，及时支付各项社会保险待遇，维护参保人员合法权益。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确保全市基本养老金按时足额发放，及时支付各项社会保险待遇，维护参保人员合法权益。</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全面推进机关事业单位养老保险制度改革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完成“中人”待遇计发、补发及关系转移接续等2014年9月以来积累的问题，确保机关事业单位养老保险制度的正常运行。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完成“中人”待遇计发、补发及关系转移接续等2014年9月以来积累的问题，确保机关事业单位养老保险制度的正常运行。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监督、核查用人单位参保缴费情况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及时准确移交社会保险费征缴职能，配合税务机关确保各项社会保险费的征收。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及时准确移交社会保险费征缴职能，配合税务机关确保各项社会保险费的征收。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扎实推进各项社会保险经办服务管理工作，确保全市基本养老金按时足额发放，及时支付各项社会保险待遇，维护参保人员合法权益。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扎实推进各项社会保险经办服务管理工作，确保全市基本养老金按时足额发放，及时支付各项社会保险待遇，维护参保人员合法权益。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业务运行所需的各项支出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业务运行所需的各项支出，如：印刷费、维护费、邮电费、宣传费、培训费、会议费、办公费16万元。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业务运行所需的各项支出，如：印刷费、维护费、邮电费、宣传费、培训费、会议费、办公费16万元。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确保全市基本养老金按时足额发放，及时支付各项社会保险待遇，维护参保人员合法权益。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确保全市基本养老金按时足额发放，及时支付各项社会保险待遇，维护参保人员合法权益。</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退休人员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满意度≧90%</w:t>
            </w:r>
          </w:p>
        </w:tc>
      </w:tr>
    </w:tbl>
    <w:p>
      <w:pPr>
        <w:spacing w:line="580" w:lineRule="exact"/>
        <w:ind w:left="630"/>
        <w:rPr>
          <w:rFonts w:ascii="Times New Roman" w:hAnsi="Times New Roman" w:eastAsia="仿宋_GB2312" w:cs="Times New Roman"/>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cs="Times New Roman"/>
                <w:color w:val="000000"/>
                <w:sz w:val="36"/>
                <w:szCs w:val="36"/>
              </w:rPr>
            </w:pPr>
            <w:r>
              <w:rPr>
                <w:rFonts w:hint="eastAsia" w:ascii="Times New Roman" w:hAnsi="Times New Roman" w:cs="Times New Roman"/>
                <w:b/>
                <w:bCs/>
                <w:color w:val="000000"/>
                <w:kern w:val="0"/>
                <w:sz w:val="36"/>
                <w:szCs w:val="36"/>
              </w:rPr>
              <w:t>项目绩效目标完成情况表</w:t>
            </w:r>
            <w:r>
              <w:rPr>
                <w:rFonts w:ascii="Times New Roman" w:hAnsi="Times New Roman" w:cs="Times New Roman"/>
                <w:b/>
                <w:bCs/>
                <w:color w:val="000000"/>
                <w:kern w:val="0"/>
                <w:sz w:val="36"/>
                <w:szCs w:val="36"/>
              </w:rPr>
              <w:br w:type="textWrapping"/>
            </w:r>
            <w:r>
              <w:rPr>
                <w:rFonts w:ascii="Times New Roman" w:hAnsi="Times New Roman" w:cs="Times New Roman"/>
                <w:color w:val="000000"/>
                <w:kern w:val="0"/>
                <w:sz w:val="36"/>
                <w:szCs w:val="36"/>
              </w:rPr>
              <w:t xml:space="preserve">(2019 </w:t>
            </w:r>
            <w:r>
              <w:rPr>
                <w:rFonts w:hint="eastAsia" w:ascii="Times New Roman" w:hAnsi="Times New Roman" w:cs="Times New Roman"/>
                <w:color w:val="000000"/>
                <w:kern w:val="0"/>
                <w:sz w:val="36"/>
                <w:szCs w:val="36"/>
              </w:rPr>
              <w:t>年度</w:t>
            </w:r>
            <w:r>
              <w:rPr>
                <w:rFonts w:ascii="Times New Roman" w:hAnsi="Times New Roman" w:cs="Times New Roman"/>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助征员费</w:t>
            </w:r>
            <w:r>
              <w:rPr>
                <w:rFonts w:hint="eastAsia" w:ascii="宋体" w:hAnsi="宋体" w:cs="宋体"/>
                <w:i w:val="0"/>
                <w:color w:val="000000"/>
                <w:kern w:val="0"/>
                <w:sz w:val="20"/>
                <w:szCs w:val="20"/>
                <w:u w:val="none"/>
                <w:lang w:val="en-US" w:eastAsia="zh-CN" w:bidi="ar"/>
              </w:rPr>
              <w:t>用</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攀枝花市社会保险事务中心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预算执行情况</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万元</w:t>
            </w:r>
            <w:r>
              <w:rPr>
                <w:rFonts w:ascii="Times New Roman" w:hAnsi="Times New Roman" w:cs="Times New Roman"/>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执行数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40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40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40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强与民政、扶贫部门数据交换和比对，将符合参保条件的困难人员纳入城乡居民养老保险参保范围，以确保我市创建全国文明城市和市委全面深化改革工作既定目标的实现。以“综合柜员制”全面正常运行为契机，通过建立多样化的服务体系建设，全面实现社会保险业务“最多跑一次”。与税务机关共同对用人单位未依法为职工参保或未按时足额缴费等涉费违法行为，依照有关规定开展联合检查。</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确保企业职工基本养老保险参保覆盖人数持续增长</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完成各项社会保险征缴任务</w:t>
            </w:r>
            <w:r>
              <w:rPr>
                <w:rFonts w:hint="eastAsia" w:ascii="宋体" w:hAnsi="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继续加大实施全民参保计划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加强与民政、扶贫部门数据交换和比对，将符合参保条件的困难人员纳入城乡居民养老保险参保范围。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加强与民政、扶贫部门数据交换和比对，将符合参保条件的困难人员纳入城乡居民养老保险参保范围。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“综合柜员制”全面正常运行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以“综合柜员制”全面正常运行为契机，通过建立多样化的服务体系建设，全面实现社会保险业务“最多跑一次”。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以“综合柜员制”全面正常运行为契机，通过建立多样化的服务体系建设，全面实现社会保险业务“最多跑一次”。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监督、核查用人单位参保缴费情况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与税务机关共同对用人单位未依法为职工参保或未按时足额缴费等涉费违法行为，依照有关规定开展联合检查。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与税务机关共同对用人单位未依法为职工参保或未按时足额缴费等涉费违法行为，依照有关规定开展联合检查。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全面实现社会保险业务“最多跑一次”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按照省、市人力资源社会保障工作会议要求和市委决策部署，以“一号工程”为统揽，“头等大事”为支撑，“最多跑一次”为目标，扎实推进各项社会保险经办服务管理工作。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按照省、市人力资源社会保障工作会议要求和市委决策部署，以“一号工程”为统揽，“头等大事”为支撑，“最多跑一次”为目标，扎实推进各项社会保险经办服务管理工作。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聘用人员工资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聘用人员工资、社保缴费及公积金等，全年40万元。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聘用人员工资、社保缴费及公积金等，全年40万元。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全面实现社会保险业务“最多跑一次”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强与民政、扶贫部门数据交换和比对，将符合参保条件的困难人员纳入城乡居民养老保险参保范围。以“综合柜员制”全面正常运行为契机，通过建立多样化的服务体系建设，全面实现社会保险业务“最多跑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强与民政、扶贫部门数据交换和比对，将符合参保条件的困难人员纳入城乡居民养老保险参保范围。以“综合柜员制”全面正常运行为契机，通过建立多样化的服务体系建设，全面实现社会保险业务“最多跑一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参保人员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Times New Roman" w:hAnsi="Times New Roman" w:cs="Times New Roman"/>
                <w:b/>
                <w:bCs/>
                <w:color w:val="000000"/>
                <w:kern w:val="0"/>
                <w:sz w:val="36"/>
                <w:szCs w:val="36"/>
              </w:rPr>
            </w:pPr>
          </w:p>
          <w:p>
            <w:pPr>
              <w:widowControl/>
              <w:jc w:val="center"/>
              <w:textAlignment w:val="center"/>
              <w:rPr>
                <w:rFonts w:ascii="Times New Roman" w:hAnsi="Times New Roman" w:cs="Times New Roman"/>
                <w:color w:val="000000"/>
                <w:sz w:val="36"/>
                <w:szCs w:val="36"/>
              </w:rPr>
            </w:pPr>
            <w:r>
              <w:rPr>
                <w:rFonts w:hint="eastAsia" w:ascii="Times New Roman" w:hAnsi="Times New Roman" w:cs="Times New Roman"/>
                <w:b/>
                <w:bCs/>
                <w:color w:val="000000"/>
                <w:kern w:val="0"/>
                <w:sz w:val="36"/>
                <w:szCs w:val="36"/>
              </w:rPr>
              <w:t>项目绩效目标完成情况表</w:t>
            </w:r>
            <w:r>
              <w:rPr>
                <w:rFonts w:ascii="Times New Roman" w:hAnsi="Times New Roman" w:cs="Times New Roman"/>
                <w:b/>
                <w:bCs/>
                <w:color w:val="000000"/>
                <w:kern w:val="0"/>
                <w:sz w:val="36"/>
                <w:szCs w:val="36"/>
              </w:rPr>
              <w:br w:type="textWrapping"/>
            </w:r>
            <w:r>
              <w:rPr>
                <w:rFonts w:ascii="Times New Roman" w:hAnsi="Times New Roman" w:cs="Times New Roman"/>
                <w:color w:val="000000"/>
                <w:kern w:val="0"/>
                <w:sz w:val="36"/>
                <w:szCs w:val="36"/>
              </w:rPr>
              <w:t xml:space="preserve">(2019 </w:t>
            </w:r>
            <w:r>
              <w:rPr>
                <w:rFonts w:hint="eastAsia" w:ascii="Times New Roman" w:hAnsi="Times New Roman" w:cs="Times New Roman"/>
                <w:color w:val="000000"/>
                <w:kern w:val="0"/>
                <w:sz w:val="36"/>
                <w:szCs w:val="36"/>
              </w:rPr>
              <w:t>年度</w:t>
            </w:r>
            <w:r>
              <w:rPr>
                <w:rFonts w:ascii="Times New Roman" w:hAnsi="Times New Roman" w:cs="Times New Roman"/>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省管森工企业离退休人员社会化管理工作经费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攀枝花市社会保险事务中心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预算执行情况</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万元</w:t>
            </w:r>
            <w:r>
              <w:rPr>
                <w:rFonts w:ascii="Times New Roman" w:hAnsi="Times New Roman" w:cs="Times New Roman"/>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7.69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执行数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7.69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7.69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7.69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w:t>
            </w:r>
            <w:r>
              <w:rPr>
                <w:rFonts w:hint="eastAsia" w:ascii="宋体" w:hAnsi="宋体" w:cs="宋体"/>
                <w:i w:val="0"/>
                <w:color w:val="000000"/>
                <w:kern w:val="0"/>
                <w:sz w:val="20"/>
                <w:szCs w:val="20"/>
                <w:u w:val="none"/>
                <w:lang w:val="en-US" w:eastAsia="zh-CN" w:bidi="ar"/>
              </w:rPr>
              <w:t>全市</w:t>
            </w:r>
            <w:r>
              <w:rPr>
                <w:rFonts w:hint="eastAsia" w:ascii="宋体" w:hAnsi="宋体" w:eastAsia="宋体" w:cs="宋体"/>
                <w:i w:val="0"/>
                <w:color w:val="000000"/>
                <w:kern w:val="0"/>
                <w:sz w:val="20"/>
                <w:szCs w:val="20"/>
                <w:u w:val="none"/>
                <w:lang w:val="en-US" w:eastAsia="zh-CN" w:bidi="ar"/>
              </w:rPr>
              <w:t>社保经办机构代管的30423名省管森工企业离退休人员基本养老金按时足额发放，提升省管森工企业离退休人员社会化管理服务水平。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确保代管的30423名省管森工企业离退休人员基本养老金按时足额发放，提升社会化管理服务水平。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森工企业离退休人员数量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30533人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30533人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基本养老金按时足额发放率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社会化发放率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资金在规定时间内下达率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维护社会稳定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3人以上上访事件少于5件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3人以上上访事件少于5件</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省管森工离退休人员满意度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Times New Roman" w:hAnsi="Times New Roman" w:cs="Times New Roman"/>
                <w:b/>
                <w:bCs/>
                <w:color w:val="000000"/>
                <w:kern w:val="0"/>
                <w:sz w:val="36"/>
                <w:szCs w:val="36"/>
              </w:rPr>
            </w:pPr>
          </w:p>
          <w:p>
            <w:pPr>
              <w:widowControl/>
              <w:jc w:val="center"/>
              <w:textAlignment w:val="center"/>
              <w:rPr>
                <w:rFonts w:ascii="Times New Roman" w:hAnsi="Times New Roman" w:cs="Times New Roman"/>
                <w:color w:val="000000"/>
                <w:sz w:val="36"/>
                <w:szCs w:val="36"/>
              </w:rPr>
            </w:pPr>
            <w:r>
              <w:rPr>
                <w:rFonts w:hint="eastAsia" w:ascii="Times New Roman" w:hAnsi="Times New Roman" w:cs="Times New Roman"/>
                <w:b/>
                <w:bCs/>
                <w:color w:val="000000"/>
                <w:kern w:val="0"/>
                <w:sz w:val="36"/>
                <w:szCs w:val="36"/>
              </w:rPr>
              <w:t>项目绩效目标完成情况表</w:t>
            </w:r>
            <w:r>
              <w:rPr>
                <w:rFonts w:ascii="Times New Roman" w:hAnsi="Times New Roman" w:cs="Times New Roman"/>
                <w:b/>
                <w:bCs/>
                <w:color w:val="000000"/>
                <w:kern w:val="0"/>
                <w:sz w:val="36"/>
                <w:szCs w:val="36"/>
              </w:rPr>
              <w:br w:type="textWrapping"/>
            </w:r>
            <w:r>
              <w:rPr>
                <w:rFonts w:ascii="Times New Roman" w:hAnsi="Times New Roman" w:cs="Times New Roman"/>
                <w:color w:val="000000"/>
                <w:kern w:val="0"/>
                <w:sz w:val="36"/>
                <w:szCs w:val="36"/>
              </w:rPr>
              <w:t xml:space="preserve">(2019 </w:t>
            </w:r>
            <w:r>
              <w:rPr>
                <w:rFonts w:hint="eastAsia" w:ascii="Times New Roman" w:hAnsi="Times New Roman" w:cs="Times New Roman"/>
                <w:color w:val="000000"/>
                <w:kern w:val="0"/>
                <w:sz w:val="36"/>
                <w:szCs w:val="36"/>
              </w:rPr>
              <w:t>年度</w:t>
            </w:r>
            <w:r>
              <w:rPr>
                <w:rFonts w:ascii="Times New Roman" w:hAnsi="Times New Roman" w:cs="Times New Roman"/>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社会保险基金预决算管理</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攀枝花市社会保险事务中心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预算执行情况</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万元</w:t>
            </w:r>
            <w:r>
              <w:rPr>
                <w:rFonts w:ascii="Times New Roman" w:hAnsi="Times New Roman" w:cs="Times New Roman"/>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执行数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强化社会保险基金预决算管理工作，完善社保基金预决算管理办法，圆满完成2019年社保基金决算和2020年社保基金预算编制工作</w:t>
            </w:r>
            <w:r>
              <w:rPr>
                <w:rFonts w:hint="eastAsia" w:ascii="宋体" w:hAnsi="宋体" w:cs="宋体"/>
                <w:i w:val="0"/>
                <w:color w:val="000000"/>
                <w:kern w:val="0"/>
                <w:sz w:val="20"/>
                <w:szCs w:val="20"/>
                <w:u w:val="none"/>
                <w:lang w:val="en-US" w:eastAsia="zh-CN" w:bidi="ar"/>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强化社会保险基金预决算管理工作，完善社保基金预决算管理办法，圆满完成2019年社保基金决算和2020年社保基金预算编制工作</w:t>
            </w:r>
            <w:r>
              <w:rPr>
                <w:rFonts w:hint="eastAsia" w:ascii="宋体" w:hAnsi="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组织职工参加业务培训和政策学习，提高业务经办水平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完成2019年社保基金决算和2020年社保基金预算编制工作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提升社保基金预决算</w:t>
            </w:r>
            <w:r>
              <w:rPr>
                <w:rFonts w:hint="eastAsia" w:ascii="宋体" w:hAnsi="宋体" w:eastAsia="宋体" w:cs="宋体"/>
                <w:i w:val="0"/>
                <w:color w:val="000000"/>
                <w:kern w:val="0"/>
                <w:sz w:val="20"/>
                <w:szCs w:val="20"/>
                <w:u w:val="none"/>
                <w:lang w:val="en-US" w:eastAsia="zh-CN" w:bidi="ar"/>
              </w:rPr>
              <w:t>质量和水平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全面提升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2019年全年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rPr>
            </w:pPr>
            <w:r>
              <w:rPr>
                <w:rFonts w:hint="eastAsia"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完成2019年社保基金决算和2020年社保基金预算编制工作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提升社保基金预决算</w:t>
            </w:r>
            <w:r>
              <w:rPr>
                <w:rFonts w:hint="eastAsia" w:ascii="宋体" w:hAnsi="宋体" w:eastAsia="宋体" w:cs="宋体"/>
                <w:i w:val="0"/>
                <w:color w:val="000000"/>
                <w:kern w:val="0"/>
                <w:sz w:val="20"/>
                <w:szCs w:val="20"/>
                <w:u w:val="none"/>
                <w:lang w:val="en-US" w:eastAsia="zh-CN" w:bidi="ar"/>
              </w:rPr>
              <w:t>质量和水平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全面提升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参保人员满意度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Times New Roman" w:hAnsi="Times New Roman" w:cs="Times New Roman"/>
                <w:b/>
                <w:bCs/>
                <w:color w:val="000000"/>
                <w:kern w:val="0"/>
                <w:sz w:val="36"/>
                <w:szCs w:val="36"/>
              </w:rPr>
            </w:pPr>
          </w:p>
          <w:p>
            <w:pPr>
              <w:widowControl/>
              <w:jc w:val="center"/>
              <w:textAlignment w:val="center"/>
              <w:rPr>
                <w:rFonts w:ascii="Times New Roman" w:hAnsi="Times New Roman" w:cs="Times New Roman"/>
                <w:color w:val="000000"/>
                <w:sz w:val="36"/>
                <w:szCs w:val="36"/>
              </w:rPr>
            </w:pPr>
            <w:r>
              <w:rPr>
                <w:rFonts w:hint="eastAsia" w:ascii="Times New Roman" w:hAnsi="Times New Roman" w:cs="Times New Roman"/>
                <w:b/>
                <w:bCs/>
                <w:color w:val="000000"/>
                <w:kern w:val="0"/>
                <w:sz w:val="36"/>
                <w:szCs w:val="36"/>
              </w:rPr>
              <w:t>项目绩效目标完成情况表</w:t>
            </w:r>
            <w:r>
              <w:rPr>
                <w:rFonts w:ascii="Times New Roman" w:hAnsi="Times New Roman" w:cs="Times New Roman"/>
                <w:b/>
                <w:bCs/>
                <w:color w:val="000000"/>
                <w:kern w:val="0"/>
                <w:sz w:val="36"/>
                <w:szCs w:val="36"/>
              </w:rPr>
              <w:br w:type="textWrapping"/>
            </w:r>
            <w:r>
              <w:rPr>
                <w:rFonts w:ascii="Times New Roman" w:hAnsi="Times New Roman" w:cs="Times New Roman"/>
                <w:color w:val="000000"/>
                <w:kern w:val="0"/>
                <w:sz w:val="36"/>
                <w:szCs w:val="36"/>
              </w:rPr>
              <w:t xml:space="preserve">(2019 </w:t>
            </w:r>
            <w:r>
              <w:rPr>
                <w:rFonts w:hint="eastAsia" w:ascii="Times New Roman" w:hAnsi="Times New Roman" w:cs="Times New Roman"/>
                <w:color w:val="000000"/>
                <w:kern w:val="0"/>
                <w:sz w:val="36"/>
                <w:szCs w:val="36"/>
              </w:rPr>
              <w:t>年度</w:t>
            </w:r>
            <w:r>
              <w:rPr>
                <w:rFonts w:ascii="Times New Roman" w:hAnsi="Times New Roman" w:cs="Times New Roman"/>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养老保险基金征缴及经办管理</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cs="Times New Roman"/>
                <w:color w:val="000000"/>
                <w:sz w:val="24"/>
              </w:rPr>
            </w:pPr>
            <w:r>
              <w:rPr>
                <w:rFonts w:hint="eastAsia" w:ascii="宋体" w:hAnsi="宋体" w:eastAsia="宋体" w:cs="宋体"/>
                <w:i w:val="0"/>
                <w:color w:val="000000"/>
                <w:kern w:val="0"/>
                <w:sz w:val="20"/>
                <w:szCs w:val="20"/>
                <w:u w:val="none"/>
                <w:lang w:val="en-US" w:eastAsia="zh-CN" w:bidi="ar"/>
              </w:rPr>
              <w:t>攀枝花市社会保险事务中心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预算执行情况</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万元</w:t>
            </w:r>
            <w:r>
              <w:rPr>
                <w:rFonts w:ascii="Times New Roman" w:hAnsi="Times New Roman" w:cs="Times New Roman"/>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预算数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执行数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其中</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财政拨款</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其它资金</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确保企业职工基本养老保险参保覆盖人数持续增长</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会同有关部门共同对用人单位未依法为职工参保或未按时足额缴费等涉费违法行为，依照有关规定开展联合检查，努力实现应参尽参，应保尽保。</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确保企业职工基本养老保险参保覆盖人数持续增长</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完成</w:t>
            </w:r>
            <w:r>
              <w:rPr>
                <w:rFonts w:hint="eastAsia" w:ascii="宋体" w:hAnsi="宋体" w:cs="宋体"/>
                <w:i w:val="0"/>
                <w:color w:val="000000"/>
                <w:kern w:val="0"/>
                <w:sz w:val="20"/>
                <w:szCs w:val="20"/>
                <w:u w:val="none"/>
                <w:lang w:val="en-US" w:eastAsia="zh-CN" w:bidi="ar"/>
              </w:rPr>
              <w:t>养老</w:t>
            </w:r>
            <w:r>
              <w:rPr>
                <w:rFonts w:hint="eastAsia" w:ascii="宋体" w:hAnsi="宋体" w:eastAsia="宋体" w:cs="宋体"/>
                <w:i w:val="0"/>
                <w:color w:val="000000"/>
                <w:kern w:val="0"/>
                <w:sz w:val="20"/>
                <w:szCs w:val="20"/>
                <w:u w:val="none"/>
                <w:lang w:val="en-US" w:eastAsia="zh-CN" w:bidi="ar"/>
              </w:rPr>
              <w:t>保险征缴任务</w:t>
            </w:r>
            <w:r>
              <w:rPr>
                <w:rFonts w:hint="eastAsia" w:ascii="宋体" w:hAnsi="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预期指标值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实际完成指标值</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包含数字及文字描述</w:t>
            </w:r>
            <w:r>
              <w:rPr>
                <w:rFonts w:ascii="Times New Roman" w:hAnsi="Times New Roman" w:cs="Times New Roman"/>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街道（乡镇）人社公共服务项目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项</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企业职工基本养老保险参保人数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56万人</w:t>
            </w:r>
            <w:bookmarkStart w:id="73" w:name="_GoBack"/>
            <w:bookmarkEnd w:id="73"/>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kern w:val="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依照有关规定对涉费违法行为开展联合检查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努力实现应参尽参，应保尽保。</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基本实现应参尽参，应保尽保。</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资金在规定时间下达率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各级人力资源社会保障公共服务供给质量和水平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群众获得感、幸福感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不断增强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不断增强</w:t>
            </w:r>
          </w:p>
        </w:tc>
      </w:tr>
      <w:tr>
        <w:tblPrEx>
          <w:tblCellMar>
            <w:top w:w="0" w:type="dxa"/>
            <w:left w:w="0" w:type="dxa"/>
            <w:bottom w:w="0" w:type="dxa"/>
            <w:right w:w="0" w:type="dxa"/>
          </w:tblCellMar>
        </w:tblPrEx>
        <w:trPr>
          <w:trHeight w:val="1297"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cs="Times New Roman"/>
                <w:color w:val="000000"/>
                <w:kern w:val="0"/>
                <w:sz w:val="24"/>
              </w:rPr>
            </w:pPr>
            <w:r>
              <w:rPr>
                <w:rFonts w:hint="eastAsia"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参保人员满意度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r>
    </w:tbl>
    <w:p>
      <w:pPr>
        <w:spacing w:line="580" w:lineRule="exact"/>
        <w:ind w:left="630"/>
        <w:rPr>
          <w:rFonts w:hint="eastAsia" w:ascii="仿宋_GB2312" w:hAnsi="Calibri" w:eastAsia="仿宋_GB2312"/>
          <w:sz w:val="32"/>
          <w:szCs w:val="32"/>
        </w:rPr>
      </w:pPr>
    </w:p>
    <w:p>
      <w:pPr>
        <w:spacing w:line="580" w:lineRule="exact"/>
        <w:ind w:left="630"/>
        <w:rPr>
          <w:rFonts w:eastAsia="仿宋_GB2312"/>
          <w:sz w:val="32"/>
          <w:szCs w:val="32"/>
        </w:rPr>
      </w:pPr>
      <w:r>
        <w:rPr>
          <w:rFonts w:eastAsia="楷体_GB2312"/>
          <w:sz w:val="32"/>
          <w:szCs w:val="32"/>
        </w:rPr>
        <w:t>2.</w:t>
      </w:r>
      <w:r>
        <w:rPr>
          <w:rFonts w:hint="eastAsia" w:eastAsia="楷体_GB2312"/>
          <w:sz w:val="32"/>
          <w:szCs w:val="32"/>
        </w:rPr>
        <w:t>部门绩效评价结果。</w:t>
      </w:r>
    </w:p>
    <w:p>
      <w:pPr>
        <w:spacing w:line="580" w:lineRule="exact"/>
        <w:ind w:firstLine="640" w:firstLineChars="200"/>
        <w:rPr>
          <w:rFonts w:eastAsia="仿宋_GB2312"/>
          <w:sz w:val="32"/>
          <w:szCs w:val="32"/>
        </w:rPr>
      </w:pPr>
      <w:r>
        <w:rPr>
          <w:rFonts w:hint="eastAsia" w:eastAsia="仿宋_GB2312"/>
          <w:sz w:val="32"/>
          <w:szCs w:val="32"/>
        </w:rPr>
        <w:t>本部门按要求对</w:t>
      </w:r>
      <w:r>
        <w:rPr>
          <w:rFonts w:eastAsia="仿宋_GB2312"/>
          <w:sz w:val="32"/>
          <w:szCs w:val="32"/>
        </w:rPr>
        <w:t>2019</w:t>
      </w:r>
      <w:r>
        <w:rPr>
          <w:rFonts w:hint="eastAsia" w:eastAsia="仿宋_GB2312"/>
          <w:sz w:val="32"/>
          <w:szCs w:val="32"/>
        </w:rPr>
        <w:t>年部门整体支出绩效评价情况开展自评，《</w:t>
      </w:r>
      <w:r>
        <w:rPr>
          <w:rFonts w:hint="eastAsia" w:ascii="仿宋" w:hAnsi="仿宋" w:eastAsia="仿宋"/>
          <w:sz w:val="32"/>
          <w:szCs w:val="32"/>
        </w:rPr>
        <w:t>攀枝花市社会保险事务中心</w:t>
      </w:r>
      <w:r>
        <w:rPr>
          <w:rFonts w:eastAsia="仿宋_GB2312"/>
          <w:sz w:val="32"/>
          <w:szCs w:val="32"/>
        </w:rPr>
        <w:t>2019</w:t>
      </w:r>
      <w:r>
        <w:rPr>
          <w:rFonts w:hint="eastAsia" w:eastAsia="仿宋_GB2312"/>
          <w:sz w:val="32"/>
          <w:szCs w:val="32"/>
        </w:rPr>
        <w:t>年部门整体支出绩效评价报告》见附件（附件</w:t>
      </w:r>
      <w:r>
        <w:rPr>
          <w:rFonts w:eastAsia="仿宋_GB2312"/>
          <w:sz w:val="32"/>
          <w:szCs w:val="32"/>
        </w:rPr>
        <w:t>1</w:t>
      </w:r>
      <w:r>
        <w:rPr>
          <w:rFonts w:hint="eastAsia" w:eastAsia="仿宋_GB2312"/>
          <w:sz w:val="32"/>
          <w:szCs w:val="32"/>
        </w:rPr>
        <w:t>）。</w:t>
      </w:r>
    </w:p>
    <w:p>
      <w:pPr>
        <w:spacing w:line="580" w:lineRule="exact"/>
        <w:ind w:firstLine="640" w:firstLineChars="200"/>
        <w:rPr>
          <w:rFonts w:eastAsia="仿宋_GB2312"/>
          <w:b/>
          <w:color w:val="000000"/>
          <w:sz w:val="32"/>
          <w:szCs w:val="32"/>
        </w:rPr>
      </w:pPr>
      <w:r>
        <w:rPr>
          <w:rFonts w:hint="eastAsia" w:eastAsia="仿宋_GB2312"/>
          <w:sz w:val="32"/>
          <w:szCs w:val="32"/>
        </w:rPr>
        <w:t>本部门自行组织对</w:t>
      </w:r>
      <w:r>
        <w:rPr>
          <w:rFonts w:hint="eastAsia" w:ascii="仿宋_GB2312" w:hAnsi="仿宋_GB2312" w:eastAsia="仿宋_GB2312" w:cs="仿宋_GB2312"/>
          <w:sz w:val="32"/>
          <w:szCs w:val="32"/>
        </w:rPr>
        <w:t>助征员费用项目</w:t>
      </w:r>
      <w:r>
        <w:rPr>
          <w:rFonts w:hint="eastAsia" w:eastAsia="仿宋_GB2312"/>
          <w:sz w:val="32"/>
          <w:szCs w:val="32"/>
        </w:rPr>
        <w:t>、</w:t>
      </w:r>
      <w:r>
        <w:rPr>
          <w:rFonts w:hint="eastAsia" w:ascii="仿宋_GB2312" w:hAnsi="仿宋_GB2312" w:eastAsia="仿宋_GB2312" w:cs="仿宋_GB2312"/>
          <w:sz w:val="32"/>
          <w:szCs w:val="32"/>
        </w:rPr>
        <w:t>业务运行费项</w:t>
      </w:r>
      <w:r>
        <w:rPr>
          <w:rFonts w:hint="eastAsia" w:eastAsia="仿宋_GB2312"/>
          <w:sz w:val="32"/>
          <w:szCs w:val="32"/>
        </w:rPr>
        <w:t>目开展了绩效评价，</w:t>
      </w:r>
      <w:r>
        <w:rPr>
          <w:rFonts w:hint="eastAsia" w:ascii="仿宋_GB2312" w:hAnsi="仿宋_GB2312" w:eastAsia="仿宋_GB2312" w:cs="仿宋_GB2312"/>
          <w:sz w:val="32"/>
          <w:szCs w:val="32"/>
        </w:rPr>
        <w:t>《助征员费用项目2019年绩效评价报告》、《业务运行费项目2019年绩效评价报告》见附件</w:t>
      </w:r>
      <w:r>
        <w:rPr>
          <w:rFonts w:hint="eastAsia" w:eastAsia="仿宋_GB2312"/>
          <w:sz w:val="32"/>
          <w:szCs w:val="32"/>
        </w:rPr>
        <w:t>（附件</w:t>
      </w:r>
      <w:r>
        <w:rPr>
          <w:rFonts w:eastAsia="仿宋_GB2312"/>
          <w:sz w:val="32"/>
          <w:szCs w:val="32"/>
        </w:rPr>
        <w:t>2</w:t>
      </w:r>
      <w:r>
        <w:rPr>
          <w:rFonts w:hint="eastAsia" w:eastAsia="仿宋_GB2312"/>
          <w:sz w:val="32"/>
          <w:szCs w:val="32"/>
        </w:rPr>
        <w:t>）。（非涉密部门均需公开部门整体支出评价报告，部门自行组织的绩效评价情况根据部门实际公开，若未组织项目绩效评价，则只需说明部门整体支出绩效评价情况）</w:t>
      </w:r>
    </w:p>
    <w:p>
      <w:pPr>
        <w:spacing w:line="580" w:lineRule="exact"/>
        <w:ind w:firstLine="643" w:firstLineChars="200"/>
        <w:rPr>
          <w:rFonts w:ascii="仿宋_GB2312" w:hAnsi="仿宋_GB2312" w:eastAsia="仿宋_GB2312" w:cs="仿宋_GB2312"/>
          <w:sz w:val="32"/>
          <w:szCs w:val="32"/>
        </w:rPr>
      </w:pPr>
      <w:r>
        <w:rPr>
          <w:rFonts w:eastAsia="仿宋_GB2312"/>
          <w:b/>
          <w:color w:val="000000"/>
          <w:sz w:val="32"/>
          <w:szCs w:val="32"/>
        </w:rPr>
        <w:br w:type="page"/>
      </w:r>
    </w:p>
    <w:p>
      <w:pPr>
        <w:numPr>
          <w:ilvl w:val="0"/>
          <w:numId w:val="5"/>
        </w:numPr>
        <w:spacing w:line="600" w:lineRule="exact"/>
        <w:ind w:firstLine="660" w:firstLineChars="150"/>
        <w:jc w:val="center"/>
        <w:outlineLvl w:val="0"/>
        <w:rPr>
          <w:rStyle w:val="14"/>
          <w:rFonts w:eastAsia="黑体"/>
          <w:b w:val="0"/>
        </w:rPr>
      </w:pPr>
      <w:bookmarkStart w:id="55" w:name="_Toc15377225"/>
      <w:bookmarkStart w:id="56" w:name="_Toc15396613"/>
      <w:r>
        <w:rPr>
          <w:rFonts w:hint="eastAsia" w:eastAsia="黑体"/>
          <w:color w:val="000000"/>
          <w:sz w:val="44"/>
          <w:szCs w:val="44"/>
        </w:rPr>
        <w:t>名</w:t>
      </w:r>
      <w:r>
        <w:rPr>
          <w:rStyle w:val="14"/>
          <w:rFonts w:hint="eastAsia" w:eastAsia="黑体"/>
          <w:b w:val="0"/>
        </w:rPr>
        <w:t>词解释</w:t>
      </w:r>
      <w:bookmarkEnd w:id="55"/>
      <w:bookmarkEnd w:id="56"/>
    </w:p>
    <w:p>
      <w:pPr>
        <w:spacing w:line="600" w:lineRule="exact"/>
        <w:jc w:val="left"/>
        <w:rPr>
          <w:b/>
          <w:color w:val="000000"/>
          <w:sz w:val="44"/>
          <w:szCs w:val="44"/>
        </w:rPr>
      </w:pP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事业收入：指事业单位开展专业业务活动及辅助活动取得的收入。如…（二级预算单位事业收入情况）等。</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经营收入：指事业单位在专业业务活动及其辅助活动之外开展非独立核算经营活动取得的收入。如…（二级预算单位经营收入情况）等。</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其他收入：指单位取得的除上述收入以外的各项收入。主要是…（收入类型）等。</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年初结转和结余：指以前年度尚未完成、结转到本年按有关规定继续使用的资金。</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eastAsia="仿宋_GB2312"/>
          <w:color w:val="000000"/>
          <w:sz w:val="32"/>
          <w:szCs w:val="32"/>
        </w:rPr>
        <w:t>9.</w:t>
      </w:r>
      <w:r>
        <w:rPr>
          <w:rFonts w:hint="eastAsia" w:ascii="仿宋_GB2312" w:eastAsia="仿宋_GB2312"/>
          <w:color w:val="000000"/>
          <w:sz w:val="32"/>
          <w:szCs w:val="32"/>
        </w:rPr>
        <w:t>社会保障和就业支出（类）人力资源和社会保障管理事务（款）行政运行（项）：指行政单位的基本支出。</w:t>
      </w:r>
    </w:p>
    <w:p>
      <w:pPr>
        <w:ind w:firstLine="640" w:firstLineChars="200"/>
        <w:rPr>
          <w:rFonts w:ascii="仿宋_GB2312" w:eastAsia="仿宋_GB2312"/>
          <w:color w:val="000000"/>
          <w:sz w:val="32"/>
          <w:szCs w:val="32"/>
        </w:rPr>
      </w:pPr>
      <w:r>
        <w:rPr>
          <w:rFonts w:hint="eastAsia" w:eastAsia="仿宋_GB2312"/>
          <w:color w:val="000000"/>
          <w:sz w:val="32"/>
          <w:szCs w:val="32"/>
        </w:rPr>
        <w:t>10.</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11.社会保障和就业支出（类）人力资源和社会保障管理事务（款）社会保险业务管理事务（项）：指社会保险业务管理和基金监督方面的支持。</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12.社会保障和就业（类）人力资源和社会保障管理事务（款）社会保险经办机构（项）：指社会保险经办机构开展业务工作的支出。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13.社会保障和就业支出（类）行政事业单位离退休（款）未归口管理的行政单位离退休（项）：指未实行归口管理的行政单位开支的离退休支出。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14.社会保障和就业支出（类）行政事业单位离退休（款）机关事业单位基本养老保险缴费支出（项）：指机关事业单位实施养老保险制度由单位缴纳的基本养老保险费支出。</w:t>
      </w:r>
    </w:p>
    <w:p>
      <w:pPr>
        <w:spacing w:line="600" w:lineRule="exact"/>
        <w:ind w:firstLine="640"/>
        <w:rPr>
          <w:rFonts w:eastAsia="仿宋"/>
          <w:b/>
          <w:color w:val="000000"/>
          <w:sz w:val="32"/>
          <w:szCs w:val="32"/>
        </w:rPr>
      </w:pPr>
      <w:r>
        <w:rPr>
          <w:rFonts w:hint="eastAsia" w:eastAsia="仿宋"/>
          <w:b/>
          <w:color w:val="000000"/>
          <w:sz w:val="32"/>
          <w:szCs w:val="32"/>
        </w:rPr>
        <w:t>（解释本部门决算报表中全部功能分类科目至项级，请参照《</w:t>
      </w:r>
      <w:r>
        <w:rPr>
          <w:rFonts w:eastAsia="仿宋"/>
          <w:b/>
          <w:color w:val="000000"/>
          <w:sz w:val="32"/>
          <w:szCs w:val="32"/>
        </w:rPr>
        <w:t>2019</w:t>
      </w:r>
      <w:r>
        <w:rPr>
          <w:rFonts w:hint="eastAsia" w:eastAsia="仿宋"/>
          <w:b/>
          <w:color w:val="000000"/>
          <w:sz w:val="32"/>
          <w:szCs w:val="32"/>
        </w:rPr>
        <w:t>年政府收支分类科目》增减内容。）</w:t>
      </w:r>
    </w:p>
    <w:p>
      <w:pPr>
        <w:ind w:firstLine="640" w:firstLineChars="200"/>
        <w:rPr>
          <w:rFonts w:eastAsia="仿宋_GB2312"/>
          <w:color w:val="000000"/>
          <w:sz w:val="32"/>
          <w:szCs w:val="32"/>
        </w:rPr>
      </w:pPr>
      <w:r>
        <w:rPr>
          <w:rFonts w:hint="eastAsia" w:eastAsia="仿宋_GB2312"/>
          <w:color w:val="000000"/>
          <w:sz w:val="32"/>
          <w:szCs w:val="32"/>
        </w:rPr>
        <w:t>15</w:t>
      </w:r>
      <w:r>
        <w:rPr>
          <w:rFonts w:eastAsia="仿宋_GB2312"/>
          <w:color w:val="000000"/>
          <w:sz w:val="32"/>
          <w:szCs w:val="32"/>
        </w:rPr>
        <w:t>.</w:t>
      </w:r>
      <w:r>
        <w:rPr>
          <w:rFonts w:hint="eastAsia"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rPr>
        <w:t>16</w:t>
      </w:r>
      <w:r>
        <w:rPr>
          <w:rFonts w:eastAsia="仿宋_GB2312"/>
          <w:color w:val="000000"/>
          <w:sz w:val="32"/>
          <w:szCs w:val="32"/>
        </w:rPr>
        <w:t>.</w:t>
      </w:r>
      <w:r>
        <w:rPr>
          <w:rFonts w:hint="eastAsia" w:eastAsia="仿宋_GB2312"/>
          <w:color w:val="000000"/>
          <w:sz w:val="32"/>
          <w:szCs w:val="32"/>
        </w:rPr>
        <w:t>项目支出：指在基本支出之外为完成特定行政任务和事业发展目标所发生的支出。</w:t>
      </w:r>
    </w:p>
    <w:p>
      <w:pPr>
        <w:ind w:firstLine="640" w:firstLineChars="200"/>
        <w:rPr>
          <w:rFonts w:eastAsia="仿宋_GB2312"/>
          <w:color w:val="000000"/>
          <w:sz w:val="32"/>
          <w:szCs w:val="32"/>
        </w:rPr>
      </w:pPr>
      <w:r>
        <w:rPr>
          <w:rFonts w:hint="eastAsia" w:eastAsia="仿宋_GB2312"/>
          <w:color w:val="000000"/>
          <w:sz w:val="32"/>
          <w:szCs w:val="32"/>
        </w:rPr>
        <w:t>17</w:t>
      </w:r>
      <w:r>
        <w:rPr>
          <w:rFonts w:eastAsia="仿宋_GB2312"/>
          <w:color w:val="000000"/>
          <w:sz w:val="32"/>
          <w:szCs w:val="32"/>
        </w:rPr>
        <w:t>.</w:t>
      </w:r>
      <w:r>
        <w:rPr>
          <w:rFonts w:hint="eastAsia" w:eastAsia="仿宋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eastAsia="仿宋"/>
          <w:b/>
          <w:color w:val="000000"/>
          <w:sz w:val="32"/>
          <w:szCs w:val="32"/>
        </w:rPr>
      </w:pPr>
      <w:r>
        <w:rPr>
          <w:rFonts w:hint="eastAsia"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4"/>
          <w:rFonts w:eastAsia="黑体"/>
          <w:b w:val="0"/>
        </w:rPr>
      </w:pPr>
      <w:bookmarkStart w:id="57" w:name="_Toc15377226"/>
      <w:r>
        <w:rPr>
          <w:b/>
          <w:color w:val="000000"/>
          <w:sz w:val="44"/>
          <w:szCs w:val="44"/>
        </w:rPr>
        <w:br w:type="page"/>
      </w:r>
      <w:bookmarkStart w:id="58" w:name="_Toc15396614"/>
      <w:r>
        <w:rPr>
          <w:rFonts w:hint="eastAsia" w:eastAsia="黑体"/>
          <w:color w:val="000000"/>
          <w:sz w:val="44"/>
          <w:szCs w:val="44"/>
        </w:rPr>
        <w:t>第</w:t>
      </w:r>
      <w:r>
        <w:rPr>
          <w:rStyle w:val="14"/>
          <w:rFonts w:hint="eastAsia" w:eastAsia="黑体"/>
          <w:b w:val="0"/>
        </w:rPr>
        <w:t>四部分附件</w:t>
      </w:r>
      <w:bookmarkEnd w:id="58"/>
    </w:p>
    <w:p>
      <w:pPr>
        <w:spacing w:line="600" w:lineRule="exact"/>
        <w:jc w:val="left"/>
        <w:outlineLvl w:val="0"/>
        <w:rPr>
          <w:rFonts w:eastAsia="方正小标宋简体"/>
          <w:sz w:val="32"/>
          <w:szCs w:val="32"/>
        </w:rPr>
      </w:pPr>
      <w:r>
        <w:rPr>
          <w:rFonts w:hint="eastAsia" w:eastAsia="黑体"/>
          <w:sz w:val="32"/>
          <w:szCs w:val="32"/>
        </w:rPr>
        <w:t>附件</w:t>
      </w:r>
      <w:r>
        <w:rPr>
          <w:rFonts w:eastAsia="黑体"/>
          <w:sz w:val="32"/>
          <w:szCs w:val="32"/>
        </w:rPr>
        <w:t>1</w:t>
      </w:r>
    </w:p>
    <w:p>
      <w:pPr>
        <w:spacing w:line="580" w:lineRule="exact"/>
        <w:jc w:val="center"/>
        <w:rPr>
          <w:rFonts w:eastAsia="方正小标宋简体"/>
          <w:sz w:val="44"/>
          <w:szCs w:val="44"/>
        </w:rPr>
      </w:pPr>
    </w:p>
    <w:p>
      <w:pPr>
        <w:spacing w:line="600" w:lineRule="exact"/>
        <w:jc w:val="center"/>
        <w:rPr>
          <w:rFonts w:eastAsia="方正小标宋简体"/>
          <w:color w:val="000000"/>
          <w:kern w:val="0"/>
          <w:sz w:val="40"/>
          <w:szCs w:val="44"/>
          <w:lang w:val="zh-CN"/>
        </w:rPr>
      </w:pPr>
      <w:r>
        <w:rPr>
          <w:rFonts w:hint="eastAsia" w:eastAsia="方正小标宋简体"/>
          <w:color w:val="000000"/>
          <w:kern w:val="0"/>
          <w:sz w:val="40"/>
          <w:szCs w:val="44"/>
        </w:rPr>
        <w:t>攀枝花市社会保险事务中心</w:t>
      </w:r>
      <w:r>
        <w:rPr>
          <w:rFonts w:hint="eastAsia" w:eastAsia="方正小标宋简体"/>
          <w:color w:val="000000"/>
          <w:kern w:val="0"/>
          <w:sz w:val="40"/>
          <w:szCs w:val="44"/>
          <w:lang w:val="zh-CN"/>
        </w:rPr>
        <w:t>部门</w:t>
      </w: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2019年部门</w:t>
      </w:r>
      <w:r>
        <w:rPr>
          <w:rFonts w:hint="eastAsia"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eastAsia="黑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lang w:val="zh-CN"/>
        </w:rPr>
      </w:pPr>
      <w:r>
        <w:rPr>
          <w:rFonts w:hint="eastAsia" w:eastAsia="黑体"/>
          <w:color w:val="000000"/>
          <w:kern w:val="0"/>
          <w:sz w:val="32"/>
          <w:szCs w:val="32"/>
          <w:shd w:val="clear" w:color="auto" w:fill="FFFFFF"/>
        </w:rPr>
        <w:t>一、</w:t>
      </w:r>
      <w:r>
        <w:rPr>
          <w:rFonts w:hint="eastAsia" w:eastAsia="黑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（一）机构组成。</w:t>
      </w:r>
      <w:r>
        <w:rPr>
          <w:rFonts w:hint="eastAsia" w:ascii="仿宋_GB2312" w:hAnsi="仿宋" w:eastAsia="仿宋_GB2312"/>
          <w:sz w:val="32"/>
          <w:szCs w:val="32"/>
        </w:rPr>
        <w:t>攀枝花市社会保险事务中心为市人力资源社会保障局下属参照公务员法管理的副县级事业单位。内设10科1室，分别为：基金征缴科、基金管理科、企业养老保险科、机关事业单位养老保险科、城乡居民养老保险科、稽核科、社会化管理科、工伤保险科、档案科、综合科和办公室。</w:t>
      </w:r>
    </w:p>
    <w:p>
      <w:pPr>
        <w:widowControl/>
        <w:spacing w:line="360" w:lineRule="auto"/>
        <w:ind w:firstLine="640" w:firstLineChars="200"/>
        <w:rPr>
          <w:rFonts w:ascii="仿宋_GB2312" w:hAnsi="宋体" w:eastAsia="仿宋_GB2312"/>
          <w:sz w:val="32"/>
          <w:szCs w:val="32"/>
        </w:rPr>
      </w:pPr>
      <w:r>
        <w:rPr>
          <w:rFonts w:hint="eastAsia" w:eastAsia="仿宋_GB2312"/>
          <w:color w:val="000000"/>
          <w:kern w:val="0"/>
          <w:sz w:val="32"/>
          <w:szCs w:val="32"/>
          <w:shd w:val="clear" w:color="auto" w:fill="FFFFFF"/>
          <w:lang w:val="zh-CN"/>
        </w:rPr>
        <w:t>（二）机构职能。市社保中心</w:t>
      </w:r>
      <w:r>
        <w:rPr>
          <w:rFonts w:hint="eastAsia" w:ascii="仿宋_GB2312" w:hAnsi="宋体" w:eastAsia="仿宋_GB2312"/>
          <w:sz w:val="32"/>
          <w:szCs w:val="32"/>
        </w:rPr>
        <w:t>承担的主要职能是城镇企业职工、灵活就业人员、机关事业单位职工以及城乡居民基本养老保险、城镇各类用人单位工伤保险参保登记、申报及缴纳养老保险及工伤保险费、个人权益记录、核定并按时支付各类人员养老保险及工伤保险待遇；负责各项养老保险、失业保险、工伤保险相关的稽核、基金管理等工作；承担城镇各类用人单位职工失业保险费的征收及待遇支付工作；负责组织实施全市征地农转非人员社会保障工作。</w:t>
      </w:r>
    </w:p>
    <w:p>
      <w:pPr>
        <w:widowControl/>
        <w:spacing w:line="360" w:lineRule="auto"/>
        <w:ind w:firstLine="640" w:firstLineChars="200"/>
        <w:rPr>
          <w:rFonts w:ascii="仿宋_GB2312" w:hAnsi="仿宋" w:eastAsia="仿宋_GB2312"/>
          <w:sz w:val="32"/>
          <w:szCs w:val="32"/>
        </w:rPr>
      </w:pPr>
      <w:r>
        <w:rPr>
          <w:rFonts w:hint="eastAsia" w:eastAsia="仿宋_GB2312"/>
          <w:color w:val="000000"/>
          <w:kern w:val="0"/>
          <w:sz w:val="32"/>
          <w:szCs w:val="32"/>
          <w:shd w:val="clear" w:color="auto" w:fill="FFFFFF"/>
          <w:lang w:val="zh-CN"/>
        </w:rPr>
        <w:t>（三）人员概况。</w:t>
      </w:r>
      <w:r>
        <w:rPr>
          <w:rFonts w:hint="eastAsia" w:ascii="仿宋_GB2312" w:eastAsia="仿宋_GB2312"/>
          <w:sz w:val="32"/>
          <w:szCs w:val="32"/>
        </w:rPr>
        <w:t>我中心编制人数64人，年末实有人数58人，</w:t>
      </w:r>
      <w:r>
        <w:rPr>
          <w:rFonts w:hint="eastAsia" w:ascii="仿宋_GB2312" w:hAnsi="仿宋" w:eastAsia="仿宋_GB2312"/>
          <w:sz w:val="32"/>
          <w:szCs w:val="32"/>
        </w:rPr>
        <w:t>退休人员21人。根据工作需要另外聘用人员15人。</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二、部门财政资金收支情况</w:t>
      </w:r>
    </w:p>
    <w:p>
      <w:pPr>
        <w:spacing w:line="360" w:lineRule="auto"/>
        <w:ind w:firstLine="640" w:firstLineChars="200"/>
        <w:jc w:val="left"/>
        <w:rPr>
          <w:rFonts w:ascii="仿宋_GB2312" w:eastAsia="仿宋_GB2312"/>
          <w:sz w:val="32"/>
          <w:szCs w:val="32"/>
        </w:rPr>
      </w:pPr>
      <w:r>
        <w:rPr>
          <w:rFonts w:hint="eastAsia" w:eastAsia="仿宋_GB2312"/>
          <w:color w:val="000000"/>
          <w:kern w:val="0"/>
          <w:sz w:val="32"/>
          <w:szCs w:val="32"/>
          <w:shd w:val="clear" w:color="auto" w:fill="FFFFFF"/>
          <w:lang w:val="zh-CN"/>
        </w:rPr>
        <w:t>（一）部门财政资金收入情况。</w:t>
      </w:r>
      <w:r>
        <w:rPr>
          <w:rFonts w:hint="eastAsia" w:ascii="仿宋_GB2312" w:hAnsi="宋体" w:eastAsia="仿宋_GB2312"/>
          <w:sz w:val="32"/>
          <w:szCs w:val="32"/>
        </w:rPr>
        <w:t>2019年</w:t>
      </w:r>
      <w:r>
        <w:rPr>
          <w:rFonts w:hint="eastAsia" w:ascii="仿宋_GB2312" w:hAnsi="宋体" w:eastAsia="仿宋_GB2312"/>
          <w:sz w:val="32"/>
          <w:szCs w:val="32"/>
          <w:lang w:eastAsia="zh-CN"/>
        </w:rPr>
        <w:t>我中心</w:t>
      </w:r>
      <w:r>
        <w:rPr>
          <w:rFonts w:hint="eastAsia" w:ascii="仿宋_GB2312" w:hAnsi="宋体" w:eastAsia="仿宋_GB2312"/>
          <w:sz w:val="32"/>
          <w:szCs w:val="32"/>
        </w:rPr>
        <w:t>收入年初预算数11799595元，调整预算数为12590242元。2019年预算收入12591836.13元。</w:t>
      </w:r>
    </w:p>
    <w:p>
      <w:pPr>
        <w:spacing w:line="360" w:lineRule="auto"/>
        <w:ind w:firstLine="640" w:firstLineChars="200"/>
        <w:jc w:val="left"/>
        <w:rPr>
          <w:rFonts w:ascii="仿宋_GB2312" w:eastAsia="仿宋_GB2312"/>
          <w:sz w:val="32"/>
          <w:szCs w:val="32"/>
        </w:rPr>
      </w:pPr>
      <w:r>
        <w:rPr>
          <w:rFonts w:hint="eastAsia" w:eastAsia="仿宋_GB2312"/>
          <w:color w:val="000000"/>
          <w:kern w:val="0"/>
          <w:sz w:val="32"/>
          <w:szCs w:val="32"/>
          <w:shd w:val="clear" w:color="auto" w:fill="FFFFFF"/>
          <w:lang w:val="zh-CN"/>
        </w:rPr>
        <w:t>（二）部门财政资金支出情况。</w:t>
      </w:r>
      <w:r>
        <w:rPr>
          <w:rFonts w:hint="eastAsia" w:ascii="仿宋_GB2312" w:hAnsi="宋体" w:eastAsia="仿宋_GB2312"/>
          <w:sz w:val="32"/>
          <w:szCs w:val="32"/>
        </w:rPr>
        <w:t>2019年</w:t>
      </w:r>
      <w:r>
        <w:rPr>
          <w:rFonts w:hint="eastAsia" w:ascii="仿宋_GB2312" w:hAnsi="宋体" w:eastAsia="仿宋_GB2312"/>
          <w:sz w:val="32"/>
          <w:szCs w:val="32"/>
          <w:lang w:eastAsia="zh-CN"/>
        </w:rPr>
        <w:t>我中心</w:t>
      </w:r>
      <w:r>
        <w:rPr>
          <w:rFonts w:hint="eastAsia" w:ascii="仿宋_GB2312" w:hAnsi="宋体" w:eastAsia="仿宋_GB2312"/>
          <w:sz w:val="32"/>
          <w:szCs w:val="32"/>
        </w:rPr>
        <w:t>支出年初预算数11799595元，调整预算数为12656254.1元。2019年预算支出12656201.26元。</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按照省、市人力资源社会保障工作会议要求和市委决策部署制定绩效目标，编制部门整体预算绩效目标。执行过程中，按进度完成绩效目标。</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严格执行省、市人力资源社会保障工作会议要求和市委决策部署制定绩效目标，并按要求及时公开绩效自评报告。</w:t>
      </w:r>
      <w:r>
        <w:rPr>
          <w:rFonts w:hint="eastAsia" w:ascii="仿宋_GB2312" w:eastAsia="仿宋_GB2312"/>
          <w:sz w:val="32"/>
          <w:szCs w:val="32"/>
        </w:rPr>
        <w:t>全面完成各项社会保险征缴任务，进一步实施全民参保计划，实现法定人员全覆盖。</w:t>
      </w:r>
      <w:r>
        <w:rPr>
          <w:rFonts w:hint="eastAsia" w:ascii="仿宋" w:hAnsi="仿宋" w:eastAsia="仿宋" w:cs="仿宋_GB2312"/>
          <w:sz w:val="32"/>
          <w:szCs w:val="32"/>
        </w:rPr>
        <w:t>扎实推进各项社会保险经办服务管理工作。确保全市基本养老金按时足额发放，及时支付各项社会保险待遇。</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hint="eastAsia" w:eastAsia="黑体"/>
          <w:color w:val="000000"/>
          <w:kern w:val="0"/>
          <w:sz w:val="32"/>
          <w:szCs w:val="32"/>
          <w:shd w:val="clear" w:color="auto" w:fill="FFFFFF"/>
        </w:rPr>
        <w:t>四、评价结论及建议</w:t>
      </w:r>
    </w:p>
    <w:p>
      <w:pPr>
        <w:widowControl/>
        <w:spacing w:line="360" w:lineRule="auto"/>
        <w:ind w:firstLine="640" w:firstLineChars="200"/>
        <w:jc w:val="left"/>
        <w:rPr>
          <w:rFonts w:ascii="仿宋_GB2312" w:eastAsia="仿宋_GB2312"/>
          <w:sz w:val="32"/>
          <w:szCs w:val="32"/>
        </w:rPr>
      </w:pPr>
      <w:r>
        <w:rPr>
          <w:rFonts w:hint="eastAsia" w:eastAsia="仿宋_GB2312"/>
          <w:color w:val="000000"/>
          <w:kern w:val="0"/>
          <w:sz w:val="32"/>
          <w:szCs w:val="32"/>
          <w:shd w:val="clear" w:color="auto" w:fill="FFFFFF"/>
          <w:lang w:val="zh-CN"/>
        </w:rPr>
        <w:t>（一）评价结论。</w:t>
      </w:r>
      <w:r>
        <w:rPr>
          <w:rFonts w:hint="eastAsia" w:ascii="仿宋_GB2312" w:eastAsia="仿宋_GB2312"/>
          <w:sz w:val="32"/>
          <w:szCs w:val="32"/>
        </w:rPr>
        <w:t>2019年我中心继续确保各项社会保险待遇的按时足额发放和支付，维护参保人员合法权益。调整增加退休人员基本养老金。全面完成年初预算绩效目标及省级下达的目标任务。</w:t>
      </w:r>
    </w:p>
    <w:p>
      <w:pPr>
        <w:spacing w:line="580" w:lineRule="exact"/>
        <w:ind w:firstLine="640" w:firstLineChars="200"/>
        <w:rPr>
          <w:rFonts w:ascii="仿宋" w:hAnsi="仿宋" w:eastAsia="仿宋" w:cs="仿宋_GB2312"/>
          <w:sz w:val="32"/>
          <w:szCs w:val="32"/>
        </w:rPr>
      </w:pPr>
      <w:r>
        <w:rPr>
          <w:rFonts w:hint="eastAsia" w:eastAsia="仿宋_GB2312"/>
          <w:color w:val="000000"/>
          <w:kern w:val="0"/>
          <w:sz w:val="32"/>
          <w:szCs w:val="32"/>
          <w:shd w:val="clear" w:color="auto" w:fill="FFFFFF"/>
          <w:lang w:val="zh-CN"/>
        </w:rPr>
        <w:t>（二）存在问题。</w:t>
      </w:r>
      <w:r>
        <w:rPr>
          <w:rFonts w:hint="eastAsia" w:ascii="仿宋_GB2312" w:hAnsi="Calibri" w:eastAsia="仿宋_GB2312"/>
          <w:sz w:val="32"/>
          <w:szCs w:val="32"/>
        </w:rPr>
        <w:t>存在的不足主要是绩效目标中指标设定方面</w:t>
      </w:r>
      <w:r>
        <w:rPr>
          <w:rFonts w:hint="eastAsia" w:ascii="仿宋_GB2312" w:eastAsia="仿宋_GB2312"/>
          <w:sz w:val="32"/>
          <w:szCs w:val="32"/>
        </w:rPr>
        <w:t>。</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（三）改进建议。</w:t>
      </w:r>
      <w:r>
        <w:rPr>
          <w:rFonts w:hint="eastAsia" w:ascii="仿宋_GB2312" w:eastAsia="仿宋_GB2312"/>
          <w:sz w:val="32"/>
          <w:szCs w:val="32"/>
        </w:rPr>
        <w:t>我中心将继续</w:t>
      </w:r>
      <w:r>
        <w:rPr>
          <w:rFonts w:hint="eastAsia" w:ascii="仿宋_GB2312" w:hAnsi="Calibri" w:eastAsia="仿宋_GB2312"/>
          <w:sz w:val="32"/>
          <w:szCs w:val="32"/>
        </w:rPr>
        <w:t>规范工作内容，强化日常监管，确保资金使用效益。</w:t>
      </w:r>
    </w:p>
    <w:p>
      <w:pPr>
        <w:spacing w:line="580" w:lineRule="exact"/>
        <w:ind w:firstLine="640" w:firstLineChars="200"/>
        <w:rPr>
          <w:rFonts w:eastAsia="仿宋_GB2312"/>
          <w:sz w:val="32"/>
          <w:szCs w:val="32"/>
        </w:rPr>
      </w:pPr>
    </w:p>
    <w:p>
      <w:pPr>
        <w:widowControl/>
        <w:jc w:val="left"/>
        <w:rPr>
          <w:rFonts w:eastAsia="仿宋_GB2312"/>
          <w:sz w:val="32"/>
          <w:szCs w:val="32"/>
        </w:rPr>
      </w:pPr>
      <w:r>
        <w:rPr>
          <w:rFonts w:eastAsia="仿宋_GB2312"/>
          <w:sz w:val="32"/>
          <w:szCs w:val="32"/>
        </w:rPr>
        <w:br w:type="page"/>
      </w:r>
    </w:p>
    <w:p>
      <w:pPr>
        <w:spacing w:line="580" w:lineRule="exact"/>
        <w:rPr>
          <w:rFonts w:eastAsia="仿宋_GB2312"/>
          <w:sz w:val="32"/>
          <w:szCs w:val="32"/>
        </w:rPr>
      </w:pPr>
      <w:r>
        <w:rPr>
          <w:rFonts w:hint="eastAsia" w:eastAsia="黑体"/>
          <w:sz w:val="32"/>
          <w:szCs w:val="32"/>
        </w:rPr>
        <w:t>附件</w:t>
      </w:r>
      <w:r>
        <w:rPr>
          <w:rFonts w:eastAsia="黑体"/>
          <w:sz w:val="32"/>
          <w:szCs w:val="32"/>
        </w:rPr>
        <w:t>2</w:t>
      </w:r>
    </w:p>
    <w:p>
      <w:pPr>
        <w:spacing w:line="580" w:lineRule="exact"/>
        <w:ind w:firstLine="640" w:firstLineChars="200"/>
        <w:rPr>
          <w:rFonts w:eastAsia="仿宋_GB2312"/>
          <w:sz w:val="32"/>
          <w:szCs w:val="32"/>
        </w:rPr>
      </w:pPr>
    </w:p>
    <w:p>
      <w:pPr>
        <w:spacing w:line="600" w:lineRule="exact"/>
        <w:jc w:val="center"/>
        <w:rPr>
          <w:rFonts w:eastAsia="方正小标宋简体"/>
          <w:color w:val="000000"/>
          <w:kern w:val="0"/>
          <w:sz w:val="44"/>
          <w:szCs w:val="44"/>
          <w:lang w:val="zh-CN"/>
        </w:rPr>
      </w:pPr>
      <w:r>
        <w:rPr>
          <w:rFonts w:hint="eastAsia" w:eastAsia="方正小标宋简体"/>
          <w:color w:val="000000"/>
          <w:kern w:val="0"/>
          <w:sz w:val="44"/>
          <w:szCs w:val="44"/>
        </w:rPr>
        <w:t>助征员费用</w:t>
      </w:r>
      <w:r>
        <w:rPr>
          <w:rFonts w:hint="eastAsia" w:eastAsia="方正小标宋简体"/>
          <w:color w:val="000000"/>
          <w:kern w:val="0"/>
          <w:sz w:val="44"/>
          <w:szCs w:val="44"/>
          <w:lang w:val="zh-CN"/>
        </w:rPr>
        <w:t>项目</w:t>
      </w:r>
      <w:r>
        <w:rPr>
          <w:rFonts w:eastAsia="方正小标宋简体"/>
          <w:color w:val="000000"/>
          <w:kern w:val="0"/>
          <w:sz w:val="44"/>
          <w:szCs w:val="44"/>
        </w:rPr>
        <w:t>2019</w:t>
      </w:r>
      <w:r>
        <w:rPr>
          <w:rFonts w:hint="eastAsia" w:eastAsia="方正小标宋简体"/>
          <w:color w:val="000000"/>
          <w:kern w:val="0"/>
          <w:sz w:val="44"/>
          <w:szCs w:val="44"/>
        </w:rPr>
        <w:t>年</w:t>
      </w:r>
      <w:r>
        <w:rPr>
          <w:rFonts w:hint="eastAsia" w:eastAsia="方正小标宋简体"/>
          <w:color w:val="000000"/>
          <w:kern w:val="0"/>
          <w:sz w:val="44"/>
          <w:szCs w:val="44"/>
          <w:lang w:val="zh-CN"/>
        </w:rPr>
        <w:t>绩效评价报告</w:t>
      </w:r>
    </w:p>
    <w:p>
      <w:pPr>
        <w:spacing w:line="600" w:lineRule="exact"/>
        <w:rPr>
          <w:sz w:val="32"/>
          <w:szCs w:val="32"/>
          <w:lang w:val="zh-CN"/>
        </w:rPr>
      </w:pPr>
    </w:p>
    <w:p>
      <w:pPr>
        <w:adjustRightInd w:val="0"/>
        <w:snapToGrid w:val="0"/>
        <w:spacing w:line="600" w:lineRule="exact"/>
        <w:ind w:firstLine="720"/>
        <w:rPr>
          <w:rFonts w:eastAsia="黑体"/>
          <w:sz w:val="32"/>
          <w:szCs w:val="32"/>
          <w:lang w:val="zh-CN"/>
        </w:rPr>
      </w:pPr>
      <w:r>
        <w:rPr>
          <w:rFonts w:hint="eastAsia" w:eastAsia="黑体"/>
          <w:sz w:val="32"/>
          <w:szCs w:val="32"/>
        </w:rPr>
        <w:t>一、</w:t>
      </w:r>
      <w:r>
        <w:rPr>
          <w:rFonts w:hint="eastAsia"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（一）项目基本情况。</w:t>
      </w:r>
    </w:p>
    <w:p>
      <w:pPr>
        <w:adjustRightInd w:val="0"/>
        <w:snapToGrid w:val="0"/>
        <w:spacing w:line="600" w:lineRule="exact"/>
        <w:ind w:firstLine="720"/>
        <w:rPr>
          <w:rFonts w:ascii="仿宋_GB2312" w:eastAsia="仿宋_GB2312"/>
          <w:sz w:val="32"/>
          <w:szCs w:val="32"/>
          <w:lang w:val="zh-CN"/>
        </w:rPr>
      </w:pPr>
      <w:r>
        <w:rPr>
          <w:rFonts w:eastAsia="仿宋_GB2312"/>
          <w:sz w:val="32"/>
          <w:szCs w:val="32"/>
          <w:lang w:val="zh-CN"/>
        </w:rPr>
        <w:t>1</w:t>
      </w:r>
      <w:r>
        <w:rPr>
          <w:rFonts w:hint="eastAsia" w:eastAsia="仿宋_GB2312"/>
          <w:sz w:val="32"/>
          <w:szCs w:val="32"/>
          <w:lang w:val="zh-CN"/>
        </w:rPr>
        <w:t>．说明项目主管部门（单位）在该项目管理中的职能。</w:t>
      </w:r>
      <w:r>
        <w:rPr>
          <w:rFonts w:hint="eastAsia" w:ascii="仿宋_GB2312" w:eastAsia="仿宋_GB2312"/>
          <w:sz w:val="32"/>
          <w:szCs w:val="32"/>
          <w:lang w:val="zh-CN"/>
        </w:rPr>
        <w:t>我</w:t>
      </w:r>
      <w:r>
        <w:rPr>
          <w:rFonts w:hint="eastAsia" w:ascii="仿宋_GB2312" w:eastAsia="仿宋_GB2312"/>
          <w:sz w:val="32"/>
          <w:szCs w:val="32"/>
        </w:rPr>
        <w:t>中心助征员承担的主要职能是城镇企业职工、灵活就业人员、机关事业单位职工以及城乡居民基本养老保险参保登记、申报及个人权益记录查询等综合咨询。</w:t>
      </w:r>
    </w:p>
    <w:p>
      <w:pPr>
        <w:widowControl/>
        <w:numPr>
          <w:ilvl w:val="0"/>
          <w:numId w:val="6"/>
        </w:numPr>
        <w:spacing w:line="360" w:lineRule="auto"/>
        <w:ind w:firstLine="640" w:firstLineChars="200"/>
        <w:jc w:val="left"/>
        <w:rPr>
          <w:rFonts w:ascii="仿宋_GB2312" w:eastAsia="仿宋_GB2312"/>
          <w:sz w:val="32"/>
          <w:szCs w:val="32"/>
        </w:rPr>
      </w:pPr>
      <w:r>
        <w:rPr>
          <w:rFonts w:hint="eastAsia" w:eastAsia="仿宋_GB2312"/>
          <w:sz w:val="32"/>
          <w:szCs w:val="32"/>
          <w:lang w:val="zh-CN"/>
        </w:rPr>
        <w:t>项目立项、资金申报的依据。</w:t>
      </w:r>
      <w:r>
        <w:rPr>
          <w:rFonts w:hint="eastAsia" w:ascii="仿宋_GB2312" w:eastAsia="仿宋_GB2312"/>
          <w:sz w:val="32"/>
          <w:szCs w:val="32"/>
        </w:rPr>
        <w:t>我中心进驻政务服务中心人员多，办件数量最大，服务范围广。窗口集中对社会提供各项社会保险政策咨询、查询、受理至办结等“一站式政务服务”。为了保证社会保险费集中申报、数据传送、和各险种的市级统筹工作的顺利开展，</w:t>
      </w:r>
      <w:r>
        <w:rPr>
          <w:rFonts w:hint="eastAsia" w:ascii="仿宋_GB2312" w:eastAsia="仿宋_GB2312"/>
          <w:sz w:val="32"/>
          <w:szCs w:val="32"/>
          <w:lang w:eastAsia="zh-CN"/>
        </w:rPr>
        <w:t>我中心</w:t>
      </w:r>
      <w:r>
        <w:rPr>
          <w:rFonts w:hint="eastAsia" w:ascii="仿宋_GB2312" w:eastAsia="仿宋_GB2312"/>
          <w:sz w:val="32"/>
          <w:szCs w:val="32"/>
        </w:rPr>
        <w:t>根据工作需要，经主管部门批准和财政部门同意，自1999年起向社会招聘了15名具有相关专业知识和水平的助征员。</w:t>
      </w:r>
    </w:p>
    <w:p>
      <w:pPr>
        <w:widowControl/>
        <w:spacing w:line="360" w:lineRule="auto"/>
        <w:ind w:firstLine="640" w:firstLineChars="200"/>
        <w:jc w:val="left"/>
        <w:rPr>
          <w:rFonts w:eastAsia="仿宋_GB2312"/>
          <w:sz w:val="32"/>
          <w:szCs w:val="32"/>
          <w:lang w:val="zh-CN"/>
        </w:rPr>
      </w:pPr>
      <w:r>
        <w:rPr>
          <w:rFonts w:hint="eastAsia" w:ascii="仿宋_GB2312" w:eastAsia="仿宋_GB2312"/>
          <w:sz w:val="32"/>
          <w:szCs w:val="32"/>
          <w:lang w:val="zh-CN"/>
        </w:rPr>
        <w:t>3．资金管理办法制定情况，资金支持具体项</w:t>
      </w:r>
      <w:r>
        <w:rPr>
          <w:rFonts w:hint="eastAsia" w:eastAsia="仿宋_GB2312"/>
          <w:sz w:val="32"/>
          <w:szCs w:val="32"/>
          <w:lang w:val="zh-CN"/>
        </w:rPr>
        <w:t>目的条件、范围与支持方式概况。此项目资金在年初预算中由市财政下达，用于支付助征员相关费用。</w:t>
      </w:r>
    </w:p>
    <w:p>
      <w:pPr>
        <w:numPr>
          <w:ilvl w:val="0"/>
          <w:numId w:val="7"/>
        </w:numPr>
        <w:adjustRightInd w:val="0"/>
        <w:snapToGrid w:val="0"/>
        <w:spacing w:line="600" w:lineRule="exact"/>
        <w:ind w:firstLine="720"/>
        <w:rPr>
          <w:rFonts w:eastAsia="仿宋_GB2312"/>
          <w:sz w:val="32"/>
          <w:szCs w:val="32"/>
        </w:rPr>
      </w:pPr>
      <w:r>
        <w:rPr>
          <w:rFonts w:hint="eastAsia" w:eastAsia="仿宋_GB2312"/>
          <w:sz w:val="32"/>
          <w:szCs w:val="32"/>
          <w:lang w:val="zh-CN"/>
        </w:rPr>
        <w:t>资金分配的原则及考虑因素。</w:t>
      </w:r>
      <w:r>
        <w:rPr>
          <w:rFonts w:hint="eastAsia" w:eastAsia="仿宋_GB2312"/>
          <w:sz w:val="32"/>
          <w:szCs w:val="32"/>
        </w:rPr>
        <w:t>此项目资金主要用于15名助征员工资、社保缴费及公积金等支出。</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（二）项目绩效目标。</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hint="eastAsia" w:eastAsia="仿宋_GB2312"/>
          <w:sz w:val="32"/>
          <w:szCs w:val="32"/>
          <w:lang w:val="zh-CN"/>
        </w:rPr>
        <w:t>．项目主要内容。</w:t>
      </w:r>
    </w:p>
    <w:p>
      <w:p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加强与民政、扶贫部门数据交换和比对，将符合参保条件的困难人员纳入城乡居民养老保险参保范围，以确保我市创建全国文明城市和市委全面深化改革工作既定目标的实现。以“综合柜员制”全面正常运行为契机，通过建立多样化的服务体系建设，全面实现社会保险业务“最多跑一次”。与税务机关共同对用人单位未依法为职工参保或未按时足额缴费等涉费违法行为，依照有关规定开展联合检查。</w:t>
      </w:r>
    </w:p>
    <w:p>
      <w:pPr>
        <w:numPr>
          <w:ilvl w:val="0"/>
          <w:numId w:val="8"/>
        </w:numPr>
        <w:adjustRightInd w:val="0"/>
        <w:snapToGrid w:val="0"/>
        <w:spacing w:line="600" w:lineRule="exact"/>
        <w:ind w:firstLine="720"/>
        <w:rPr>
          <w:rFonts w:eastAsia="仿宋_GB2312"/>
          <w:sz w:val="32"/>
          <w:szCs w:val="32"/>
          <w:lang w:val="zh-CN"/>
        </w:rPr>
      </w:pPr>
      <w:r>
        <w:rPr>
          <w:rFonts w:hint="eastAsia" w:eastAsia="仿宋_GB2312"/>
          <w:sz w:val="32"/>
          <w:szCs w:val="32"/>
          <w:lang w:val="zh-CN"/>
        </w:rPr>
        <w:t>项目应实现的具体绩效目标，包括目标的量化、细化情况以及项目实施进度计划等。</w:t>
      </w:r>
    </w:p>
    <w:p>
      <w:pPr>
        <w:numPr>
          <w:ilvl w:val="0"/>
          <w:numId w:val="9"/>
        </w:num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数量指标：继续加大实施全民参保计划；保证“综合柜员制”全面正常运行；监督、核查用人单位参保缴费情况。</w:t>
      </w:r>
    </w:p>
    <w:p>
      <w:pPr>
        <w:numPr>
          <w:ilvl w:val="0"/>
          <w:numId w:val="9"/>
        </w:num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质量指标：全面实现社会保险业务“最多跑一次”。</w:t>
      </w:r>
    </w:p>
    <w:p>
      <w:pPr>
        <w:numPr>
          <w:ilvl w:val="0"/>
          <w:numId w:val="9"/>
        </w:num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时效指标：1-12月。</w:t>
      </w:r>
    </w:p>
    <w:p>
      <w:pPr>
        <w:numPr>
          <w:ilvl w:val="0"/>
          <w:numId w:val="9"/>
        </w:num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满意度指标：参保人员满意度≧90%。</w:t>
      </w:r>
    </w:p>
    <w:p>
      <w:pPr>
        <w:numPr>
          <w:ilvl w:val="0"/>
          <w:numId w:val="8"/>
        </w:numPr>
        <w:adjustRightInd w:val="0"/>
        <w:snapToGrid w:val="0"/>
        <w:spacing w:line="600" w:lineRule="exact"/>
        <w:ind w:firstLine="720"/>
        <w:rPr>
          <w:rFonts w:eastAsia="仿宋_GB2312"/>
          <w:sz w:val="32"/>
          <w:szCs w:val="32"/>
          <w:lang w:val="zh-CN"/>
        </w:rPr>
      </w:pPr>
      <w:r>
        <w:rPr>
          <w:rFonts w:hint="eastAsia" w:eastAsia="仿宋_GB2312"/>
          <w:sz w:val="32"/>
          <w:szCs w:val="32"/>
          <w:lang w:val="zh-CN"/>
        </w:rPr>
        <w:t>分析评价申报内容是否与实际相符，申报目标是否合理可行。</w:t>
      </w:r>
    </w:p>
    <w:p>
      <w:pPr>
        <w:adjustRightInd w:val="0"/>
        <w:snapToGrid w:val="0"/>
        <w:spacing w:line="600" w:lineRule="exact"/>
        <w:ind w:firstLine="720" w:firstLineChars="225"/>
        <w:rPr>
          <w:rFonts w:eastAsia="仿宋_GB2312"/>
          <w:sz w:val="32"/>
          <w:szCs w:val="32"/>
          <w:lang w:val="zh-CN"/>
        </w:rPr>
      </w:pPr>
      <w:r>
        <w:rPr>
          <w:rFonts w:hint="eastAsia" w:eastAsia="仿宋_GB2312"/>
          <w:sz w:val="32"/>
          <w:szCs w:val="32"/>
          <w:lang w:val="zh-CN"/>
        </w:rPr>
        <w:t>我中心按照当年目标任务制定绩效目标，申报内容与实际相符，申报目标合理可行。</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（三）项目自评步骤及方法。</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根据绩效评价的基本原理、原则和项目特点，结合绩效目标，由绩效评价小组按确定的评价指标系统、评分标准、评价方法和相关的工作程序和步骤，在规定的时间节点内开展绩效评价工作。</w:t>
      </w:r>
    </w:p>
    <w:p>
      <w:pPr>
        <w:adjustRightInd w:val="0"/>
        <w:snapToGrid w:val="0"/>
        <w:spacing w:line="600" w:lineRule="exact"/>
        <w:ind w:firstLine="720"/>
        <w:rPr>
          <w:rFonts w:eastAsia="黑体"/>
          <w:sz w:val="32"/>
          <w:szCs w:val="32"/>
        </w:rPr>
      </w:pPr>
      <w:r>
        <w:rPr>
          <w:rFonts w:hint="eastAsia"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（一）项目资金申报及批复情况。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此项目资金在我中心年初预算中申报，由市财政批复，本年度无预算调整。</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（二）资金计划、到位及使用情况（可用表格形式反映）。</w:t>
      </w:r>
    </w:p>
    <w:p>
      <w:pPr>
        <w:adjustRightInd w:val="0"/>
        <w:snapToGrid w:val="0"/>
        <w:spacing w:line="600" w:lineRule="exact"/>
        <w:ind w:firstLine="720"/>
        <w:rPr>
          <w:rFonts w:eastAsia="仿宋_GB2312"/>
          <w:sz w:val="32"/>
          <w:szCs w:val="32"/>
          <w:lang w:val="zh-CN"/>
        </w:rPr>
      </w:pPr>
      <w:r>
        <w:rPr>
          <w:rFonts w:eastAsia="楷体_GB2312"/>
          <w:sz w:val="32"/>
          <w:szCs w:val="32"/>
          <w:lang w:val="zh-CN"/>
        </w:rPr>
        <w:t>1</w:t>
      </w:r>
      <w:r>
        <w:rPr>
          <w:rFonts w:hint="eastAsia" w:eastAsia="楷体_GB2312"/>
          <w:sz w:val="32"/>
          <w:szCs w:val="32"/>
          <w:lang w:val="zh-CN"/>
        </w:rPr>
        <w:t>．资金计划。</w:t>
      </w:r>
      <w:r>
        <w:rPr>
          <w:rFonts w:hint="eastAsia" w:eastAsia="仿宋_GB2312"/>
          <w:sz w:val="32"/>
          <w:szCs w:val="32"/>
          <w:lang w:val="zh-CN"/>
        </w:rPr>
        <w:t>此项目资金在我中心年初部门预算中于其他资金一同申报。</w:t>
      </w:r>
    </w:p>
    <w:p>
      <w:pPr>
        <w:adjustRightInd w:val="0"/>
        <w:snapToGrid w:val="0"/>
        <w:spacing w:line="600" w:lineRule="exact"/>
        <w:ind w:firstLine="720"/>
        <w:rPr>
          <w:rFonts w:eastAsia="仿宋_GB2312"/>
          <w:sz w:val="32"/>
          <w:szCs w:val="32"/>
        </w:rPr>
      </w:pPr>
      <w:r>
        <w:rPr>
          <w:rFonts w:eastAsia="楷体_GB2312"/>
          <w:sz w:val="32"/>
          <w:szCs w:val="32"/>
          <w:lang w:val="zh-CN"/>
        </w:rPr>
        <w:t>2</w:t>
      </w:r>
      <w:r>
        <w:rPr>
          <w:rFonts w:hint="eastAsia" w:eastAsia="楷体_GB2312"/>
          <w:sz w:val="32"/>
          <w:szCs w:val="32"/>
          <w:lang w:val="zh-CN"/>
        </w:rPr>
        <w:t>．资金到位。</w:t>
      </w:r>
      <w:r>
        <w:rPr>
          <w:rFonts w:hint="eastAsia" w:eastAsia="仿宋_GB2312"/>
          <w:sz w:val="32"/>
          <w:szCs w:val="32"/>
          <w:lang w:val="zh-CN"/>
        </w:rPr>
        <w:t>此项目资金于</w:t>
      </w:r>
      <w:r>
        <w:rPr>
          <w:rFonts w:hint="eastAsia" w:eastAsia="仿宋_GB2312"/>
          <w:sz w:val="32"/>
          <w:szCs w:val="32"/>
        </w:rPr>
        <w:t>2019年初在部门预算中与其他资金一同下达。</w:t>
      </w:r>
    </w:p>
    <w:p>
      <w:pPr>
        <w:adjustRightInd w:val="0"/>
        <w:snapToGrid w:val="0"/>
        <w:spacing w:line="600" w:lineRule="exact"/>
        <w:ind w:firstLine="720"/>
        <w:rPr>
          <w:rFonts w:eastAsia="仿宋_GB2312"/>
          <w:sz w:val="32"/>
          <w:szCs w:val="32"/>
        </w:rPr>
      </w:pPr>
      <w:r>
        <w:rPr>
          <w:rFonts w:eastAsia="楷体_GB2312"/>
          <w:sz w:val="32"/>
          <w:szCs w:val="32"/>
          <w:lang w:val="zh-CN"/>
        </w:rPr>
        <w:t>3</w:t>
      </w:r>
      <w:r>
        <w:rPr>
          <w:rFonts w:hint="eastAsia" w:eastAsia="楷体_GB2312"/>
          <w:sz w:val="32"/>
          <w:szCs w:val="32"/>
          <w:lang w:val="zh-CN"/>
        </w:rPr>
        <w:t>．资金使用。</w:t>
      </w:r>
      <w:r>
        <w:rPr>
          <w:rFonts w:hint="eastAsia" w:eastAsia="仿宋_GB2312"/>
          <w:sz w:val="32"/>
          <w:szCs w:val="32"/>
          <w:lang w:val="zh-CN"/>
        </w:rPr>
        <w:t>此</w:t>
      </w:r>
      <w:r>
        <w:rPr>
          <w:rFonts w:hint="eastAsia" w:eastAsia="仿宋_GB2312"/>
          <w:sz w:val="32"/>
          <w:szCs w:val="32"/>
        </w:rPr>
        <w:t>项目资金主要用于助征员工资、社保缴费及公积金等支出。每月按照聘用人员工资表、社保缴费征收计划、住房公积金汇缴书支付相关费用。</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（三）项目财务管理情况。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我中心建立了财务管理制度，严格执行财务管理制度，及时进行账务处理，会计核算。</w:t>
      </w:r>
    </w:p>
    <w:p>
      <w:pPr>
        <w:adjustRightInd w:val="0"/>
        <w:snapToGrid w:val="0"/>
        <w:spacing w:line="600" w:lineRule="exact"/>
        <w:ind w:firstLine="720"/>
        <w:rPr>
          <w:rFonts w:eastAsia="黑体"/>
          <w:sz w:val="32"/>
          <w:szCs w:val="32"/>
        </w:rPr>
      </w:pPr>
      <w:r>
        <w:rPr>
          <w:rFonts w:hint="eastAsia" w:eastAsia="黑体"/>
          <w:sz w:val="32"/>
          <w:szCs w:val="32"/>
        </w:rPr>
        <w:t>三、项目实施及管理情况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结合项目组织实施管理办法，重点围绕以下内容进行分析评价，并对自评中发现的问题分析说明。</w:t>
      </w:r>
    </w:p>
    <w:p>
      <w:pPr>
        <w:numPr>
          <w:ilvl w:val="0"/>
          <w:numId w:val="10"/>
        </w:num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项目组织架构及实施流程。</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我中心在部门预算中申报项目资金，并制定绩效目标；办公室成立项目评价小组对项目资金执行情况进行绩效评价。</w:t>
      </w:r>
    </w:p>
    <w:p>
      <w:pPr>
        <w:numPr>
          <w:ilvl w:val="0"/>
          <w:numId w:val="10"/>
        </w:num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项目管理情况。</w:t>
      </w:r>
    </w:p>
    <w:p>
      <w:p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我中心建立了财务管理制度，严格执行财务管理制度，及时进行账务处理和会计核算。按财政要求及时编制和公开项目资金绩效目标。</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（三）项目监管情况。</w:t>
      </w:r>
      <w:r>
        <w:rPr>
          <w:rFonts w:hint="eastAsia" w:eastAsia="仿宋_GB2312"/>
          <w:sz w:val="32"/>
          <w:szCs w:val="32"/>
          <w:lang w:val="zh-CN"/>
        </w:rPr>
        <w:t>无</w:t>
      </w:r>
    </w:p>
    <w:p>
      <w:pPr>
        <w:adjustRightInd w:val="0"/>
        <w:snapToGrid w:val="0"/>
        <w:spacing w:line="600" w:lineRule="exact"/>
        <w:ind w:firstLine="720"/>
        <w:rPr>
          <w:rFonts w:eastAsia="仿宋_GB2312"/>
          <w:sz w:val="32"/>
          <w:szCs w:val="32"/>
          <w:lang w:val="zh-CN"/>
        </w:rPr>
      </w:pPr>
      <w:r>
        <w:rPr>
          <w:rFonts w:hint="eastAsia"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（一）项目完成情况。</w:t>
      </w:r>
    </w:p>
    <w:p>
      <w:pPr>
        <w:adjustRightInd w:val="0"/>
        <w:snapToGrid w:val="0"/>
        <w:spacing w:line="600" w:lineRule="exact"/>
        <w:ind w:firstLine="720"/>
        <w:rPr>
          <w:rFonts w:eastAsia="楷体_GB2312"/>
          <w:b/>
          <w:sz w:val="32"/>
          <w:szCs w:val="32"/>
          <w:lang w:val="zh-CN"/>
        </w:rPr>
      </w:pPr>
      <w:r>
        <w:rPr>
          <w:rFonts w:hint="eastAsia" w:ascii="仿宋_GB2312" w:eastAsia="仿宋_GB2312"/>
          <w:sz w:val="32"/>
          <w:szCs w:val="32"/>
        </w:rPr>
        <w:t>全面完成各项社会保险征缴任务，进一步实施全民参保计划，实现法定人员全覆盖。</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（二）项目效益情况。</w:t>
      </w:r>
    </w:p>
    <w:p>
      <w:pPr>
        <w:ind w:firstLine="640" w:firstLineChars="200"/>
        <w:rPr>
          <w:rFonts w:ascii="仿宋_GB2312" w:eastAsia="仿宋_GB2312"/>
          <w:sz w:val="32"/>
          <w:szCs w:val="32"/>
        </w:rPr>
      </w:pPr>
      <w:r>
        <w:rPr>
          <w:rFonts w:hint="eastAsia" w:eastAsia="仿宋_GB2312"/>
          <w:sz w:val="32"/>
          <w:szCs w:val="32"/>
          <w:lang w:val="zh-CN"/>
        </w:rPr>
        <w:t>加强与民政、扶贫部门数据交换和比对，将符合参保条件的困难人员纳入城乡居民养老保险参保范围。以“综合柜员制”全面正常运行为契机，通过建立多样化的服务体系建设，全面实现社会保险业务“最多跑一次”。</w:t>
      </w:r>
      <w:r>
        <w:rPr>
          <w:rFonts w:hint="eastAsia" w:ascii="仿宋_GB2312" w:eastAsia="仿宋_GB2312"/>
          <w:sz w:val="32"/>
          <w:szCs w:val="32"/>
        </w:rPr>
        <w:t>公众满意度达到满意。</w:t>
      </w: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黑体"/>
          <w:sz w:val="32"/>
          <w:szCs w:val="32"/>
        </w:rPr>
      </w:pPr>
      <w:r>
        <w:rPr>
          <w:rFonts w:hint="eastAsia"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（一）评价结论。</w:t>
      </w:r>
    </w:p>
    <w:p>
      <w:pPr>
        <w:ind w:firstLine="640" w:firstLineChars="200"/>
        <w:rPr>
          <w:rFonts w:ascii="仿宋_GB2312" w:eastAsia="仿宋_GB2312"/>
          <w:sz w:val="32"/>
          <w:szCs w:val="32"/>
        </w:rPr>
      </w:pPr>
      <w:r>
        <w:rPr>
          <w:rFonts w:hint="eastAsia" w:ascii="仿宋_GB2312" w:eastAsia="仿宋_GB2312"/>
          <w:sz w:val="32"/>
          <w:szCs w:val="32"/>
        </w:rPr>
        <w:t>我中心完成各项社会保险征缴任务，进一步实施全民参保计划，实现法定人员全覆盖。公众满意度达到满意。</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Calibri" w:eastAsia="仿宋_GB2312"/>
          <w:sz w:val="32"/>
          <w:szCs w:val="32"/>
        </w:rPr>
        <w:t>存在的不足主要是绩效目标编制精细化有待完善</w:t>
      </w:r>
      <w:r>
        <w:rPr>
          <w:rFonts w:hint="eastAsia" w:ascii="仿宋_GB2312" w:eastAsia="仿宋_GB2312"/>
          <w:sz w:val="32"/>
          <w:szCs w:val="32"/>
        </w:rPr>
        <w:t>。</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（三）相关建议。</w:t>
      </w:r>
    </w:p>
    <w:p>
      <w:pPr>
        <w:spacing w:line="580" w:lineRule="exact"/>
        <w:ind w:firstLine="640"/>
        <w:rPr>
          <w:rFonts w:ascii="仿宋_GB2312" w:hAnsi="Calibri" w:eastAsia="仿宋_GB2312"/>
          <w:sz w:val="32"/>
          <w:szCs w:val="32"/>
        </w:rPr>
      </w:pPr>
      <w:r>
        <w:rPr>
          <w:rFonts w:hint="eastAsia" w:ascii="仿宋_GB2312" w:hAnsi="仿宋_GB2312" w:eastAsia="仿宋_GB2312" w:cs="仿宋_GB2312"/>
          <w:sz w:val="32"/>
          <w:szCs w:val="32"/>
        </w:rPr>
        <w:t>强化预算资金精细化管理，提高预算资金科学性、合理性。严格根据相关标准和依据，进行资金使用</w:t>
      </w:r>
      <w:r>
        <w:rPr>
          <w:rFonts w:hint="eastAsia" w:ascii="仿宋_GB2312" w:hAnsi="Calibri" w:eastAsia="仿宋_GB2312"/>
          <w:sz w:val="32"/>
          <w:szCs w:val="32"/>
        </w:rPr>
        <w:t>，确保资金使用效益。</w:t>
      </w:r>
    </w:p>
    <w:p>
      <w:pPr>
        <w:spacing w:line="580" w:lineRule="exact"/>
        <w:ind w:firstLine="640"/>
        <w:rPr>
          <w:rFonts w:ascii="仿宋_GB2312" w:hAnsi="Calibri" w:eastAsia="仿宋_GB2312"/>
          <w:sz w:val="32"/>
          <w:szCs w:val="32"/>
        </w:rPr>
      </w:pPr>
    </w:p>
    <w:p>
      <w:pPr>
        <w:spacing w:line="580" w:lineRule="exact"/>
        <w:ind w:firstLine="640"/>
        <w:rPr>
          <w:rFonts w:ascii="仿宋_GB2312" w:hAnsi="Calibri" w:eastAsia="仿宋_GB2312"/>
          <w:sz w:val="32"/>
          <w:szCs w:val="32"/>
        </w:rPr>
      </w:pPr>
    </w:p>
    <w:p>
      <w:pPr>
        <w:spacing w:line="600" w:lineRule="exact"/>
        <w:jc w:val="center"/>
        <w:rPr>
          <w:rFonts w:eastAsia="方正小标宋简体"/>
          <w:color w:val="000000"/>
          <w:kern w:val="0"/>
          <w:sz w:val="44"/>
          <w:szCs w:val="44"/>
          <w:lang w:val="zh-CN"/>
        </w:rPr>
      </w:pPr>
      <w:r>
        <w:rPr>
          <w:rFonts w:hint="eastAsia" w:eastAsia="方正小标宋简体"/>
          <w:color w:val="000000"/>
          <w:kern w:val="0"/>
          <w:sz w:val="44"/>
          <w:szCs w:val="44"/>
        </w:rPr>
        <w:t>业务运行费</w:t>
      </w:r>
      <w:r>
        <w:rPr>
          <w:rFonts w:hint="eastAsia" w:eastAsia="方正小标宋简体"/>
          <w:color w:val="000000"/>
          <w:kern w:val="0"/>
          <w:sz w:val="44"/>
          <w:szCs w:val="44"/>
          <w:lang w:val="zh-CN"/>
        </w:rPr>
        <w:t>项目</w:t>
      </w:r>
      <w:r>
        <w:rPr>
          <w:rFonts w:eastAsia="方正小标宋简体"/>
          <w:color w:val="000000"/>
          <w:kern w:val="0"/>
          <w:sz w:val="44"/>
          <w:szCs w:val="44"/>
        </w:rPr>
        <w:t>2019</w:t>
      </w:r>
      <w:r>
        <w:rPr>
          <w:rFonts w:hint="eastAsia" w:eastAsia="方正小标宋简体"/>
          <w:color w:val="000000"/>
          <w:kern w:val="0"/>
          <w:sz w:val="44"/>
          <w:szCs w:val="44"/>
        </w:rPr>
        <w:t>年</w:t>
      </w:r>
      <w:r>
        <w:rPr>
          <w:rFonts w:hint="eastAsia" w:eastAsia="方正小标宋简体"/>
          <w:color w:val="000000"/>
          <w:kern w:val="0"/>
          <w:sz w:val="44"/>
          <w:szCs w:val="44"/>
          <w:lang w:val="zh-CN"/>
        </w:rPr>
        <w:t>绩效评价报告</w:t>
      </w:r>
    </w:p>
    <w:p>
      <w:pPr>
        <w:spacing w:line="600" w:lineRule="exact"/>
        <w:rPr>
          <w:sz w:val="32"/>
          <w:szCs w:val="32"/>
          <w:lang w:val="zh-CN"/>
        </w:rPr>
      </w:pPr>
    </w:p>
    <w:p>
      <w:pPr>
        <w:adjustRightInd w:val="0"/>
        <w:snapToGrid w:val="0"/>
        <w:spacing w:line="600" w:lineRule="exact"/>
        <w:ind w:firstLine="720"/>
        <w:rPr>
          <w:rFonts w:eastAsia="黑体"/>
          <w:sz w:val="32"/>
          <w:szCs w:val="32"/>
          <w:lang w:val="zh-CN"/>
        </w:rPr>
      </w:pPr>
      <w:r>
        <w:rPr>
          <w:rFonts w:hint="eastAsia" w:eastAsia="黑体"/>
          <w:sz w:val="32"/>
          <w:szCs w:val="32"/>
        </w:rPr>
        <w:t>一、</w:t>
      </w:r>
      <w:r>
        <w:rPr>
          <w:rFonts w:hint="eastAsia"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（一）项目基本情况。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hint="eastAsia" w:eastAsia="仿宋_GB2312"/>
          <w:sz w:val="32"/>
          <w:szCs w:val="32"/>
          <w:lang w:val="zh-CN"/>
        </w:rPr>
        <w:t>．说明项目主管部门（单位）在该项目管理中的职能。认真贯彻党的十九大，十九届二中、三中全会精神，以习近平新时代中国特色社会主义思想为指引，扎实推进各项社会保险经办服务管理工作，确保全市基本养老金按时足额发放，及时支付各项社会保险待遇，维护参保人员合法权益。</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hint="eastAsia" w:eastAsia="仿宋_GB2312"/>
          <w:sz w:val="32"/>
          <w:szCs w:val="32"/>
          <w:lang w:val="zh-CN"/>
        </w:rPr>
        <w:t>．项目立项、资金申报的依据。按照省、市人力资源社会保障工作会议要求和市委决策部署，以“一号工程”为统揽，“头等大事”为支撑，“最多跑一次”为目标，扎实推进各项社会保险经办服务管理工作。确保全市基本养老金按时足额发放，及时支付各项社会保险待遇，维护参保人员合法权益。</w:t>
      </w:r>
    </w:p>
    <w:p>
      <w:pPr>
        <w:adjustRightInd w:val="0"/>
        <w:snapToGrid w:val="0"/>
        <w:spacing w:line="600" w:lineRule="exact"/>
        <w:ind w:firstLine="720"/>
        <w:rPr>
          <w:rFonts w:eastAsia="仿宋_GB2312"/>
          <w:sz w:val="32"/>
          <w:szCs w:val="32"/>
          <w:lang w:val="zh-CN"/>
        </w:rPr>
      </w:pPr>
      <w:r>
        <w:rPr>
          <w:rFonts w:eastAsia="仿宋_GB2312"/>
          <w:sz w:val="32"/>
          <w:szCs w:val="32"/>
          <w:lang w:val="zh-CN"/>
        </w:rPr>
        <w:t>3</w:t>
      </w:r>
      <w:r>
        <w:rPr>
          <w:rFonts w:hint="eastAsia" w:eastAsia="仿宋_GB2312"/>
          <w:sz w:val="32"/>
          <w:szCs w:val="32"/>
          <w:lang w:val="zh-CN"/>
        </w:rPr>
        <w:t>．资金管理办法制定情况，资金支持具体项目的条件、范围与支持方式概况。此项目资金在年初预算中由市财政下达，用于确保全市基本养老金按时足额发放，及时支付各项社会保险待遇的公用经费支出。</w:t>
      </w:r>
    </w:p>
    <w:p>
      <w:pPr>
        <w:adjustRightInd w:val="0"/>
        <w:snapToGrid w:val="0"/>
        <w:spacing w:line="600" w:lineRule="exact"/>
        <w:ind w:firstLine="720"/>
        <w:rPr>
          <w:rFonts w:eastAsia="仿宋_GB2312"/>
          <w:sz w:val="32"/>
          <w:szCs w:val="32"/>
          <w:lang w:val="zh-CN"/>
        </w:rPr>
      </w:pPr>
      <w:r>
        <w:rPr>
          <w:rFonts w:eastAsia="仿宋_GB2312"/>
          <w:sz w:val="32"/>
          <w:szCs w:val="32"/>
          <w:lang w:val="zh-CN"/>
        </w:rPr>
        <w:t>4</w:t>
      </w:r>
      <w:r>
        <w:rPr>
          <w:rFonts w:hint="eastAsia" w:eastAsia="仿宋_GB2312"/>
          <w:sz w:val="32"/>
          <w:szCs w:val="32"/>
          <w:lang w:val="zh-CN"/>
        </w:rPr>
        <w:t>．资金分配的原则及考虑因素。</w:t>
      </w:r>
      <w:r>
        <w:rPr>
          <w:rFonts w:hint="eastAsia" w:eastAsia="仿宋_GB2312"/>
          <w:sz w:val="32"/>
          <w:szCs w:val="32"/>
        </w:rPr>
        <w:t>此项目资金主要</w:t>
      </w:r>
      <w:r>
        <w:rPr>
          <w:rFonts w:hint="eastAsia" w:eastAsia="仿宋_GB2312"/>
          <w:sz w:val="32"/>
          <w:szCs w:val="32"/>
          <w:lang w:val="zh-CN"/>
        </w:rPr>
        <w:t>用于支付基本支出不足的办公费、差旅费、维护费、印刷费、宣传费、邮电费、培训费等公用支出。</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（二）项目绩效目标。</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hint="eastAsia" w:eastAsia="仿宋_GB2312"/>
          <w:sz w:val="32"/>
          <w:szCs w:val="32"/>
          <w:lang w:val="zh-CN"/>
        </w:rPr>
        <w:t>．项目主要内容。</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认真贯彻党的十九大，十九届二中、三中全会精神，以习近平新时代中国特色社会主义思想为指引，按照省、市人力资源社会保障工作会议要求和市委决策部署，以“一号工程”为统揽，“头等大事”为支撑，“最多跑一次”为目标，扎实推进各项社会保险经办服务管理工作。确保全市基本养老金按时足额发放，及时支付各项社会保险待遇，维护参保人员合法权益。</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hint="eastAsia"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eastAsia="仿宋_GB2312"/>
          <w:sz w:val="32"/>
          <w:szCs w:val="32"/>
        </w:rPr>
      </w:pPr>
      <w:r>
        <w:rPr>
          <w:rFonts w:hint="eastAsia" w:eastAsia="仿宋_GB2312"/>
          <w:sz w:val="32"/>
          <w:szCs w:val="32"/>
        </w:rPr>
        <w:t>A. 数量指标：确保全市基本养老金按时足额发放；全面推进机关事业单位养老保险制度改革；监督、核查用人单位参保缴费情况。</w:t>
      </w:r>
    </w:p>
    <w:p>
      <w:pPr>
        <w:adjustRightInd w:val="0"/>
        <w:snapToGrid w:val="0"/>
        <w:spacing w:line="600" w:lineRule="exact"/>
        <w:ind w:firstLine="720"/>
        <w:rPr>
          <w:rFonts w:eastAsia="仿宋_GB2312"/>
          <w:sz w:val="32"/>
          <w:szCs w:val="32"/>
        </w:rPr>
      </w:pPr>
      <w:r>
        <w:rPr>
          <w:rFonts w:hint="eastAsia" w:eastAsia="仿宋_GB2312"/>
          <w:sz w:val="32"/>
          <w:szCs w:val="32"/>
        </w:rPr>
        <w:t>B. 质量指标:确保全市基本养老金按时足额发放。</w:t>
      </w:r>
    </w:p>
    <w:p>
      <w:pPr>
        <w:adjustRightInd w:val="0"/>
        <w:snapToGrid w:val="0"/>
        <w:spacing w:line="600" w:lineRule="exact"/>
        <w:ind w:firstLine="720"/>
        <w:rPr>
          <w:rFonts w:eastAsia="仿宋_GB2312"/>
          <w:sz w:val="32"/>
          <w:szCs w:val="32"/>
        </w:rPr>
      </w:pPr>
      <w:r>
        <w:rPr>
          <w:rFonts w:hint="eastAsia" w:eastAsia="仿宋_GB2312"/>
          <w:sz w:val="32"/>
          <w:szCs w:val="32"/>
        </w:rPr>
        <w:t>C. 时效指标:1-12月。</w:t>
      </w:r>
    </w:p>
    <w:p>
      <w:pPr>
        <w:adjustRightInd w:val="0"/>
        <w:snapToGrid w:val="0"/>
        <w:spacing w:line="600" w:lineRule="exact"/>
        <w:ind w:firstLine="720"/>
        <w:rPr>
          <w:rFonts w:eastAsia="仿宋_GB2312"/>
          <w:sz w:val="32"/>
          <w:szCs w:val="32"/>
        </w:rPr>
      </w:pPr>
      <w:r>
        <w:rPr>
          <w:rFonts w:hint="eastAsia" w:eastAsia="仿宋_GB2312"/>
          <w:sz w:val="32"/>
          <w:szCs w:val="32"/>
        </w:rPr>
        <w:t>D. 满意度指标：退休人员满意度≧90%。</w:t>
      </w:r>
    </w:p>
    <w:p>
      <w:pPr>
        <w:adjustRightInd w:val="0"/>
        <w:snapToGrid w:val="0"/>
        <w:spacing w:line="600" w:lineRule="exact"/>
        <w:ind w:firstLine="720" w:firstLineChars="225"/>
        <w:rPr>
          <w:rFonts w:eastAsia="仿宋_GB2312"/>
          <w:sz w:val="32"/>
          <w:szCs w:val="32"/>
          <w:lang w:val="zh-CN"/>
        </w:rPr>
      </w:pPr>
      <w:r>
        <w:rPr>
          <w:rFonts w:eastAsia="仿宋_GB2312"/>
          <w:sz w:val="32"/>
          <w:szCs w:val="32"/>
          <w:lang w:val="zh-CN"/>
        </w:rPr>
        <w:t>3</w:t>
      </w:r>
      <w:r>
        <w:rPr>
          <w:rFonts w:hint="eastAsia" w:eastAsia="仿宋_GB2312"/>
          <w:sz w:val="32"/>
          <w:szCs w:val="32"/>
          <w:lang w:val="zh-CN"/>
        </w:rPr>
        <w:t>．分析评价申报内容是否与实际相符，申报目标是否合理可行。</w:t>
      </w:r>
    </w:p>
    <w:p>
      <w:pPr>
        <w:adjustRightInd w:val="0"/>
        <w:snapToGrid w:val="0"/>
        <w:spacing w:line="600" w:lineRule="exact"/>
        <w:ind w:firstLine="720" w:firstLineChars="225"/>
        <w:rPr>
          <w:rFonts w:eastAsia="仿宋_GB2312"/>
          <w:sz w:val="32"/>
          <w:szCs w:val="32"/>
          <w:lang w:val="zh-CN"/>
        </w:rPr>
      </w:pPr>
      <w:r>
        <w:rPr>
          <w:rFonts w:hint="eastAsia" w:eastAsia="仿宋_GB2312"/>
          <w:sz w:val="32"/>
          <w:szCs w:val="32"/>
          <w:lang w:val="zh-CN"/>
        </w:rPr>
        <w:t>我中心按照当年目标任务制定绩效目标，申报内容与实际相符，申报目标合理可行。</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（三）项目自评步骤及方法。</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根据绩效评价的基本原理、原则和项目特点，结合绩效目标，由绩效评价小组按确定的评价指标系统、评分标准、评价方法和相关的工作程序和步骤，在规定的时间节点内开展绩效评价工作。</w:t>
      </w:r>
    </w:p>
    <w:p>
      <w:pPr>
        <w:adjustRightInd w:val="0"/>
        <w:snapToGrid w:val="0"/>
        <w:spacing w:line="600" w:lineRule="exact"/>
        <w:ind w:firstLine="720"/>
        <w:rPr>
          <w:rFonts w:eastAsia="黑体"/>
          <w:sz w:val="32"/>
          <w:szCs w:val="32"/>
        </w:rPr>
      </w:pPr>
      <w:r>
        <w:rPr>
          <w:rFonts w:hint="eastAsia"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（一）项目资金申报及批复情况。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此项目资金在我中心年初预算中申报，由市财政批复，本年度无预算调整。</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（二）资金计划、到位及使用情况（可用表格形式反映）。</w:t>
      </w:r>
    </w:p>
    <w:p>
      <w:pPr>
        <w:adjustRightInd w:val="0"/>
        <w:snapToGrid w:val="0"/>
        <w:spacing w:line="600" w:lineRule="exact"/>
        <w:ind w:firstLine="720"/>
        <w:rPr>
          <w:rFonts w:eastAsia="仿宋_GB2312"/>
          <w:sz w:val="32"/>
          <w:szCs w:val="32"/>
          <w:lang w:val="zh-CN"/>
        </w:rPr>
      </w:pPr>
      <w:r>
        <w:rPr>
          <w:rFonts w:eastAsia="楷体_GB2312"/>
          <w:sz w:val="32"/>
          <w:szCs w:val="32"/>
          <w:lang w:val="zh-CN"/>
        </w:rPr>
        <w:t>1</w:t>
      </w:r>
      <w:r>
        <w:rPr>
          <w:rFonts w:hint="eastAsia" w:eastAsia="楷体_GB2312"/>
          <w:sz w:val="32"/>
          <w:szCs w:val="32"/>
          <w:lang w:val="zh-CN"/>
        </w:rPr>
        <w:t>．资金计划。</w:t>
      </w:r>
      <w:r>
        <w:rPr>
          <w:rFonts w:hint="eastAsia" w:eastAsia="仿宋_GB2312"/>
          <w:sz w:val="32"/>
          <w:szCs w:val="32"/>
          <w:lang w:val="zh-CN"/>
        </w:rPr>
        <w:t>此项目资金在我中心年初部门预算中于其他资金一同申报。</w:t>
      </w:r>
    </w:p>
    <w:p>
      <w:pPr>
        <w:adjustRightInd w:val="0"/>
        <w:snapToGrid w:val="0"/>
        <w:spacing w:line="600" w:lineRule="exact"/>
        <w:ind w:firstLine="720"/>
        <w:rPr>
          <w:rFonts w:eastAsia="仿宋_GB2312"/>
          <w:sz w:val="32"/>
          <w:szCs w:val="32"/>
        </w:rPr>
      </w:pPr>
      <w:r>
        <w:rPr>
          <w:rFonts w:eastAsia="楷体_GB2312"/>
          <w:sz w:val="32"/>
          <w:szCs w:val="32"/>
          <w:lang w:val="zh-CN"/>
        </w:rPr>
        <w:t>2</w:t>
      </w:r>
      <w:r>
        <w:rPr>
          <w:rFonts w:hint="eastAsia" w:eastAsia="楷体_GB2312"/>
          <w:sz w:val="32"/>
          <w:szCs w:val="32"/>
          <w:lang w:val="zh-CN"/>
        </w:rPr>
        <w:t>．资金到位。</w:t>
      </w:r>
      <w:r>
        <w:rPr>
          <w:rFonts w:hint="eastAsia" w:eastAsia="仿宋_GB2312"/>
          <w:sz w:val="32"/>
          <w:szCs w:val="32"/>
          <w:lang w:val="zh-CN"/>
        </w:rPr>
        <w:t>此项目资金于</w:t>
      </w:r>
      <w:r>
        <w:rPr>
          <w:rFonts w:hint="eastAsia" w:eastAsia="仿宋_GB2312"/>
          <w:sz w:val="32"/>
          <w:szCs w:val="32"/>
        </w:rPr>
        <w:t>2019年初在部门预算中与其他资金一同下达。</w:t>
      </w:r>
    </w:p>
    <w:p>
      <w:pPr>
        <w:adjustRightInd w:val="0"/>
        <w:snapToGrid w:val="0"/>
        <w:spacing w:line="600" w:lineRule="exact"/>
        <w:ind w:firstLine="720"/>
        <w:rPr>
          <w:rFonts w:eastAsia="仿宋_GB2312"/>
          <w:sz w:val="32"/>
          <w:szCs w:val="32"/>
          <w:lang w:val="zh-CN"/>
        </w:rPr>
      </w:pPr>
      <w:r>
        <w:rPr>
          <w:rFonts w:eastAsia="楷体_GB2312"/>
          <w:sz w:val="32"/>
          <w:szCs w:val="32"/>
          <w:lang w:val="zh-CN"/>
        </w:rPr>
        <w:t>3</w:t>
      </w:r>
      <w:r>
        <w:rPr>
          <w:rFonts w:hint="eastAsia" w:eastAsia="楷体_GB2312"/>
          <w:sz w:val="32"/>
          <w:szCs w:val="32"/>
          <w:lang w:val="zh-CN"/>
        </w:rPr>
        <w:t>．资金使用。</w:t>
      </w:r>
      <w:r>
        <w:rPr>
          <w:rFonts w:hint="eastAsia" w:eastAsia="仿宋_GB2312"/>
          <w:sz w:val="32"/>
          <w:szCs w:val="32"/>
        </w:rPr>
        <w:t>此项目资金主要</w:t>
      </w:r>
      <w:r>
        <w:rPr>
          <w:rFonts w:hint="eastAsia" w:eastAsia="仿宋_GB2312"/>
          <w:sz w:val="32"/>
          <w:szCs w:val="32"/>
          <w:lang w:val="zh-CN"/>
        </w:rPr>
        <w:t>用于支付基本支出不足的办公费、差旅费、维护费、印刷费、宣传费、邮电费、培训费等公用支出。</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（三）项目财务管理情况。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我中心建立了财务管理制度，严格执行财务管理制度，及时进行账务处理，会计核算。</w:t>
      </w:r>
    </w:p>
    <w:p>
      <w:pPr>
        <w:adjustRightInd w:val="0"/>
        <w:snapToGrid w:val="0"/>
        <w:spacing w:line="600" w:lineRule="exact"/>
        <w:ind w:firstLine="720"/>
        <w:rPr>
          <w:rFonts w:eastAsia="黑体"/>
          <w:sz w:val="32"/>
          <w:szCs w:val="32"/>
        </w:rPr>
      </w:pPr>
      <w:r>
        <w:rPr>
          <w:rFonts w:hint="eastAsia" w:eastAsia="黑体"/>
          <w:sz w:val="32"/>
          <w:szCs w:val="32"/>
        </w:rPr>
        <w:t>三、项目实施及管理情况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结合项目组织实施管理办法，重点围绕以下内容进行分析评价，并对自评中发现的问题分析说明。</w:t>
      </w:r>
    </w:p>
    <w:p>
      <w:pPr>
        <w:numPr>
          <w:ilvl w:val="0"/>
          <w:numId w:val="11"/>
        </w:num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项目组织架构及实施流程。</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我中心在部门预算中申报项目资金，并制定绩效目标；办公室成立项目评价小组对项目资金执行情况进行绩效评价。</w:t>
      </w:r>
    </w:p>
    <w:p>
      <w:pPr>
        <w:adjustRightInd w:val="0"/>
        <w:snapToGrid w:val="0"/>
        <w:spacing w:line="600" w:lineRule="exact"/>
        <w:ind w:firstLine="643" w:firstLineChars="200"/>
        <w:rPr>
          <w:rFonts w:hint="eastAsia" w:eastAsia="楷体_GB2312"/>
          <w:b/>
          <w:sz w:val="32"/>
          <w:szCs w:val="32"/>
          <w:lang w:val="zh-CN"/>
        </w:rPr>
      </w:pPr>
      <w:r>
        <w:rPr>
          <w:rFonts w:hint="eastAsia" w:eastAsia="楷体_GB2312"/>
          <w:b/>
          <w:sz w:val="32"/>
          <w:szCs w:val="32"/>
          <w:lang w:val="zh-CN"/>
        </w:rPr>
        <w:t>（二）项目管理情况。</w:t>
      </w:r>
    </w:p>
    <w:p>
      <w:pPr>
        <w:adjustRightInd w:val="0"/>
        <w:snapToGrid w:val="0"/>
        <w:spacing w:line="600" w:lineRule="exact"/>
        <w:ind w:firstLine="640" w:firstLineChars="200"/>
        <w:rPr>
          <w:rFonts w:eastAsia="仿宋_GB2312"/>
          <w:sz w:val="32"/>
          <w:szCs w:val="32"/>
          <w:lang w:val="zh-CN"/>
        </w:rPr>
      </w:pPr>
      <w:r>
        <w:rPr>
          <w:rFonts w:hint="eastAsia" w:eastAsia="仿宋_GB2312"/>
          <w:sz w:val="32"/>
          <w:szCs w:val="32"/>
          <w:lang w:val="zh-CN"/>
        </w:rPr>
        <w:t>我中心建立了财务管理制度，严格执行财务管理制度，及时进行账务处理和会计核算。按财政要求及时编制和公开项目资金绩效目标。</w:t>
      </w:r>
    </w:p>
    <w:p>
      <w:pPr>
        <w:adjustRightInd w:val="0"/>
        <w:snapToGrid w:val="0"/>
        <w:spacing w:line="600" w:lineRule="exact"/>
        <w:ind w:firstLine="720"/>
        <w:rPr>
          <w:rFonts w:eastAsia="仿宋_GB2312"/>
          <w:sz w:val="32"/>
          <w:szCs w:val="32"/>
          <w:lang w:val="zh-CN"/>
        </w:rPr>
      </w:pPr>
      <w:r>
        <w:rPr>
          <w:rFonts w:hint="eastAsia" w:eastAsia="楷体_GB2312"/>
          <w:b/>
          <w:sz w:val="32"/>
          <w:szCs w:val="32"/>
          <w:lang w:val="zh-CN"/>
        </w:rPr>
        <w:t>（三）项目监管情况。</w:t>
      </w:r>
      <w:r>
        <w:rPr>
          <w:rFonts w:hint="eastAsia" w:eastAsia="仿宋_GB2312"/>
          <w:sz w:val="32"/>
          <w:szCs w:val="32"/>
          <w:lang w:val="zh-CN"/>
        </w:rPr>
        <w:t>无</w:t>
      </w:r>
    </w:p>
    <w:p>
      <w:pPr>
        <w:adjustRightInd w:val="0"/>
        <w:snapToGrid w:val="0"/>
        <w:spacing w:line="600" w:lineRule="exact"/>
        <w:ind w:firstLine="720"/>
        <w:rPr>
          <w:rFonts w:eastAsia="仿宋_GB2312"/>
          <w:sz w:val="32"/>
          <w:szCs w:val="32"/>
          <w:lang w:val="zh-CN"/>
        </w:rPr>
      </w:pPr>
      <w:r>
        <w:rPr>
          <w:rFonts w:hint="eastAsia"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（一）项目完成情况。</w:t>
      </w:r>
    </w:p>
    <w:p>
      <w:pPr>
        <w:adjustRightInd w:val="0"/>
        <w:snapToGrid w:val="0"/>
        <w:spacing w:line="600" w:lineRule="exact"/>
        <w:ind w:firstLine="720"/>
        <w:rPr>
          <w:rFonts w:eastAsia="仿宋_GB2312"/>
          <w:sz w:val="32"/>
          <w:szCs w:val="32"/>
          <w:lang w:val="zh-CN"/>
        </w:rPr>
      </w:pPr>
      <w:r>
        <w:rPr>
          <w:rFonts w:hint="eastAsia" w:eastAsia="仿宋_GB2312"/>
          <w:sz w:val="32"/>
          <w:szCs w:val="32"/>
          <w:lang w:val="zh-CN"/>
        </w:rPr>
        <w:t>全年确保全市基本养老金按时足额发放，及时支付各项社会保险待遇，维护参保人员合法权益。</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（二）项目效益情况。</w:t>
      </w:r>
    </w:p>
    <w:p>
      <w:pPr>
        <w:ind w:firstLine="640" w:firstLineChars="200"/>
        <w:rPr>
          <w:rFonts w:ascii="仿宋_GB2312" w:eastAsia="仿宋_GB2312"/>
          <w:sz w:val="32"/>
          <w:szCs w:val="32"/>
        </w:rPr>
      </w:pPr>
      <w:r>
        <w:rPr>
          <w:rFonts w:hint="eastAsia" w:eastAsia="仿宋_GB2312"/>
          <w:sz w:val="32"/>
          <w:szCs w:val="32"/>
          <w:lang w:val="zh-CN"/>
        </w:rPr>
        <w:t>全面推进机关事业单位养老保险制度改革，扎实推进各项社会保险经办服务管理工作，确保全市基本养老金按时足额发放，及时支付各项社会保险待遇，维护参保人员合法权益。</w:t>
      </w:r>
      <w:r>
        <w:rPr>
          <w:rFonts w:hint="eastAsia" w:ascii="仿宋_GB2312" w:eastAsia="仿宋_GB2312"/>
          <w:sz w:val="32"/>
          <w:szCs w:val="32"/>
        </w:rPr>
        <w:t>公众满意度达到满意。</w:t>
      </w:r>
    </w:p>
    <w:p>
      <w:pPr>
        <w:adjustRightInd w:val="0"/>
        <w:snapToGrid w:val="0"/>
        <w:spacing w:line="600" w:lineRule="exact"/>
        <w:ind w:firstLine="720"/>
        <w:rPr>
          <w:rFonts w:eastAsia="黑体"/>
          <w:sz w:val="32"/>
          <w:szCs w:val="32"/>
        </w:rPr>
      </w:pPr>
      <w:r>
        <w:rPr>
          <w:rFonts w:hint="eastAsia"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（一）评价结论。</w:t>
      </w:r>
    </w:p>
    <w:p>
      <w:pPr>
        <w:ind w:firstLine="640" w:firstLineChars="200"/>
        <w:rPr>
          <w:rFonts w:ascii="仿宋_GB2312" w:eastAsia="仿宋_GB2312"/>
          <w:sz w:val="32"/>
          <w:szCs w:val="32"/>
        </w:rPr>
      </w:pPr>
      <w:r>
        <w:rPr>
          <w:rFonts w:hint="eastAsia" w:ascii="仿宋_GB2312" w:eastAsia="仿宋_GB2312"/>
          <w:sz w:val="32"/>
          <w:szCs w:val="32"/>
        </w:rPr>
        <w:t>确保全市基本养老金按时足额发放，及时支付各项社会保险待遇，维护参保人员合法权益。公众满意度达到满意。</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Calibri" w:eastAsia="仿宋_GB2312"/>
          <w:sz w:val="32"/>
          <w:szCs w:val="32"/>
        </w:rPr>
        <w:t>存在的不足主要是绩效目标编制精细化有待完善</w:t>
      </w:r>
      <w:r>
        <w:rPr>
          <w:rFonts w:hint="eastAsia" w:ascii="仿宋_GB2312" w:eastAsia="仿宋_GB2312"/>
          <w:sz w:val="32"/>
          <w:szCs w:val="32"/>
        </w:rPr>
        <w:t>。</w:t>
      </w:r>
    </w:p>
    <w:p>
      <w:pPr>
        <w:adjustRightInd w:val="0"/>
        <w:snapToGrid w:val="0"/>
        <w:spacing w:line="600" w:lineRule="exact"/>
        <w:ind w:firstLine="720"/>
        <w:rPr>
          <w:rFonts w:eastAsia="楷体_GB2312"/>
          <w:b/>
          <w:sz w:val="32"/>
          <w:szCs w:val="32"/>
          <w:lang w:val="zh-CN"/>
        </w:rPr>
      </w:pPr>
      <w:r>
        <w:rPr>
          <w:rFonts w:hint="eastAsia" w:eastAsia="楷体_GB2312"/>
          <w:b/>
          <w:sz w:val="32"/>
          <w:szCs w:val="32"/>
          <w:lang w:val="zh-CN"/>
        </w:rPr>
        <w:t>（三）相关建议。</w:t>
      </w:r>
    </w:p>
    <w:p>
      <w:pPr>
        <w:spacing w:line="580" w:lineRule="exact"/>
        <w:ind w:firstLine="640"/>
        <w:rPr>
          <w:rFonts w:ascii="仿宋_GB2312" w:hAnsi="Calibri" w:eastAsia="仿宋_GB2312"/>
          <w:sz w:val="32"/>
          <w:szCs w:val="32"/>
        </w:rPr>
      </w:pPr>
      <w:r>
        <w:rPr>
          <w:rFonts w:hint="eastAsia" w:ascii="仿宋_GB2312" w:hAnsi="仿宋_GB2312" w:eastAsia="仿宋_GB2312" w:cs="仿宋_GB2312"/>
          <w:sz w:val="32"/>
          <w:szCs w:val="32"/>
        </w:rPr>
        <w:t>强化预算资金精细化管理，提高预算资金科学性、合理性。严格根据相关标准和依据，进行资金使用</w:t>
      </w:r>
      <w:r>
        <w:rPr>
          <w:rFonts w:hint="eastAsia" w:ascii="仿宋_GB2312" w:hAnsi="Calibri" w:eastAsia="仿宋_GB2312"/>
          <w:sz w:val="32"/>
          <w:szCs w:val="32"/>
        </w:rPr>
        <w:t>，确保资金使用效益。</w:t>
      </w: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widowControl/>
        <w:jc w:val="left"/>
        <w:rPr>
          <w:rStyle w:val="14"/>
          <w:rFonts w:eastAsia="黑体"/>
          <w:b w:val="0"/>
        </w:rPr>
      </w:pPr>
    </w:p>
    <w:p>
      <w:pPr>
        <w:widowControl/>
        <w:jc w:val="left"/>
        <w:rPr>
          <w:rStyle w:val="14"/>
          <w:rFonts w:eastAsia="黑体"/>
          <w:b w:val="0"/>
        </w:rPr>
      </w:pPr>
      <w:r>
        <w:rPr>
          <w:rStyle w:val="14"/>
          <w:rFonts w:eastAsia="黑体"/>
          <w:b w:val="0"/>
        </w:rPr>
        <w:br w:type="page"/>
      </w:r>
    </w:p>
    <w:p>
      <w:pPr>
        <w:keepNext/>
        <w:spacing w:line="360" w:lineRule="auto"/>
        <w:jc w:val="center"/>
        <w:outlineLvl w:val="0"/>
        <w:rPr>
          <w:rStyle w:val="14"/>
          <w:rFonts w:eastAsia="黑体"/>
          <w:b w:val="0"/>
        </w:rPr>
      </w:pPr>
      <w:bookmarkStart w:id="59" w:name="_Toc15396618"/>
      <w:r>
        <w:rPr>
          <w:rFonts w:hint="eastAsia" w:eastAsia="黑体"/>
          <w:color w:val="000000"/>
          <w:sz w:val="44"/>
          <w:szCs w:val="44"/>
        </w:rPr>
        <w:t>第</w:t>
      </w:r>
      <w:r>
        <w:rPr>
          <w:rStyle w:val="14"/>
          <w:rFonts w:hint="eastAsia" w:eastAsia="黑体"/>
          <w:b w:val="0"/>
        </w:rPr>
        <w:t>五部分附表</w:t>
      </w:r>
      <w:bookmarkEnd w:id="57"/>
      <w:bookmarkEnd w:id="59"/>
    </w:p>
    <w:p>
      <w:pPr>
        <w:pStyle w:val="3"/>
        <w:spacing w:line="360" w:lineRule="auto"/>
        <w:rPr>
          <w:rFonts w:ascii="Times New Roman" w:hAnsi="Times New Roman" w:eastAsia="仿宋" w:cs="Times New Roman"/>
          <w:color w:val="000000"/>
        </w:rPr>
      </w:pPr>
      <w:bookmarkStart w:id="60" w:name="_Toc15396619"/>
      <w:r>
        <w:rPr>
          <w:rFonts w:hint="eastAsia" w:ascii="Times New Roman" w:hAnsi="Times New Roman" w:eastAsia="仿宋" w:cs="Times New Roman"/>
          <w:b w:val="0"/>
          <w:color w:val="000000"/>
        </w:rPr>
        <w:t>一、收</w:t>
      </w:r>
      <w:r>
        <w:rPr>
          <w:rStyle w:val="15"/>
          <w:rFonts w:hint="eastAsia" w:ascii="Times New Roman" w:hAnsi="Times New Roman" w:eastAsia="仿宋" w:cs="Times New Roman"/>
          <w:b w:val="0"/>
          <w:bCs w:val="0"/>
        </w:rPr>
        <w:t>入支出决算总表</w:t>
      </w:r>
      <w:bookmarkEnd w:id="60"/>
    </w:p>
    <w:p>
      <w:pPr>
        <w:pStyle w:val="3"/>
        <w:spacing w:line="360" w:lineRule="auto"/>
        <w:rPr>
          <w:rFonts w:ascii="Times New Roman" w:hAnsi="Times New Roman" w:eastAsia="仿宋" w:cs="Times New Roman"/>
          <w:color w:val="000000"/>
        </w:rPr>
      </w:pPr>
      <w:bookmarkStart w:id="61" w:name="_Toc15396620"/>
      <w:r>
        <w:rPr>
          <w:rFonts w:hint="eastAsia" w:ascii="Times New Roman" w:hAnsi="Times New Roman" w:eastAsia="仿宋" w:cs="Times New Roman"/>
          <w:b w:val="0"/>
          <w:color w:val="000000"/>
        </w:rPr>
        <w:t>二、收</w:t>
      </w:r>
      <w:r>
        <w:rPr>
          <w:rStyle w:val="15"/>
          <w:rFonts w:hint="eastAsia" w:ascii="Times New Roman" w:hAnsi="Times New Roman" w:eastAsia="仿宋" w:cs="Times New Roman"/>
          <w:b w:val="0"/>
          <w:bCs w:val="0"/>
        </w:rPr>
        <w:t>入决算表</w:t>
      </w:r>
      <w:bookmarkEnd w:id="61"/>
    </w:p>
    <w:p>
      <w:pPr>
        <w:pStyle w:val="3"/>
        <w:spacing w:line="360" w:lineRule="auto"/>
        <w:rPr>
          <w:rFonts w:ascii="Times New Roman" w:hAnsi="Times New Roman" w:eastAsia="仿宋" w:cs="Times New Roman"/>
          <w:color w:val="000000"/>
        </w:rPr>
      </w:pPr>
      <w:bookmarkStart w:id="62" w:name="_Toc15396621"/>
      <w:r>
        <w:rPr>
          <w:rStyle w:val="15"/>
          <w:rFonts w:hint="eastAsia" w:ascii="Times New Roman" w:hAnsi="Times New Roman" w:eastAsia="仿宋" w:cs="Times New Roman"/>
          <w:b w:val="0"/>
          <w:bCs w:val="0"/>
        </w:rPr>
        <w:t>三、</w:t>
      </w:r>
      <w:r>
        <w:rPr>
          <w:rFonts w:hint="eastAsia" w:ascii="Times New Roman" w:hAnsi="Times New Roman" w:eastAsia="仿宋" w:cs="Times New Roman"/>
          <w:b w:val="0"/>
          <w:color w:val="000000"/>
        </w:rPr>
        <w:t>支</w:t>
      </w:r>
      <w:r>
        <w:rPr>
          <w:rStyle w:val="15"/>
          <w:rFonts w:hint="eastAsia" w:ascii="Times New Roman" w:hAnsi="Times New Roman" w:eastAsia="仿宋" w:cs="Times New Roman"/>
          <w:b w:val="0"/>
          <w:bCs w:val="0"/>
        </w:rPr>
        <w:t>出决算表</w:t>
      </w:r>
      <w:bookmarkEnd w:id="62"/>
    </w:p>
    <w:p>
      <w:pPr>
        <w:pStyle w:val="3"/>
        <w:spacing w:line="360" w:lineRule="auto"/>
        <w:rPr>
          <w:rFonts w:ascii="Times New Roman" w:hAnsi="Times New Roman" w:eastAsia="仿宋" w:cs="Times New Roman"/>
          <w:b w:val="0"/>
          <w:color w:val="000000"/>
        </w:rPr>
      </w:pPr>
      <w:bookmarkStart w:id="63" w:name="_Toc15396622"/>
      <w:r>
        <w:rPr>
          <w:rStyle w:val="15"/>
          <w:rFonts w:hint="eastAsia" w:ascii="Times New Roman" w:hAnsi="Times New Roman" w:eastAsia="仿宋" w:cs="Times New Roman"/>
          <w:b w:val="0"/>
          <w:bCs w:val="0"/>
        </w:rPr>
        <w:t>四、</w:t>
      </w:r>
      <w:r>
        <w:rPr>
          <w:rFonts w:hint="eastAsia" w:ascii="Times New Roman" w:hAnsi="Times New Roman" w:eastAsia="仿宋" w:cs="Times New Roman"/>
          <w:b w:val="0"/>
          <w:color w:val="000000"/>
        </w:rPr>
        <w:t>财</w:t>
      </w:r>
      <w:r>
        <w:rPr>
          <w:rStyle w:val="15"/>
          <w:rFonts w:hint="eastAsia" w:ascii="Times New Roman" w:hAnsi="Times New Roman" w:eastAsia="仿宋" w:cs="Times New Roman"/>
          <w:b w:val="0"/>
          <w:bCs w:val="0"/>
        </w:rPr>
        <w:t>政拨款收入支出决算总表</w:t>
      </w:r>
      <w:bookmarkEnd w:id="63"/>
    </w:p>
    <w:p>
      <w:pPr>
        <w:pStyle w:val="3"/>
        <w:spacing w:line="360" w:lineRule="auto"/>
        <w:rPr>
          <w:rStyle w:val="15"/>
          <w:rFonts w:ascii="Times New Roman" w:hAnsi="Times New Roman" w:eastAsia="仿宋" w:cs="Times New Roman"/>
          <w:b w:val="0"/>
          <w:bCs w:val="0"/>
        </w:rPr>
      </w:pPr>
      <w:bookmarkStart w:id="64" w:name="_Toc15396623"/>
      <w:r>
        <w:rPr>
          <w:rStyle w:val="15"/>
          <w:rFonts w:hint="eastAsia" w:ascii="Times New Roman" w:hAnsi="Times New Roman" w:eastAsia="仿宋" w:cs="Times New Roman"/>
          <w:b w:val="0"/>
          <w:bCs w:val="0"/>
        </w:rPr>
        <w:t>五、</w:t>
      </w:r>
      <w:r>
        <w:rPr>
          <w:rFonts w:hint="eastAsia" w:ascii="Times New Roman" w:hAnsi="Times New Roman" w:eastAsia="仿宋" w:cs="Times New Roman"/>
          <w:b w:val="0"/>
          <w:color w:val="000000"/>
        </w:rPr>
        <w:t>财</w:t>
      </w:r>
      <w:r>
        <w:rPr>
          <w:rStyle w:val="15"/>
          <w:rFonts w:hint="eastAsia" w:ascii="Times New Roman" w:hAnsi="Times New Roman" w:eastAsia="仿宋" w:cs="Times New Roman"/>
          <w:b w:val="0"/>
          <w:bCs w:val="0"/>
        </w:rPr>
        <w:t>政拨款支出决算明细表</w:t>
      </w:r>
      <w:bookmarkEnd w:id="64"/>
      <w:bookmarkStart w:id="65" w:name="_Toc15396624"/>
    </w:p>
    <w:p>
      <w:pPr>
        <w:pStyle w:val="3"/>
        <w:spacing w:line="360" w:lineRule="auto"/>
        <w:rPr>
          <w:rFonts w:ascii="Times New Roman" w:hAnsi="Times New Roman" w:eastAsia="仿宋" w:cs="Times New Roman"/>
          <w:color w:val="000000"/>
        </w:rPr>
      </w:pPr>
      <w:r>
        <w:rPr>
          <w:rStyle w:val="15"/>
          <w:rFonts w:hint="eastAsia" w:ascii="Times New Roman" w:hAnsi="Times New Roman" w:eastAsia="仿宋" w:cs="Times New Roman"/>
          <w:b w:val="0"/>
          <w:bCs w:val="0"/>
        </w:rPr>
        <w:t>六、</w:t>
      </w:r>
      <w:r>
        <w:rPr>
          <w:rFonts w:hint="eastAsia" w:ascii="Times New Roman" w:hAnsi="Times New Roman" w:eastAsia="仿宋" w:cs="Times New Roman"/>
          <w:b w:val="0"/>
          <w:color w:val="000000"/>
        </w:rPr>
        <w:t>一</w:t>
      </w:r>
      <w:r>
        <w:rPr>
          <w:rStyle w:val="15"/>
          <w:rFonts w:hint="eastAsia" w:ascii="Times New Roman" w:hAnsi="Times New Roman" w:eastAsia="仿宋" w:cs="Times New Roman"/>
          <w:b w:val="0"/>
          <w:bCs w:val="0"/>
        </w:rPr>
        <w:t>般公共预算财政拨款支出决算表</w:t>
      </w:r>
      <w:bookmarkEnd w:id="65"/>
    </w:p>
    <w:p>
      <w:pPr>
        <w:pStyle w:val="3"/>
        <w:spacing w:line="360" w:lineRule="auto"/>
        <w:rPr>
          <w:rFonts w:ascii="Times New Roman" w:hAnsi="Times New Roman" w:eastAsia="仿宋" w:cs="Times New Roman"/>
          <w:color w:val="000000"/>
        </w:rPr>
      </w:pPr>
      <w:bookmarkStart w:id="66" w:name="_Toc15396625"/>
      <w:r>
        <w:rPr>
          <w:rStyle w:val="15"/>
          <w:rFonts w:hint="eastAsia" w:ascii="Times New Roman" w:hAnsi="Times New Roman" w:eastAsia="仿宋" w:cs="Times New Roman"/>
          <w:b w:val="0"/>
          <w:bCs w:val="0"/>
        </w:rPr>
        <w:t>七、</w:t>
      </w:r>
      <w:r>
        <w:rPr>
          <w:rFonts w:hint="eastAsia" w:ascii="Times New Roman" w:hAnsi="Times New Roman" w:eastAsia="仿宋" w:cs="Times New Roman"/>
          <w:b w:val="0"/>
          <w:color w:val="000000"/>
        </w:rPr>
        <w:t>一</w:t>
      </w:r>
      <w:r>
        <w:rPr>
          <w:rStyle w:val="15"/>
          <w:rFonts w:hint="eastAsia" w:ascii="Times New Roman" w:hAnsi="Times New Roman" w:eastAsia="仿宋" w:cs="Times New Roman"/>
          <w:b w:val="0"/>
          <w:bCs w:val="0"/>
        </w:rPr>
        <w:t>般公共预算财政拨款支出决算明细表</w:t>
      </w:r>
      <w:bookmarkEnd w:id="66"/>
    </w:p>
    <w:p>
      <w:pPr>
        <w:pStyle w:val="3"/>
        <w:spacing w:line="360" w:lineRule="auto"/>
        <w:rPr>
          <w:rFonts w:ascii="Times New Roman" w:hAnsi="Times New Roman" w:eastAsia="仿宋" w:cs="Times New Roman"/>
          <w:color w:val="000000"/>
        </w:rPr>
      </w:pPr>
      <w:bookmarkStart w:id="67" w:name="_Toc15396626"/>
      <w:r>
        <w:rPr>
          <w:rStyle w:val="15"/>
          <w:rFonts w:hint="eastAsia" w:ascii="Times New Roman" w:hAnsi="Times New Roman" w:eastAsia="仿宋" w:cs="Times New Roman"/>
          <w:b w:val="0"/>
          <w:bCs w:val="0"/>
        </w:rPr>
        <w:t>八、</w:t>
      </w:r>
      <w:r>
        <w:rPr>
          <w:rFonts w:hint="eastAsia" w:ascii="Times New Roman" w:hAnsi="Times New Roman" w:eastAsia="仿宋" w:cs="Times New Roman"/>
          <w:b w:val="0"/>
          <w:color w:val="000000"/>
        </w:rPr>
        <w:t>一</w:t>
      </w:r>
      <w:r>
        <w:rPr>
          <w:rStyle w:val="15"/>
          <w:rFonts w:hint="eastAsia" w:ascii="Times New Roman" w:hAnsi="Times New Roman" w:eastAsia="仿宋" w:cs="Times New Roman"/>
          <w:b w:val="0"/>
          <w:bCs w:val="0"/>
        </w:rPr>
        <w:t>般公共预算财政拨款基本支出决算表</w:t>
      </w:r>
      <w:bookmarkEnd w:id="67"/>
    </w:p>
    <w:p>
      <w:pPr>
        <w:pStyle w:val="3"/>
        <w:spacing w:line="360" w:lineRule="auto"/>
        <w:rPr>
          <w:rFonts w:ascii="Times New Roman" w:hAnsi="Times New Roman" w:eastAsia="仿宋" w:cs="Times New Roman"/>
          <w:color w:val="000000"/>
        </w:rPr>
      </w:pPr>
      <w:bookmarkStart w:id="68" w:name="_Toc15396627"/>
      <w:r>
        <w:rPr>
          <w:rStyle w:val="15"/>
          <w:rFonts w:hint="eastAsia" w:ascii="Times New Roman" w:hAnsi="Times New Roman" w:eastAsia="仿宋" w:cs="Times New Roman"/>
          <w:b w:val="0"/>
          <w:bCs w:val="0"/>
        </w:rPr>
        <w:t>九、</w:t>
      </w:r>
      <w:r>
        <w:rPr>
          <w:rFonts w:hint="eastAsia" w:ascii="Times New Roman" w:hAnsi="Times New Roman" w:eastAsia="仿宋" w:cs="Times New Roman"/>
          <w:b w:val="0"/>
          <w:color w:val="000000"/>
        </w:rPr>
        <w:t>一</w:t>
      </w:r>
      <w:r>
        <w:rPr>
          <w:rStyle w:val="15"/>
          <w:rFonts w:hint="eastAsia" w:ascii="Times New Roman" w:hAnsi="Times New Roman" w:eastAsia="仿宋" w:cs="Times New Roman"/>
          <w:b w:val="0"/>
          <w:bCs w:val="0"/>
        </w:rPr>
        <w:t>般公共预算财政拨款项目支出决算表</w:t>
      </w:r>
      <w:bookmarkEnd w:id="68"/>
    </w:p>
    <w:p>
      <w:pPr>
        <w:pStyle w:val="3"/>
        <w:spacing w:line="360" w:lineRule="auto"/>
        <w:rPr>
          <w:rFonts w:ascii="Times New Roman" w:hAnsi="Times New Roman" w:eastAsia="仿宋" w:cs="Times New Roman"/>
          <w:color w:val="000000"/>
        </w:rPr>
      </w:pPr>
      <w:bookmarkStart w:id="69" w:name="_Toc15396628"/>
      <w:r>
        <w:rPr>
          <w:rStyle w:val="15"/>
          <w:rFonts w:hint="eastAsia" w:ascii="Times New Roman" w:hAnsi="Times New Roman" w:eastAsia="仿宋" w:cs="Times New Roman"/>
          <w:b w:val="0"/>
          <w:bCs w:val="0"/>
        </w:rPr>
        <w:t>十、</w:t>
      </w:r>
      <w:r>
        <w:rPr>
          <w:rFonts w:hint="eastAsia" w:ascii="Times New Roman" w:hAnsi="Times New Roman" w:eastAsia="仿宋" w:cs="Times New Roman"/>
          <w:b w:val="0"/>
          <w:color w:val="000000"/>
        </w:rPr>
        <w:t>一</w:t>
      </w:r>
      <w:r>
        <w:rPr>
          <w:rStyle w:val="15"/>
          <w:rFonts w:hint="eastAsia" w:ascii="Times New Roman" w:hAnsi="Times New Roman" w:eastAsia="仿宋" w:cs="Times New Roman"/>
          <w:b w:val="0"/>
          <w:bCs w:val="0"/>
        </w:rPr>
        <w:t>般公共预算财政拨款“三公”经费支出决算表</w:t>
      </w:r>
      <w:bookmarkEnd w:id="69"/>
    </w:p>
    <w:p>
      <w:pPr>
        <w:pStyle w:val="3"/>
        <w:spacing w:line="360" w:lineRule="auto"/>
        <w:rPr>
          <w:rFonts w:ascii="Times New Roman" w:hAnsi="Times New Roman" w:eastAsia="仿宋" w:cs="Times New Roman"/>
          <w:color w:val="000000"/>
        </w:rPr>
      </w:pPr>
      <w:bookmarkStart w:id="70" w:name="_Toc15396629"/>
      <w:r>
        <w:rPr>
          <w:rStyle w:val="15"/>
          <w:rFonts w:hint="eastAsia" w:ascii="Times New Roman" w:hAnsi="Times New Roman" w:eastAsia="仿宋" w:cs="Times New Roman"/>
          <w:b w:val="0"/>
          <w:bCs w:val="0"/>
        </w:rPr>
        <w:t>十一、</w:t>
      </w:r>
      <w:r>
        <w:rPr>
          <w:rFonts w:hint="eastAsia" w:ascii="Times New Roman" w:hAnsi="Times New Roman" w:eastAsia="仿宋" w:cs="Times New Roman"/>
          <w:b w:val="0"/>
          <w:color w:val="000000"/>
        </w:rPr>
        <w:t>政</w:t>
      </w:r>
      <w:r>
        <w:rPr>
          <w:rStyle w:val="15"/>
          <w:rFonts w:hint="eastAsia" w:ascii="Times New Roman" w:hAnsi="Times New Roman" w:eastAsia="仿宋" w:cs="Times New Roman"/>
          <w:b w:val="0"/>
          <w:bCs w:val="0"/>
        </w:rPr>
        <w:t>府性基金预算财政拨款收入支出决算表</w:t>
      </w:r>
      <w:bookmarkEnd w:id="70"/>
      <w:r>
        <w:rPr>
          <w:rStyle w:val="15"/>
          <w:rFonts w:hint="eastAsia" w:ascii="Times New Roman" w:hAnsi="Times New Roman" w:eastAsia="仿宋" w:cs="Times New Roman"/>
          <w:b w:val="0"/>
          <w:bCs w:val="0"/>
        </w:rPr>
        <w:t>，此表无数据</w:t>
      </w:r>
    </w:p>
    <w:p>
      <w:pPr>
        <w:pStyle w:val="3"/>
        <w:spacing w:line="360" w:lineRule="auto"/>
        <w:rPr>
          <w:rFonts w:ascii="Times New Roman" w:hAnsi="Times New Roman" w:eastAsia="仿宋" w:cs="Times New Roman"/>
          <w:color w:val="000000"/>
        </w:rPr>
      </w:pPr>
      <w:bookmarkStart w:id="71" w:name="_Toc15396630"/>
      <w:r>
        <w:rPr>
          <w:rStyle w:val="15"/>
          <w:rFonts w:hint="eastAsia" w:ascii="Times New Roman" w:hAnsi="Times New Roman" w:eastAsia="仿宋" w:cs="Times New Roman"/>
          <w:b w:val="0"/>
          <w:bCs w:val="0"/>
        </w:rPr>
        <w:t>十二、</w:t>
      </w:r>
      <w:r>
        <w:rPr>
          <w:rFonts w:hint="eastAsia" w:ascii="Times New Roman" w:hAnsi="Times New Roman" w:eastAsia="仿宋" w:cs="Times New Roman"/>
          <w:b w:val="0"/>
          <w:color w:val="000000"/>
        </w:rPr>
        <w:t>政</w:t>
      </w:r>
      <w:r>
        <w:rPr>
          <w:rStyle w:val="15"/>
          <w:rFonts w:hint="eastAsia" w:ascii="Times New Roman" w:hAnsi="Times New Roman" w:eastAsia="仿宋" w:cs="Times New Roman"/>
          <w:b w:val="0"/>
          <w:bCs w:val="0"/>
        </w:rPr>
        <w:t>府性基金预算财政拨款“三公”经费支出决算表</w:t>
      </w:r>
      <w:bookmarkEnd w:id="71"/>
      <w:r>
        <w:rPr>
          <w:rStyle w:val="15"/>
          <w:rFonts w:hint="eastAsia" w:ascii="Times New Roman" w:hAnsi="Times New Roman" w:eastAsia="仿宋" w:cs="Times New Roman"/>
          <w:b w:val="0"/>
          <w:bCs w:val="0"/>
        </w:rPr>
        <w:t>，此表无数据</w:t>
      </w:r>
    </w:p>
    <w:p>
      <w:pPr>
        <w:pStyle w:val="3"/>
        <w:spacing w:line="360" w:lineRule="auto"/>
        <w:rPr>
          <w:rFonts w:ascii="Times New Roman" w:hAnsi="Times New Roman" w:eastAsia="仿宋" w:cs="Times New Roman"/>
          <w:color w:val="000000"/>
        </w:rPr>
      </w:pPr>
      <w:bookmarkStart w:id="72" w:name="_Toc15396631"/>
      <w:r>
        <w:rPr>
          <w:rStyle w:val="15"/>
          <w:rFonts w:hint="eastAsia" w:ascii="Times New Roman" w:hAnsi="Times New Roman" w:eastAsia="仿宋" w:cs="Times New Roman"/>
          <w:b w:val="0"/>
          <w:bCs w:val="0"/>
        </w:rPr>
        <w:t>十三、</w:t>
      </w:r>
      <w:r>
        <w:rPr>
          <w:rFonts w:hint="eastAsia" w:ascii="Times New Roman" w:hAnsi="Times New Roman" w:eastAsia="仿宋" w:cs="Times New Roman"/>
          <w:b w:val="0"/>
          <w:color w:val="000000"/>
        </w:rPr>
        <w:t>国</w:t>
      </w:r>
      <w:r>
        <w:rPr>
          <w:rStyle w:val="15"/>
          <w:rFonts w:hint="eastAsia" w:ascii="Times New Roman" w:hAnsi="Times New Roman" w:eastAsia="仿宋" w:cs="Times New Roman"/>
          <w:b w:val="0"/>
          <w:bCs w:val="0"/>
        </w:rPr>
        <w:t>有资本经营预算支出决算表</w:t>
      </w:r>
      <w:bookmarkEnd w:id="72"/>
      <w:r>
        <w:rPr>
          <w:rStyle w:val="15"/>
          <w:rFonts w:hint="eastAsia" w:ascii="Times New Roman" w:hAnsi="Times New Roman" w:eastAsia="仿宋" w:cs="Times New Roman"/>
          <w:b w:val="0"/>
          <w:bCs w:val="0"/>
        </w:rPr>
        <w:t>，此表无数据</w:t>
      </w: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1994781956"/>
                </w:sdtPr>
                <w:sdtContent>
                  <w:p>
                    <w:pPr>
                      <w:pStyle w:val="6"/>
                      <w:jc w:val="center"/>
                    </w:pPr>
                    <w:r>
                      <w:fldChar w:fldCharType="begin"/>
                    </w:r>
                    <w:r>
                      <w:instrText xml:space="preserve">PAGE   \* MERGEFORMAT</w:instrText>
                    </w:r>
                    <w:r>
                      <w:fldChar w:fldCharType="separate"/>
                    </w:r>
                    <w:r>
                      <w:rPr>
                        <w:lang w:val="zh-CN"/>
                      </w:rPr>
                      <w:t>28</w:t>
                    </w:r>
                    <w:r>
                      <w:rPr>
                        <w:lang w:val="zh-CN"/>
                      </w:rPr>
                      <w:fldChar w:fldCharType="end"/>
                    </w:r>
                  </w:p>
                </w:sdtContent>
              </w:sdt>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4DE04F"/>
    <w:multiLevelType w:val="singleLevel"/>
    <w:tmpl w:val="E24DE04F"/>
    <w:lvl w:ilvl="0" w:tentative="0">
      <w:start w:val="2"/>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4295ACA"/>
    <w:multiLevelType w:val="singleLevel"/>
    <w:tmpl w:val="E4295ACA"/>
    <w:lvl w:ilvl="0" w:tentative="0">
      <w:start w:val="1"/>
      <w:numFmt w:val="decimal"/>
      <w:lvlText w:val="%1."/>
      <w:lvlJc w:val="left"/>
      <w:pPr>
        <w:tabs>
          <w:tab w:val="left" w:pos="312"/>
        </w:tabs>
      </w:pPr>
    </w:lvl>
  </w:abstractNum>
  <w:abstractNum w:abstractNumId="4">
    <w:nsid w:val="FE1A8139"/>
    <w:multiLevelType w:val="singleLevel"/>
    <w:tmpl w:val="FE1A8139"/>
    <w:lvl w:ilvl="0" w:tentative="0">
      <w:start w:val="1"/>
      <w:numFmt w:val="upperLetter"/>
      <w:lvlText w:val="%1."/>
      <w:lvlJc w:val="left"/>
      <w:pPr>
        <w:tabs>
          <w:tab w:val="left" w:pos="312"/>
        </w:tabs>
      </w:pPr>
    </w:lvl>
  </w:abstractNum>
  <w:abstractNum w:abstractNumId="5">
    <w:nsid w:val="10604007"/>
    <w:multiLevelType w:val="singleLevel"/>
    <w:tmpl w:val="10604007"/>
    <w:lvl w:ilvl="0" w:tentative="0">
      <w:start w:val="1"/>
      <w:numFmt w:val="chineseCounting"/>
      <w:suff w:val="space"/>
      <w:lvlText w:val="第%1部分"/>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C519432"/>
    <w:multiLevelType w:val="singleLevel"/>
    <w:tmpl w:val="3C519432"/>
    <w:lvl w:ilvl="0" w:tentative="0">
      <w:start w:val="1"/>
      <w:numFmt w:val="chineseCounting"/>
      <w:suff w:val="nothing"/>
      <w:lvlText w:val="（%1）"/>
      <w:lvlJc w:val="left"/>
      <w:rPr>
        <w:rFonts w:hint="eastAsia"/>
      </w:rPr>
    </w:lvl>
  </w:abstractNum>
  <w:abstractNum w:abstractNumId="8">
    <w:nsid w:val="4BF4CF45"/>
    <w:multiLevelType w:val="singleLevel"/>
    <w:tmpl w:val="4BF4CF45"/>
    <w:lvl w:ilvl="0" w:tentative="0">
      <w:start w:val="1"/>
      <w:numFmt w:val="chineseCounting"/>
      <w:suff w:val="nothing"/>
      <w:lvlText w:val="（%1）"/>
      <w:lvlJc w:val="left"/>
      <w:rPr>
        <w:rFonts w:hint="eastAsia"/>
      </w:rPr>
    </w:lvl>
  </w:abstractNum>
  <w:abstractNum w:abstractNumId="9">
    <w:nsid w:val="5BA906B6"/>
    <w:multiLevelType w:val="singleLevel"/>
    <w:tmpl w:val="5BA906B6"/>
    <w:lvl w:ilvl="0" w:tentative="0">
      <w:start w:val="2"/>
      <w:numFmt w:val="decimal"/>
      <w:suff w:val="nothing"/>
      <w:lvlText w:val="%1．"/>
      <w:lvlJc w:val="left"/>
    </w:lvl>
  </w:abstractNum>
  <w:abstractNum w:abstractNumId="10">
    <w:nsid w:val="6C3CB14B"/>
    <w:multiLevelType w:val="singleLevel"/>
    <w:tmpl w:val="6C3CB14B"/>
    <w:lvl w:ilvl="0" w:tentative="0">
      <w:start w:val="4"/>
      <w:numFmt w:val="decimal"/>
      <w:suff w:val="nothing"/>
      <w:lvlText w:val="%1．"/>
      <w:lvlJc w:val="left"/>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10"/>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886FA7"/>
    <w:rsid w:val="00302E02"/>
    <w:rsid w:val="004331D8"/>
    <w:rsid w:val="005C0A86"/>
    <w:rsid w:val="008025DA"/>
    <w:rsid w:val="00872521"/>
    <w:rsid w:val="008A7DC4"/>
    <w:rsid w:val="008E54C6"/>
    <w:rsid w:val="00D337F5"/>
    <w:rsid w:val="00FC0AB4"/>
    <w:rsid w:val="012D4891"/>
    <w:rsid w:val="0293638D"/>
    <w:rsid w:val="02C77DF7"/>
    <w:rsid w:val="02DE5AC1"/>
    <w:rsid w:val="03823122"/>
    <w:rsid w:val="03C05E05"/>
    <w:rsid w:val="055E390C"/>
    <w:rsid w:val="059919EC"/>
    <w:rsid w:val="063F523A"/>
    <w:rsid w:val="064166BB"/>
    <w:rsid w:val="065E0CD3"/>
    <w:rsid w:val="06CD58D4"/>
    <w:rsid w:val="082A047A"/>
    <w:rsid w:val="085038C5"/>
    <w:rsid w:val="09A27CE8"/>
    <w:rsid w:val="09F51081"/>
    <w:rsid w:val="0A932145"/>
    <w:rsid w:val="0AAD1467"/>
    <w:rsid w:val="0ACA273D"/>
    <w:rsid w:val="0B0002B2"/>
    <w:rsid w:val="0CCD1651"/>
    <w:rsid w:val="0E0B5B36"/>
    <w:rsid w:val="0E385BA4"/>
    <w:rsid w:val="0FD549F0"/>
    <w:rsid w:val="0FF76EA6"/>
    <w:rsid w:val="12C37509"/>
    <w:rsid w:val="13657D4D"/>
    <w:rsid w:val="13EF136C"/>
    <w:rsid w:val="14812203"/>
    <w:rsid w:val="14FE1F4A"/>
    <w:rsid w:val="1500371E"/>
    <w:rsid w:val="151B0F91"/>
    <w:rsid w:val="158D71DA"/>
    <w:rsid w:val="15B47B02"/>
    <w:rsid w:val="16456E4E"/>
    <w:rsid w:val="16986C8E"/>
    <w:rsid w:val="19FD49AD"/>
    <w:rsid w:val="1A3F3398"/>
    <w:rsid w:val="1A5F5A8F"/>
    <w:rsid w:val="1B75181D"/>
    <w:rsid w:val="1C586600"/>
    <w:rsid w:val="1D3D6623"/>
    <w:rsid w:val="1D68779C"/>
    <w:rsid w:val="1F516A16"/>
    <w:rsid w:val="20F97B1E"/>
    <w:rsid w:val="210B3DC2"/>
    <w:rsid w:val="21C80BA8"/>
    <w:rsid w:val="22846C0E"/>
    <w:rsid w:val="228853CB"/>
    <w:rsid w:val="23DF4544"/>
    <w:rsid w:val="23E0053D"/>
    <w:rsid w:val="25231EEF"/>
    <w:rsid w:val="253C7446"/>
    <w:rsid w:val="25400EC6"/>
    <w:rsid w:val="257A3388"/>
    <w:rsid w:val="25D32A11"/>
    <w:rsid w:val="25E01BA8"/>
    <w:rsid w:val="25EB23C7"/>
    <w:rsid w:val="26030F98"/>
    <w:rsid w:val="2696036F"/>
    <w:rsid w:val="283A62BB"/>
    <w:rsid w:val="283C5129"/>
    <w:rsid w:val="28952FA9"/>
    <w:rsid w:val="28E23978"/>
    <w:rsid w:val="2BB14C9B"/>
    <w:rsid w:val="2C4F6602"/>
    <w:rsid w:val="2E0F534E"/>
    <w:rsid w:val="2E89110B"/>
    <w:rsid w:val="2EB2058E"/>
    <w:rsid w:val="2FAB1DE3"/>
    <w:rsid w:val="2FC92E91"/>
    <w:rsid w:val="2FEC5D8D"/>
    <w:rsid w:val="30256512"/>
    <w:rsid w:val="30AD1BB8"/>
    <w:rsid w:val="312F6948"/>
    <w:rsid w:val="32355660"/>
    <w:rsid w:val="326D5F9A"/>
    <w:rsid w:val="32DB044E"/>
    <w:rsid w:val="33C611D0"/>
    <w:rsid w:val="34090A6B"/>
    <w:rsid w:val="364D5698"/>
    <w:rsid w:val="36F572D1"/>
    <w:rsid w:val="37003392"/>
    <w:rsid w:val="38172379"/>
    <w:rsid w:val="38507CE3"/>
    <w:rsid w:val="39EF52EA"/>
    <w:rsid w:val="3A456D8F"/>
    <w:rsid w:val="3B273A69"/>
    <w:rsid w:val="3BA942BA"/>
    <w:rsid w:val="3BB3622F"/>
    <w:rsid w:val="3BCC06F7"/>
    <w:rsid w:val="3C0607DF"/>
    <w:rsid w:val="3C103104"/>
    <w:rsid w:val="3C28474F"/>
    <w:rsid w:val="3CB94925"/>
    <w:rsid w:val="3D8F3DA4"/>
    <w:rsid w:val="3E0D339E"/>
    <w:rsid w:val="3E9E468B"/>
    <w:rsid w:val="3F92650B"/>
    <w:rsid w:val="3F973E3C"/>
    <w:rsid w:val="40824229"/>
    <w:rsid w:val="40A00748"/>
    <w:rsid w:val="4112493A"/>
    <w:rsid w:val="42924C9B"/>
    <w:rsid w:val="436C0855"/>
    <w:rsid w:val="443C7034"/>
    <w:rsid w:val="44A93889"/>
    <w:rsid w:val="45611C78"/>
    <w:rsid w:val="469A5BC8"/>
    <w:rsid w:val="46AB622F"/>
    <w:rsid w:val="473B55C3"/>
    <w:rsid w:val="474F7E84"/>
    <w:rsid w:val="47997A38"/>
    <w:rsid w:val="48101CB5"/>
    <w:rsid w:val="48A01054"/>
    <w:rsid w:val="4C692D7B"/>
    <w:rsid w:val="4D174B80"/>
    <w:rsid w:val="4D3223D8"/>
    <w:rsid w:val="4F402486"/>
    <w:rsid w:val="4F617EA4"/>
    <w:rsid w:val="4F884E43"/>
    <w:rsid w:val="504C6173"/>
    <w:rsid w:val="50D26849"/>
    <w:rsid w:val="514E5674"/>
    <w:rsid w:val="528B327D"/>
    <w:rsid w:val="530E02C2"/>
    <w:rsid w:val="534E6B37"/>
    <w:rsid w:val="54862F06"/>
    <w:rsid w:val="552B2775"/>
    <w:rsid w:val="571855B2"/>
    <w:rsid w:val="58021726"/>
    <w:rsid w:val="5900199D"/>
    <w:rsid w:val="599A1F46"/>
    <w:rsid w:val="59AB5745"/>
    <w:rsid w:val="59C747DA"/>
    <w:rsid w:val="5A3D10AB"/>
    <w:rsid w:val="5AD825FE"/>
    <w:rsid w:val="5B31558A"/>
    <w:rsid w:val="5C1641D2"/>
    <w:rsid w:val="5D142685"/>
    <w:rsid w:val="5DF80D38"/>
    <w:rsid w:val="5E023937"/>
    <w:rsid w:val="5F983A18"/>
    <w:rsid w:val="5FA039CD"/>
    <w:rsid w:val="615733B1"/>
    <w:rsid w:val="617D0825"/>
    <w:rsid w:val="62421BE6"/>
    <w:rsid w:val="628324AC"/>
    <w:rsid w:val="62DF6BC5"/>
    <w:rsid w:val="63891124"/>
    <w:rsid w:val="638C7E8E"/>
    <w:rsid w:val="63AB1FCF"/>
    <w:rsid w:val="643D50B1"/>
    <w:rsid w:val="644F501D"/>
    <w:rsid w:val="6654071A"/>
    <w:rsid w:val="665600EE"/>
    <w:rsid w:val="67453B03"/>
    <w:rsid w:val="67CA22BE"/>
    <w:rsid w:val="67EF7DB7"/>
    <w:rsid w:val="680D7B61"/>
    <w:rsid w:val="682144B1"/>
    <w:rsid w:val="68566157"/>
    <w:rsid w:val="69183B62"/>
    <w:rsid w:val="69DF4EB6"/>
    <w:rsid w:val="69EE4F01"/>
    <w:rsid w:val="6A894E2B"/>
    <w:rsid w:val="6AFA5ADB"/>
    <w:rsid w:val="6BD241E7"/>
    <w:rsid w:val="6C913E5A"/>
    <w:rsid w:val="6CA47075"/>
    <w:rsid w:val="71736851"/>
    <w:rsid w:val="719A7E48"/>
    <w:rsid w:val="72BD6A5D"/>
    <w:rsid w:val="72BF4AC7"/>
    <w:rsid w:val="737D68FD"/>
    <w:rsid w:val="73C847C9"/>
    <w:rsid w:val="7411053D"/>
    <w:rsid w:val="74A01155"/>
    <w:rsid w:val="75557C12"/>
    <w:rsid w:val="755B0734"/>
    <w:rsid w:val="76E20C7A"/>
    <w:rsid w:val="7A173712"/>
    <w:rsid w:val="7AC42BC1"/>
    <w:rsid w:val="7BDD1970"/>
    <w:rsid w:val="7D886FA7"/>
    <w:rsid w:val="7D9E7A6F"/>
    <w:rsid w:val="7EC8497D"/>
    <w:rsid w:val="7FA55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Balloon Text"/>
    <w:basedOn w:val="1"/>
    <w:link w:val="18"/>
    <w:uiPriority w:val="0"/>
    <w:rPr>
      <w:sz w:val="18"/>
      <w:szCs w:val="18"/>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basedOn w:val="11"/>
    <w:qFormat/>
    <w:uiPriority w:val="99"/>
    <w:rPr>
      <w:b/>
    </w:rPr>
  </w:style>
  <w:style w:type="character" w:styleId="13">
    <w:name w:val="Hyperlink"/>
    <w:basedOn w:val="11"/>
    <w:unhideWhenUsed/>
    <w:qFormat/>
    <w:uiPriority w:val="99"/>
    <w:rPr>
      <w:color w:val="0563C1" w:themeColor="hyperlink"/>
      <w:u w:val="single"/>
    </w:rPr>
  </w:style>
  <w:style w:type="character" w:customStyle="1" w:styleId="14">
    <w:name w:val="标题 1 Char"/>
    <w:basedOn w:val="11"/>
    <w:link w:val="2"/>
    <w:qFormat/>
    <w:uiPriority w:val="9"/>
    <w:rPr>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019&#24180;&#20915;&#31639;&#20844;&#24320;&#35828;&#2612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[2019年决算公开说明图表.xlsx]Sheet1!$B$2</c:f>
              <c:strCache>
                <c:ptCount val="1"/>
                <c:pt idx="0">
                  <c:v>收、支决算总计</c:v>
                </c:pt>
              </c:strCache>
            </c:strRef>
          </c:tx>
          <c:spPr>
            <a:gradFill>
              <a:gsLst>
                <a:gs pos="0">
                  <a:srgbClr val="FECF40"/>
                </a:gs>
                <a:gs pos="100000">
                  <a:srgbClr val="846C21"/>
                </a:gs>
              </a:gsLst>
              <a:lin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[2019年决算公开说明图表.xlsx]Sheet1!$A$3:$A$4</c:f>
              <c:strCache>
                <c:ptCount val="2"/>
                <c:pt idx="0">
                  <c:v>2019年</c:v>
                </c:pt>
                <c:pt idx="1">
                  <c:v>2018年</c:v>
                </c:pt>
              </c:strCache>
            </c:strRef>
          </c:cat>
          <c:val>
            <c:numRef>
              <c:f>[2019年决算公开说明图表.xlsx]Sheet1!$B$3:$B$4</c:f>
              <c:numCache>
                <c:formatCode>General</c:formatCode>
                <c:ptCount val="2"/>
                <c:pt idx="0">
                  <c:v>1265.78</c:v>
                </c:pt>
                <c:pt idx="1">
                  <c:v>1265.03</c:v>
                </c:pt>
              </c:numCache>
            </c:numRef>
          </c:val>
        </c:ser>
        <c:dLbls>
          <c:showLegendKey val="0"/>
          <c:showVal val="1"/>
          <c:showCatName val="0"/>
          <c:showSerName val="0"/>
          <c:showPercent val="0"/>
          <c:showBubbleSize val="0"/>
        </c:dLbls>
        <c:gapWidth val="75"/>
        <c:overlap val="40"/>
        <c:axId val="95926144"/>
        <c:axId val="95928320"/>
      </c:barChart>
      <c:catAx>
        <c:axId val="95926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28320"/>
        <c:crosses val="autoZero"/>
        <c:auto val="1"/>
        <c:lblAlgn val="ctr"/>
        <c:lblOffset val="100"/>
        <c:noMultiLvlLbl val="0"/>
      </c:catAx>
      <c:valAx>
        <c:axId val="95928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2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explosion val="0"/>
          <c:dPt>
            <c:idx val="0"/>
            <c:bubble3D val="0"/>
            <c:spPr>
              <a:gradFill>
                <a:gsLst>
                  <a:gs pos="0">
                    <a:srgbClr val="007BD3"/>
                  </a:gs>
                  <a:gs pos="100000">
                    <a:srgbClr val="034373"/>
                  </a:gs>
                </a:gsLst>
                <a:lin scaled="0"/>
              </a:gra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4128687395184"/>
                  <c:y val="-0.028185212153221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458057033231592"/>
                  <c:y val="0.0243425845782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[2019年决算公开说明图表.xlsx]Sheet1!$A$7:$A$8</c:f>
              <c:strCache>
                <c:ptCount val="2"/>
                <c:pt idx="0">
                  <c:v>一般公共预算财政拨款收入</c:v>
                </c:pt>
                <c:pt idx="1">
                  <c:v>其他收入</c:v>
                </c:pt>
              </c:strCache>
            </c:strRef>
          </c:cat>
          <c:val>
            <c:numRef>
              <c:f>[2019年决算公开说明图表.xlsx]Sheet1!$B$7:$B$8</c:f>
              <c:numCache>
                <c:formatCode>General</c:formatCode>
                <c:ptCount val="2"/>
                <c:pt idx="0">
                  <c:v>1259.02</c:v>
                </c:pt>
                <c:pt idx="1">
                  <c:v>0.16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a:gradFill>
              <a:gsLst>
                <a:gs pos="0">
                  <a:srgbClr val="E30000"/>
                </a:gs>
                <a:gs pos="100000">
                  <a:srgbClr val="760303"/>
                </a:gs>
              </a:gsLst>
              <a:lin ang="5400000" scaled="0"/>
            </a:gradFill>
          </c:spPr>
          <c:explosion val="0"/>
          <c:dPt>
            <c:idx val="0"/>
            <c:bubble3D val="0"/>
            <c:spPr>
              <a:gradFill>
                <a:gsLst>
                  <a:gs pos="0">
                    <a:srgbClr val="14CD68"/>
                  </a:gs>
                  <a:gs pos="100000">
                    <a:srgbClr val="035C7D"/>
                  </a:gs>
                </a:gsLst>
                <a:lin ang="5400000" scaled="0"/>
              </a:gradFill>
              <a:ln w="19050">
                <a:solidFill>
                  <a:schemeClr val="lt1"/>
                </a:solidFill>
              </a:ln>
              <a:effectLst/>
            </c:spPr>
          </c:dPt>
          <c:dPt>
            <c:idx val="1"/>
            <c:bubble3D val="0"/>
            <c:spPr>
              <a:gradFill>
                <a:gsLst>
                  <a:gs pos="0">
                    <a:srgbClr val="FBFB11"/>
                  </a:gs>
                  <a:gs pos="100000">
                    <a:srgbClr val="838309"/>
                  </a:gs>
                </a:gsLst>
                <a:lin ang="5400000" scaled="0"/>
              </a:gradFill>
              <a:ln w="19050">
                <a:solidFill>
                  <a:schemeClr val="lt1"/>
                </a:solidFill>
              </a:ln>
              <a:effectLst/>
            </c:spPr>
          </c:dPt>
          <c:dLbls>
            <c:dLbl>
              <c:idx val="0"/>
              <c:layout>
                <c:manualLayout>
                  <c:x val="0.142953342929747"/>
                  <c:y val="-0.1212294543634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[2019年决算公开说明图表.xlsx]Sheet1!$A$10:$A$11</c:f>
              <c:strCache>
                <c:ptCount val="2"/>
                <c:pt idx="0">
                  <c:v>基本支出</c:v>
                </c:pt>
                <c:pt idx="1">
                  <c:v>项目支出</c:v>
                </c:pt>
              </c:strCache>
            </c:strRef>
          </c:cat>
          <c:val>
            <c:numRef>
              <c:f>[2019年决算公开说明图表.xlsx]Sheet1!$B$10:$B$11</c:f>
              <c:numCache>
                <c:formatCode>General</c:formatCode>
                <c:ptCount val="2"/>
                <c:pt idx="0">
                  <c:v>1168.92</c:v>
                </c:pt>
                <c:pt idx="1">
                  <c:v>96.7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gradFill>
              <a:gsLst>
                <a:gs pos="0">
                  <a:srgbClr val="9EE256"/>
                </a:gs>
                <a:gs pos="100000">
                  <a:srgbClr val="52762D"/>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[2019年决算公开说明图表.xlsx]Sheet1!$D$3:$D$4</c:f>
              <c:strCache>
                <c:ptCount val="2"/>
                <c:pt idx="0">
                  <c:v>2019年</c:v>
                </c:pt>
                <c:pt idx="1">
                  <c:v>2018年</c:v>
                </c:pt>
              </c:strCache>
            </c:strRef>
          </c:cat>
          <c:val>
            <c:numRef>
              <c:f>[2019年决算公开说明图表.xlsx]Sheet1!$E$3:$E$4</c:f>
              <c:numCache>
                <c:formatCode>General</c:formatCode>
                <c:ptCount val="2"/>
                <c:pt idx="0">
                  <c:v>1265.53</c:v>
                </c:pt>
                <c:pt idx="1">
                  <c:v>1264.94</c:v>
                </c:pt>
              </c:numCache>
            </c:numRef>
          </c:val>
        </c:ser>
        <c:dLbls>
          <c:showLegendKey val="0"/>
          <c:showVal val="1"/>
          <c:showCatName val="0"/>
          <c:showSerName val="0"/>
          <c:showPercent val="0"/>
          <c:showBubbleSize val="0"/>
        </c:dLbls>
        <c:gapWidth val="75"/>
        <c:overlap val="40"/>
        <c:axId val="96450816"/>
        <c:axId val="106215296"/>
      </c:barChart>
      <c:catAx>
        <c:axId val="964508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215296"/>
        <c:crosses val="autoZero"/>
        <c:auto val="1"/>
        <c:lblAlgn val="ctr"/>
        <c:lblOffset val="100"/>
        <c:noMultiLvlLbl val="0"/>
      </c:catAx>
      <c:valAx>
        <c:axId val="106215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5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pattFill prst="pct30">
              <a:fgClr>
                <a:schemeClr val="bg1"/>
              </a:fgClr>
              <a:bgClr>
                <a:schemeClr val="accent1">
                  <a:lumMod val="60000"/>
                  <a:lumOff val="40000"/>
                </a:schemeClr>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[2019年决算公开说明图表.xlsx]Sheet1!$A$13:$A$14</c:f>
              <c:strCache>
                <c:ptCount val="2"/>
                <c:pt idx="0">
                  <c:v>2019年</c:v>
                </c:pt>
                <c:pt idx="1">
                  <c:v>2018年</c:v>
                </c:pt>
              </c:strCache>
            </c:strRef>
          </c:cat>
          <c:val>
            <c:numRef>
              <c:f>[2019年决算公开说明图表.xlsx]Sheet1!$B$13:$B$14</c:f>
              <c:numCache>
                <c:formatCode>General</c:formatCode>
                <c:ptCount val="2"/>
                <c:pt idx="0">
                  <c:v>1265.53</c:v>
                </c:pt>
                <c:pt idx="1">
                  <c:v>1257.12</c:v>
                </c:pt>
              </c:numCache>
            </c:numRef>
          </c:val>
        </c:ser>
        <c:dLbls>
          <c:showLegendKey val="0"/>
          <c:showVal val="1"/>
          <c:showCatName val="0"/>
          <c:showSerName val="0"/>
          <c:showPercent val="0"/>
          <c:showBubbleSize val="0"/>
        </c:dLbls>
        <c:gapWidth val="75"/>
        <c:overlap val="40"/>
        <c:axId val="109548288"/>
        <c:axId val="109549824"/>
      </c:barChart>
      <c:catAx>
        <c:axId val="1095482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549824"/>
        <c:crosses val="autoZero"/>
        <c:auto val="1"/>
        <c:lblAlgn val="ctr"/>
        <c:lblOffset val="100"/>
        <c:noMultiLvlLbl val="0"/>
      </c:catAx>
      <c:valAx>
        <c:axId val="109549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54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16388888888889"/>
          <c:y val="0.0520833333333333"/>
        </c:manualLayout>
      </c:layout>
      <c:overlay val="0"/>
      <c:spPr>
        <a:noFill/>
        <a:ln>
          <a:noFill/>
        </a:ln>
        <a:effectLst/>
      </c:spPr>
    </c:title>
    <c:autoTitleDeleted val="0"/>
    <c:plotArea>
      <c:layout/>
      <c:pieChart>
        <c:varyColors val="1"/>
        <c:ser>
          <c:idx val="0"/>
          <c:order val="0"/>
          <c:explosion val="0"/>
          <c:dPt>
            <c:idx val="0"/>
            <c:bubble3D val="0"/>
            <c:spPr>
              <a:pattFill prst="pct10">
                <a:fgClr>
                  <a:schemeClr val="accent1"/>
                </a:fgClr>
                <a:bgClr>
                  <a:srgbClr val="DE88B7"/>
                </a:bgClr>
              </a:pattFill>
              <a:ln w="19050">
                <a:solidFill>
                  <a:schemeClr val="lt1"/>
                </a:solidFill>
              </a:ln>
              <a:effectLst/>
            </c:spPr>
          </c:dPt>
          <c:dPt>
            <c:idx val="1"/>
            <c:bubble3D val="0"/>
            <c:spPr>
              <a:gradFill>
                <a:gsLst>
                  <a:gs pos="0">
                    <a:srgbClr val="FECF40"/>
                  </a:gs>
                  <a:gs pos="100000">
                    <a:srgbClr val="846C21"/>
                  </a:gs>
                </a:gsLst>
                <a:lin ang="5400000" scaled="0"/>
              </a:gradFill>
              <a:ln w="19050">
                <a:solidFill>
                  <a:schemeClr val="lt1"/>
                </a:solidFill>
              </a:ln>
              <a:effectLst/>
            </c:spPr>
          </c:dPt>
          <c:dLbls>
            <c:dLbl>
              <c:idx val="0"/>
              <c:layout>
                <c:manualLayout>
                  <c:x val="0.170794725851668"/>
                  <c:y val="-0.20538896852010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[2019年决算公开说明图表.xlsx]Sheet1!$D$6:$D$7</c:f>
              <c:strCache>
                <c:ptCount val="2"/>
                <c:pt idx="0">
                  <c:v>社会保障和就业支出</c:v>
                </c:pt>
                <c:pt idx="1">
                  <c:v>住房保障支出</c:v>
                </c:pt>
              </c:strCache>
            </c:strRef>
          </c:cat>
          <c:val>
            <c:numRef>
              <c:f>[2019年决算公开说明图表.xlsx]Sheet1!$E$6:$E$7</c:f>
              <c:numCache>
                <c:formatCode>General</c:formatCode>
                <c:ptCount val="2"/>
                <c:pt idx="0">
                  <c:v>1183.11</c:v>
                </c:pt>
                <c:pt idx="1">
                  <c:v>82.42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gradFill>
                <a:gsLst>
                  <a:gs pos="0">
                    <a:srgbClr val="9EE256"/>
                  </a:gs>
                  <a:gs pos="100000">
                    <a:srgbClr val="52762D"/>
                  </a:gs>
                </a:gsLst>
                <a:lin ang="0" scaled="0"/>
              </a:gra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20833095581603"/>
                  <c:y val="0.04517592592533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9166904418397"/>
                  <c:y val="0.031287037036443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[2019年决算公开说明图表.xlsx]Sheet1!$A$16:$A$18</c:f>
              <c:strCache>
                <c:ptCount val="3"/>
                <c:pt idx="0">
                  <c:v>公务接待费</c:v>
                </c:pt>
                <c:pt idx="1">
                  <c:v>公务用车购置及运行维护费</c:v>
                </c:pt>
                <c:pt idx="2">
                  <c:v>因公出国（境）费</c:v>
                </c:pt>
              </c:strCache>
            </c:strRef>
          </c:cat>
          <c:val>
            <c:numRef>
              <c:f>[2019年决算公开说明图表.xlsx]Sheet1!$B$16:$B$18</c:f>
              <c:numCache>
                <c:formatCode>General</c:formatCode>
                <c:ptCount val="3"/>
                <c:pt idx="0">
                  <c:v>0.3</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
          <c:y val="0.4396990740740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2614</Words>
  <Characters>14900</Characters>
  <Lines>124</Lines>
  <Paragraphs>34</Paragraphs>
  <TotalTime>53</TotalTime>
  <ScaleCrop>false</ScaleCrop>
  <LinksUpToDate>false</LinksUpToDate>
  <CharactersWithSpaces>17480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2020-09-11T01:34:00Z</dcterms:created>
  <dc:creator>SimpleLibra</dc:creator>
  <cp:lastModifiedBy>SimpleLibra</cp:lastModifiedBy>
  <dcterms:modified xsi:type="dcterms:W3CDTF">2020-09-16T02:43:55Z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